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10-Q/A</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140" w:type="dxa"/>
            <w:vAlign w:val="bottom"/>
          </w:tcPr>
          <w:p>
            <w:pPr>
              <w:jc w:val="center"/>
              <w:ind w:right="2179"/>
              <w:spacing w:after="0"/>
              <w:rPr>
                <w:sz w:val="20"/>
                <w:szCs w:val="20"/>
                <w:color w:val="auto"/>
              </w:rPr>
            </w:pPr>
            <w:r>
              <w:rPr>
                <w:rFonts w:ascii="Arial" w:cs="Arial" w:eastAsia="Arial" w:hAnsi="Arial"/>
                <w:sz w:val="18"/>
                <w:szCs w:val="18"/>
                <w:b w:val="1"/>
                <w:bCs w:val="1"/>
                <w:color w:val="auto"/>
                <w:w w:val="90"/>
              </w:rPr>
              <w:t>Cayman Islands</w:t>
            </w:r>
          </w:p>
        </w:tc>
        <w:tc>
          <w:tcPr>
            <w:tcW w:w="2220" w:type="dxa"/>
            <w:vAlign w:val="bottom"/>
          </w:tcPr>
          <w:p>
            <w:pPr>
              <w:ind w:left="16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9"/>
        </w:trPr>
        <w:tc>
          <w:tcPr>
            <w:tcW w:w="4140" w:type="dxa"/>
            <w:vAlign w:val="bottom"/>
          </w:tcPr>
          <w:p>
            <w:pPr>
              <w:jc w:val="center"/>
              <w:ind w:right="21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40" w:type="dxa"/>
            <w:vAlign w:val="bottom"/>
          </w:tcPr>
          <w:p>
            <w:pPr>
              <w:jc w:val="center"/>
              <w:ind w:right="2179"/>
              <w:spacing w:after="0"/>
              <w:rPr>
                <w:sz w:val="20"/>
                <w:szCs w:val="20"/>
                <w:color w:val="auto"/>
              </w:rPr>
            </w:pPr>
            <w:r>
              <w:rPr>
                <w:rFonts w:ascii="Arial" w:cs="Arial" w:eastAsia="Arial" w:hAnsi="Arial"/>
                <w:sz w:val="14"/>
                <w:szCs w:val="14"/>
                <w:b w:val="1"/>
                <w:bCs w:val="1"/>
                <w:color w:val="auto"/>
                <w:w w:val="94"/>
              </w:rPr>
              <w:t>incorporation or organization)</w:t>
            </w:r>
          </w:p>
        </w:tc>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140" w:type="dxa"/>
            <w:vAlign w:val="bottom"/>
          </w:tcPr>
          <w:p>
            <w:pPr>
              <w:jc w:val="center"/>
              <w:ind w:left="1299"/>
              <w:spacing w:after="0"/>
              <w:rPr>
                <w:sz w:val="20"/>
                <w:szCs w:val="20"/>
                <w:color w:val="auto"/>
              </w:rPr>
            </w:pPr>
            <w:r>
              <w:rPr>
                <w:rFonts w:ascii="Arial" w:cs="Arial" w:eastAsia="Arial" w:hAnsi="Arial"/>
                <w:sz w:val="18"/>
                <w:szCs w:val="18"/>
                <w:b w:val="1"/>
                <w:bCs w:val="1"/>
                <w:color w:val="auto"/>
                <w:w w:val="89"/>
              </w:rPr>
              <w:t>200 Clarendon Street, 55</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140" w:type="dxa"/>
            <w:vAlign w:val="bottom"/>
          </w:tcPr>
          <w:p>
            <w:pPr>
              <w:jc w:val="center"/>
              <w:ind w:left="1299"/>
              <w:spacing w:after="0"/>
              <w:rPr>
                <w:sz w:val="20"/>
                <w:szCs w:val="20"/>
                <w:color w:val="auto"/>
              </w:rPr>
            </w:pPr>
            <w:r>
              <w:rPr>
                <w:rFonts w:ascii="Arial" w:cs="Arial" w:eastAsia="Arial" w:hAnsi="Arial"/>
                <w:sz w:val="18"/>
                <w:szCs w:val="18"/>
                <w:b w:val="1"/>
                <w:bCs w:val="1"/>
                <w:color w:val="auto"/>
                <w:w w:val="91"/>
              </w:rPr>
              <w:t>Boston, MA</w:t>
            </w:r>
          </w:p>
        </w:tc>
        <w:tc>
          <w:tcPr>
            <w:tcW w:w="222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140" w:type="dxa"/>
            <w:vAlign w:val="bottom"/>
          </w:tcPr>
          <w:p>
            <w:pPr>
              <w:jc w:val="center"/>
              <w:ind w:left="13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2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company” in Rule 12b-2 of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20, 2021, 27,627,174 Class A ordinary shares, par value $0.0001, and 6,810,326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References throughout this Amendment No. 1 to the Quarterly Report on Form 10-Q to “we,” “us,” the “Company” or “our company” are to ArcLight Clean Transition Corp. II, unless the context otherwise indicates.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Amendment No. 1 (“Amendment No. 1”) to the Quarterly Report on Form 10-Q/A amends the Quarterly Report on Form 10-Q of ArcLight Clean Transition Corp. II as of March 31, 2021 and for the period from January 13, 2021 (inception) through March 31, 2021, as filed with the Securities and Exchange Commission (“SEC”) on May 21, 2021 (the “First Amended Filing”).</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November 5, 2021, ArcLight Clean Transition Corp. II (the “Company”) filed its Form 10-Q for the quarterly period ending September 30, 2021 (the “Q3 Form 10-Q”), which included a Note 2, Revision of Previously Issued Financial Statements, (“Note 2”) that describes a revision to the Company’s classification of its Class A ordinary shares subject to redemption issued as part of the units sold in the Company’s initial public offering (“IPO”) on March 25, 2021. As described in Note 2, upon its IPO, the Company classified a portion of the Class A ordinary shares as permanent equity to maintain net tangible assets greater than $5,000,000 on the basis that the Company will consummate its initial business combination only if the Company has net tangible assets of at least $5,000,001. The Company’s management re-evaluated the conclusion and determined that the Class A ordinary shares subject to redemption included certain provisions that require classification of the Class A ordinary shares as temporary equity regardless of the minimum net tangible assets required to complete the Company’s initial business combination. As a result, management corrected the error by revising all Class A ordinary shares subject to redemption as temporary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connection with the change in presentation for the Class A ordinary shares subject to possible redemption, the Company revised its earnings per share calculation to allocate income and losses shared pro rata between the two classes of shares. This presentation differs from the previously presented method of earnings per share, which was similar to the two-class method.</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determined the changes were not qualitatively material to the Company’s previously issued financial statements and did not restate its financial statements. Instead, the Company revised its previously financial statements in Note 2 to its Q3 Form 10-Q. Although the qualitative factors that management assessed tended to support a conclusion that the misstatements were not material, these factors were not strong enough to overcome the significant quantitative errors in the financial statements. The qualitative and quantitative factors support a conclusion that the misstatements are material on a quantitative basis. Management concluded that the misstatement was such of magnitude that it is probable that the judgment of a reasonable person relying upon the financial statements would have been influenced by the inclusion or correction of the foregoing items. As such, upon further consideration of the change, the Company determined the change in classification of the Class A ordinary shares subject to redemption and change to its presentation of earnings per share is material quantitatively and it should restate its previously issued financial statements.</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Therefore, on November 24, 2021, the Company’s management and the audit committee of the Company’s board of directors (the “Audit Committee”) concluded that the Company’s previously issued (i) audited balance sheet as of March 25, 2021 (the “Post IPO Balance Sheet”), filed with the SEC on March 31, 2021, and (ii) unaudited interim financial statements included in the Company’s Quarterly Report on Form 10-Q for the quarterly period ended March 31, 2021, filed with the SEC on May 21, 2021 (collectively, the “Affected Periods”), should be restated to report all Public Shares as temporary equity and should no longer be relied upon.</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such, the Company is restating its unaudited interim financial statements included in the Company’s Quarterly Report on Form 10-Q for the quarterly period ended March 31, 2021 in this Form 10-Q/A, Amendment No. 1.</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determined that none of the above changes will have any impact on its cash position and cash held in the trust account established in connection with the IPO.</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re-evaluation, the Company’s management has concluded that in light of the errors described above, a material weakness existed in the Company’s internal control over financial reporting during the Affected Periods as well as the unaudited interim financial statements included in the Company’s Quarterly Report on Form 10-Q for the quarterly period ended March 31, 2021, filed with the SEC on May 21, 2021; and that the Company’s disclosure controls and procedures were not effective. The Company’s remediation plan with respect to such material weakness is described in more detail in Item 4 of Part I to this Quarterly Report on Form 10-Q/A.</w:t>
      </w:r>
    </w:p>
    <w:p>
      <w:pPr>
        <w:sectPr>
          <w:pgSz w:w="11900" w:h="16838" w:orient="portrait"/>
          <w:cols w:equalWidth="0" w:num="1">
            <w:col w:w="11060"/>
          </w:cols>
          <w:pgMar w:left="320" w:top="48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0" w:type="dxa"/>
            <w:vAlign w:val="bottom"/>
            <w:gridSpan w:val="23"/>
            <w:vMerge w:val="restart"/>
          </w:tcPr>
          <w:p>
            <w:pPr>
              <w:ind w:left="36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56"/>
        </w:trPr>
        <w:tc>
          <w:tcPr>
            <w:tcW w:w="10400" w:type="dxa"/>
            <w:vAlign w:val="bottom"/>
            <w:gridSpan w:val="23"/>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w:t>
              </w:r>
            </w:hyperlink>
          </w:p>
        </w:tc>
        <w:tc>
          <w:tcPr>
            <w:tcW w:w="79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Balance Sheet as of March 31, 2021 (unaudited) (as restated)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 of Operations for the period from January 13, 2021 (inception) through March 31, 2021 (as</w:t>
              </w:r>
            </w:hyperlink>
          </w:p>
        </w:tc>
        <w:tc>
          <w:tcPr>
            <w:tcW w:w="4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restated)</w:t>
              </w:r>
            </w:hyperlink>
          </w:p>
        </w:tc>
        <w:tc>
          <w:tcPr>
            <w:tcW w:w="880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Statement of Changes in Shareholders’ Deficit for the period from January 13, 2021 (inception) through</w:t>
              </w:r>
            </w:hyperlink>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March 31, 2021 (as restated)</w:t>
              </w:r>
            </w:hyperlink>
          </w:p>
        </w:tc>
        <w:tc>
          <w:tcPr>
            <w:tcW w:w="736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Unaudited Condensed Statement of Cash Flows for the period from January 13, 2021 (inception) through March 31, 2021 (as</w:t>
              </w:r>
            </w:hyperlink>
          </w:p>
        </w:tc>
        <w:tc>
          <w:tcPr>
            <w:tcW w:w="4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restated)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Unaudited Condensed Financial Statements (as restated)</w:t>
              </w:r>
            </w:hyperlink>
          </w:p>
        </w:tc>
        <w:tc>
          <w:tcPr>
            <w:tcW w:w="472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 (as restated)</w:t>
              </w:r>
            </w:hyperlink>
          </w:p>
        </w:tc>
        <w:tc>
          <w:tcPr>
            <w:tcW w:w="1660" w:type="dxa"/>
            <w:vAlign w:val="bottom"/>
            <w:tcBorders>
              <w:top w:val="single" w:sz="8" w:color="0000EE"/>
            </w:tcBorders>
          </w:tcPr>
          <w:p>
            <w:pPr>
              <w:spacing w:after="0"/>
              <w:rPr>
                <w:sz w:val="17"/>
                <w:szCs w:val="17"/>
                <w:color w:val="auto"/>
              </w:rPr>
            </w:pPr>
          </w:p>
        </w:tc>
        <w:tc>
          <w:tcPr>
            <w:tcW w:w="50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400" w:type="dxa"/>
            <w:vAlign w:val="bottom"/>
            <w:gridSpan w:val="23"/>
          </w:tcPr>
          <w:p>
            <w:pPr>
              <w:ind w:left="36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4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10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 from Registered Securities</w:t>
              </w:r>
            </w:hyperlink>
          </w:p>
        </w:tc>
        <w:tc>
          <w:tcPr>
            <w:tcW w:w="31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Mine Safety Disclosures</w:t>
              </w:r>
            </w:hyperlink>
          </w:p>
        </w:tc>
        <w:tc>
          <w:tcPr>
            <w:tcW w:w="76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12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8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SIGNATURES</w:t>
        </w:r>
      </w:hyperlink>
    </w:p>
    <w:p>
      <w:pPr>
        <w:sectPr>
          <w:pgSz w:w="11900" w:h="16838" w:orient="portrait"/>
          <w:cols w:equalWidth="0" w:num="1">
            <w:col w:w="11080"/>
          </w:cols>
          <w:pgMar w:left="320" w:top="48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UNAUDITED 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MARCH 31, 2021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(restated — See Note 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1,409,464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4,207,359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311,163,203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315,370,562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1,694,343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93,534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Accrued expenses-related party</w:t>
            </w: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14,724,600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27,413,184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 31,116,305 shares at redemption value of $10.00</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311,163,050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A ordinary shares, $0.0001 par value; 500,000,000 shares authorized (excluding 31,116,305 shares subject to possible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9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(23,206,450)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(23,205,672)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315,370,562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73"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2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840" w:type="dxa"/>
            <w:vAlign w:val="bottom"/>
          </w:tcPr>
          <w:p>
            <w:pPr>
              <w:jc w:val="center"/>
              <w:ind w:right="23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UNAUDITED CONDENSED STATEMENT OF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FOR THE PERIOD FROM JANUARY 13, 2021 (INCEPTION) THROUGH MARCH 31,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(restated — See Note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128,476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8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(191,307)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(319,783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3,067,805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6,964,134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73"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left="420" w:right="1860"/>
        <w:spacing w:after="0" w:line="255" w:lineRule="auto"/>
        <w:rPr>
          <w:sz w:val="20"/>
          <w:szCs w:val="20"/>
          <w:color w:val="auto"/>
        </w:rPr>
      </w:pPr>
      <w:r>
        <w:rPr>
          <w:rFonts w:ascii="Arial" w:cs="Arial" w:eastAsia="Arial" w:hAnsi="Arial"/>
          <w:sz w:val="18"/>
          <w:szCs w:val="18"/>
          <w:b w:val="1"/>
          <w:bCs w:val="1"/>
          <w:color w:val="auto"/>
        </w:rPr>
        <w:t>UNAUDITED CONDENSED STATEMENT OF CHANGES IN SHAREHOLDERS’ DEFICIT FOR THE PERIOD FROM JANUARY 13, 2021 (INCEPTION) THROUGH MARCH 31, 2021 (restated — See Note 2)</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w w:val="95"/>
              </w:rPr>
              <w:t>Ordinary Shares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line="20" w:lineRule="exact"/>
              <w:rPr>
                <w:sz w:val="1"/>
                <w:szCs w:val="1"/>
                <w:color w:val="auto"/>
              </w:rPr>
            </w:pPr>
          </w:p>
        </w:tc>
        <w:tc>
          <w:tcPr>
            <w:tcW w:w="118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Class B</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21"/>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7,906,250</w:t>
            </w:r>
          </w:p>
        </w:tc>
        <w:tc>
          <w:tcPr>
            <w:tcW w:w="22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24,209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on Class A ordinary shares subject to possible redemption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0"/>
              </w:rPr>
              <w:t>(199,953)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(22,886,667)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(23,086,620)</w:t>
            </w:r>
          </w:p>
        </w:tc>
        <w:tc>
          <w:tcPr>
            <w:tcW w:w="0" w:type="dxa"/>
            <w:vAlign w:val="bottom"/>
          </w:tcPr>
          <w:p>
            <w:pPr>
              <w:spacing w:after="0"/>
              <w:rPr>
                <w:sz w:val="1"/>
                <w:szCs w:val="1"/>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1"/>
              </w:rPr>
              <w:t>Sale of private placement warrants to Sponsor less fair value of private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w w:val="95"/>
              </w:rPr>
              <w:t>175,731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175,731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 from Sponsor</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(127,174)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(319,783)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March 31, 2021, as restated (unaudited)</w:t>
            </w: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shd w:val="clear" w:color="auto" w:fill="CCEEFF"/>
              </w:rPr>
              <w:t>7,779,076</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79"/>
              </w:rPr>
              <w:t>778</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(23,206,450</w:t>
            </w:r>
          </w:p>
        </w:tc>
        <w:tc>
          <w:tcPr>
            <w:tcW w:w="200" w:type="dxa"/>
            <w:vAlign w:val="bottom"/>
            <w:vMerge w:val="continue"/>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(23,205,672</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rPr>
              <w:t>ARCLIGHT CLEAN TRANSITION CORP. II</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9"/>
              </w:rPr>
              <w:t>UNAUDITED CONDENSED STATEMENT OF CASH FLOWS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 THE PERIOD FROM JANUARY 13, 2021 (INCEPTION) THROUGH MARCH 31, 2021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(restated – See Note 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 paid by related party in exchange for issuance of Class B ordinary shares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 paid by related party under promissory note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(1,409,464)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1,442,343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expenses-related party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Cash deposited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(171,742)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311,163,050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Proceeds received from private placement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9,223,261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(6,243,461)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313,971,208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2,797,895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 beginning of the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2,797,895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paid by related party under promissory note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Deferred underwriting commissions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Forfeiture of Class B ordinary shares from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73"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660" w:firstLine="440"/>
        <w:spacing w:after="0" w:line="311" w:lineRule="auto"/>
        <w:rPr>
          <w:sz w:val="20"/>
          <w:szCs w:val="20"/>
          <w:color w:val="auto"/>
        </w:rPr>
      </w:pPr>
      <w:r>
        <w:rPr>
          <w:rFonts w:ascii="Arial" w:cs="Arial" w:eastAsia="Arial" w:hAnsi="Arial"/>
          <w:sz w:val="16"/>
          <w:szCs w:val="16"/>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of March 31, 2021, the Company had not yet commenced operations. All activity for the period from January 13, 2021 (inception) through March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4), and incurring offering costs of approximately $17.6 million, of which approximately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$10.9 million was for deferred underwriting commissions (see Note 7).</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5).</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deferred underwriting commissions the Company will pay to the underwriters (as discussed in Note 7). These Public Shares were recorded at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redemption value and classified as temporary equity, in accordance with Accounting Standards Codification (“ASC”) Topic 480 “Distinguishing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from Equity.” In such case, the Company will proceed with a Business Combination if the Company has net tangible assets of at least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$5,000,001 upon such consummation of a Business Combination and a majority of the shares voted are voted in favor of the Business Combination. If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 vote is not required by law and the Company does not decide to hold a shareholder vote for business or other legal reasons,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pursuant to the amended and restated memorandum and articles of association which will be adopted by the Company upon the consummation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Public Offering (the “Amended and Restated Memorandum and Articles of Association”), conduct the redemptions pursuant to the tender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 rules of the U.S. Securities and Exchange Commission (the “SEC”), and file tender offer documents with the SEC prior to completing a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If, however, a shareholder approval of the transactions is required by law, or the Company decides to obtain shareholder approval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or legal reasons, the Company will offer to redeem shares in conjunction with a proxy solicitation pursuant to the proxy rules and not pursuant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tender offer rules. Additionally, each Public Shareholder may elect to redeem their Public Shares irrespective of whether they vote for or against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proposed transaction. If the Company seeks shareholder approval in connection with a Business Combination, the holders of the Founder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to this Initial Public Offering (the “Initial Shareholders”) agreed to vote their Founder Shares (as defined in Note 6) and any Public Shares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purchased during or after the Initial Public Offering in favor of a Business Combination. In addition, the Initial Shareholders agreed to waive their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rights with respect to their Founder Shares and Public Shares in connection with the completion of a Business Combination. In addition,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agreed not to enter into a definitive agreement regarding an initial Business Combination without the prior consent of the Sponsor.</w:t>
      </w:r>
    </w:p>
    <w:p>
      <w:pPr>
        <w:spacing w:after="0" w:line="22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8"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March 31, 2021, the Company had approximately $2.8 million in its operating bank account and a working capital of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 million.</w:t>
      </w:r>
    </w:p>
    <w:p>
      <w:pPr>
        <w:spacing w:after="0" w:line="211"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The Company’s liquidity needs up to March 31, 2021 had been satisfied through a payment of $25,000 from the Sponsor to cover certain expenses on behalf of the Company in exchange for the issuance of the Founder Shares (as defined below), the loan under the Note from the Sponsor of approximately $172,000 (see Note 6)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6). To date, there were no amounts outstanding under any Working Capital Loans.</w:t>
      </w:r>
    </w:p>
    <w:p>
      <w:pPr>
        <w:spacing w:after="0" w:line="178" w:lineRule="exact"/>
        <w:rPr>
          <w:sz w:val="20"/>
          <w:szCs w:val="20"/>
          <w:color w:val="auto"/>
        </w:rPr>
      </w:pPr>
    </w:p>
    <w:p>
      <w:pPr>
        <w:ind w:left="120" w:right="160" w:firstLine="991"/>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360" w:firstLine="991"/>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2—Restatement of previously issued financial statements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After preparing and filing the Company’s unaudited condensed financial statements for the quarterly period ended September 30, 2021, the Company concluded it should restate its previously issued financial statements to classify all Class A ordinary shares subject to possible redemption in temporary equity. In accordance with the SEC and its staff’s guidance on redeemable equity instruments in ASC 480-10-S99, redemption provisions not solely within the control of the Company, require ordinary shares subject to redemption to be classified outside of permanent equity. The Company had previously classified a portion of its Class A ordinary shares in permanent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shares classified as temporary equity as part of net tangible assets. Effective with these condensed financial statements, the Company revised this interpretation to include temporary equity in net tangible assets. In connection with the change in presentation for the Class A ordinary shares subject to possible redemption, the Company has restated its earnings per share calculation to allocate income and losses shared pro rata between the two classes of shares. This presentation contemplates a Business Combination as the most likely outcome, in which case, both classes of shares participate pro rata in the income and losses of the Company.</w:t>
      </w:r>
    </w:p>
    <w:p>
      <w:pPr>
        <w:spacing w:after="0" w:line="172"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During the course of preparing the quarterly report on Form 10-Q for the period from January 13, 2021 (inception) through March 31, 2021, the Company identified a misstatement in its misapplication of accounting guidance related to the Company’s warrants in the Company’s previously issued audited balance sheet dated March 25, 2021, filed on Form 8-K on March 31, 2021 (the “Post-IPO Balance Sheet”).</w:t>
      </w:r>
    </w:p>
    <w:p>
      <w:pPr>
        <w:spacing w:after="0" w:line="165"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On April 12, 2021, the staff of the Securities and Exchange Commission (the “SEC Staff”) issued a public statement entitled “Staff Statement on Accounting and Reporting Considerations for Warrants issued by Special Purpose Acquisition Companies (“SPACs”) (the “SEC Staff Statement”). In the SEC Staff Statement, the SEC Staff expressed its view that certain terms and conditions common to SPAC warrants may require the warrants to be classified as liabilities on the SPAC’s balance sheet as opposed to equity. Since their issuance on March 21, 2021, the Company’s warrants have been accounted for as equity within the Company’s previously reported balance sheets. After discussion and evaluation, including with the Company’s independent registered public accounting firm and the Company’s audit committee, management concluded that the warrants should be presented as liabilities with subsequent fair value remeasurement.</w:t>
      </w:r>
    </w:p>
    <w:p>
      <w:pPr>
        <w:spacing w:after="0" w:line="17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Warrants were reflected as a component of equity in the Post-IPO Balance Sheet as opposed to liabilities on the balance sheet, based on the Company’s application of FASB ASC Topic 815-40, Derivatives and Hedging, Contracts in Entity’s Own Equity (“ASC 815-40”). The views expressed in the SEC Staff Statement were not consistent with the Company’s historical interpretation of the specific provisions within its warrant agreement and the Company’s application of ASC 815-40 to the warrant agreement. The Company reassessed its accounting for Warrants issued on March 21, 2021, in light of the SEC Staff’s published views, and determined that the error was material and that the Post-IPO Balance Sheet should be restated which is reflected below. Based on this reassessment, management determined that the Warrants should be classified as liabilities measured at fair value upon issuance, with subsequent changes in fair value reported in the Company Statement of Operations each reporting period.</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corrections noted above and has determined that the related impact was material to the Affected Periods that contained the errors. Therefore, the Company, in consultation with its Audit Committee, concluded that the Affected Periods should be restated to present (i) all Class A ordinary shares subject to possible redemption as temporary equity, (ii) to recognize accretion from the initial book value to redemption value at the time of its Initial Public Offering, (iii) to correct its earnings per share calculation, and (iv) properly reflect the classification of warrants. As such, the Company is reporting these restatements to those Affected Periods in this quarterly report.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 restatements noted above,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As Previously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Temporary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As of March 25, 2021</w:t>
            </w:r>
          </w:p>
        </w:tc>
        <w:tc>
          <w:tcPr>
            <w:tcW w:w="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314,189,950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314,189,950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525,842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10,890,707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10,890,707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14,995,760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14,995,760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11,416,549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14,995,760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26,412,309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Class A common stock subject to redemption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297,773,400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(14,995,760)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28,385,410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311,163,050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Additional paid-in captial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5,035,976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462,470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5,498,446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(22,886,680)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(23,386,200)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5,000,001</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(28,385,410)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(23,385,409)</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Class A Common Stock</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Subject to Possible Redemption and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314,189,950</w:t>
            </w: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314,189,950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Class A ordinary shares subject to possible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29,777,340</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(1,499,576)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2,838,541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31,116,305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1,338 965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1,499,576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(2,838,541)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 restatement on the financial statements for the Affected Quarterly Period is presented below.</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table below presents the effect of the financial statement adjustments related to the restatement discussed above of the Company’s previously reported balance sheet as of March 31, 2021:</w:t>
      </w:r>
    </w:p>
    <w:p>
      <w:pPr>
        <w:sectPr>
          <w:pgSz w:w="11900" w:h="16838" w:orient="portrait"/>
          <w:cols w:equalWidth="0" w:num="1">
            <w:col w:w="11080"/>
          </w:cols>
          <w:pgMar w:left="320" w:top="486" w:right="499" w:bottom="0" w:gutter="0" w:footer="0" w:header="0"/>
        </w:sectPr>
      </w:pPr>
    </w:p>
    <w:bookmarkStart w:id="13" w:name="page14"/>
    <w:bookmarkEnd w:id="13"/>
    <w:p>
      <w:pPr>
        <w:spacing w:after="0" w:line="23"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As Previously Reported</w:t>
            </w:r>
          </w:p>
        </w:tc>
        <w:tc>
          <w:tcPr>
            <w:tcW w:w="340" w:type="dxa"/>
            <w:vAlign w:val="bottom"/>
          </w:tcPr>
          <w:p>
            <w:pPr>
              <w:spacing w:after="0"/>
              <w:rPr>
                <w:sz w:val="13"/>
                <w:szCs w:val="13"/>
                <w:color w:val="auto"/>
              </w:rPr>
            </w:pP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3"/>
                <w:szCs w:val="13"/>
                <w:color w:val="auto"/>
              </w:rPr>
            </w:pPr>
          </w:p>
        </w:tc>
        <w:tc>
          <w:tcPr>
            <w:tcW w:w="100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Class A ordinary shares subject to possible redemption</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282,957,370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$ 28,205,680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$311,163,050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Class A ordinary shares—$0.0001 par value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5,318,731</w:t>
            </w:r>
          </w:p>
        </w:tc>
        <w:tc>
          <w:tcPr>
            <w:tcW w:w="1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(5,318,731)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(319,783)</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(22,886,667)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(23,206,450)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1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(28,205,680)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(23,205,672)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Class A ordinary shares subject to possible redemption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28,295,737</w:t>
            </w: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2,820,568</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31,116,305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2,820,568</w:t>
            </w:r>
          </w:p>
        </w:tc>
        <w:tc>
          <w:tcPr>
            <w:tcW w:w="1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(2,820,568)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statement of shareholders’ deficit has been restated to reflect the changes to the impacted shareholders’ deficit accounts described above.</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Statement of changes in Shareholders’ Deficit for the period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from January 13, 2021 (inception) through March 31, 2021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43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(unaudited)</w:t>
            </w:r>
          </w:p>
        </w:tc>
        <w:tc>
          <w:tcPr>
            <w:tcW w:w="2080" w:type="dxa"/>
            <w:vAlign w:val="bottom"/>
            <w:gridSpan w:val="4"/>
          </w:tcPr>
          <w:p>
            <w:pPr>
              <w:ind w:left="360"/>
              <w:spacing w:after="0" w:line="151" w:lineRule="exact"/>
              <w:rPr>
                <w:sz w:val="20"/>
                <w:szCs w:val="20"/>
                <w:color w:val="auto"/>
              </w:rPr>
            </w:pPr>
            <w:r>
              <w:rPr>
                <w:rFonts w:ascii="Arial" w:cs="Arial" w:eastAsia="Arial" w:hAnsi="Arial"/>
                <w:sz w:val="14"/>
                <w:szCs w:val="14"/>
                <w:b w:val="1"/>
                <w:bCs w:val="1"/>
                <w:color w:val="auto"/>
              </w:rPr>
              <w:t>As Previously Reported</w:t>
            </w:r>
          </w:p>
        </w:tc>
        <w:tc>
          <w:tcPr>
            <w:tcW w:w="220" w:type="dxa"/>
            <w:vAlign w:val="bottom"/>
          </w:tcPr>
          <w:p>
            <w:pPr>
              <w:spacing w:after="0"/>
              <w:rPr>
                <w:sz w:val="14"/>
                <w:szCs w:val="14"/>
                <w:color w:val="auto"/>
              </w:rPr>
            </w:pPr>
          </w:p>
        </w:tc>
        <w:tc>
          <w:tcPr>
            <w:tcW w:w="1340" w:type="dxa"/>
            <w:vAlign w:val="bottom"/>
            <w:gridSpan w:val="2"/>
          </w:tcPr>
          <w:p>
            <w:pPr>
              <w:jc w:val="right"/>
              <w:ind w:right="440"/>
              <w:spacing w:after="0" w:line="151" w:lineRule="exact"/>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As Restated</w:t>
            </w:r>
          </w:p>
        </w:tc>
      </w:tr>
      <w:tr>
        <w:trPr>
          <w:trHeight w:val="20"/>
        </w:trPr>
        <w:tc>
          <w:tcPr>
            <w:tcW w:w="370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69"/>
        </w:trPr>
        <w:tc>
          <w:tcPr>
            <w:tcW w:w="43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Sale of units in initial public offering, less fair value of</w:t>
            </w: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warrants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305,214,820</w:t>
            </w:r>
          </w:p>
        </w:tc>
        <w:tc>
          <w:tcPr>
            <w:tcW w:w="2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$(305,214,820)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(17,138,390)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17,138,390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Remeasurement of Class A ordinary shares subject to</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(23,086,620)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(23,086,620)</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Shares subject to possible redemption</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(282,957,370)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282,957,370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below presents the effect of the financial statement adjustments related to the restatement discussed above of the Company’s previously reported statement of cash flows for the period from January 13, 2021 (inception) through March 31, 2021:</w:t>
      </w:r>
    </w:p>
    <w:p>
      <w:pPr>
        <w:sectPr>
          <w:pgSz w:w="11900" w:h="16861" w:orient="portrait"/>
          <w:cols w:equalWidth="0" w:num="1">
            <w:col w:w="11020"/>
          </w:cols>
          <w:pgMar w:left="440" w:top="130" w:right="439" w:bottom="0" w:gutter="0" w:footer="0" w:header="0"/>
        </w:sectPr>
      </w:pP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b w:val="1"/>
          <w:bCs w:val="1"/>
          <w:u w:val="single" w:color="auto"/>
          <w:color w:val="auto"/>
        </w:rPr>
        <w:t>Supplemental Disclosure of Noncash Financing Activities:</w:t>
      </w:r>
    </w:p>
    <w:p>
      <w:pPr>
        <w:spacing w:after="0" w:line="25" w:lineRule="exact"/>
        <w:rPr>
          <w:sz w:val="20"/>
          <w:szCs w:val="20"/>
          <w:color w:val="auto"/>
        </w:rPr>
      </w:pPr>
    </w:p>
    <w:p>
      <w:pPr>
        <w:ind w:left="1060" w:hanging="179"/>
        <w:spacing w:after="0" w:line="257" w:lineRule="auto"/>
        <w:rPr>
          <w:sz w:val="20"/>
          <w:szCs w:val="20"/>
          <w:color w:val="auto"/>
        </w:rPr>
      </w:pPr>
      <w:r>
        <w:rPr>
          <w:rFonts w:ascii="Arial" w:cs="Arial" w:eastAsia="Arial" w:hAnsi="Arial"/>
          <w:sz w:val="18"/>
          <w:szCs w:val="18"/>
          <w:color w:val="auto"/>
        </w:rPr>
        <w:t>Initial value of Class A ordinary shares subject to possible redemption</w:t>
      </w:r>
    </w:p>
    <w:p>
      <w:pPr>
        <w:spacing w:after="0" w:line="1" w:lineRule="exact"/>
        <w:rPr>
          <w:sz w:val="20"/>
          <w:szCs w:val="20"/>
          <w:color w:val="auto"/>
        </w:rPr>
      </w:pPr>
    </w:p>
    <w:p>
      <w:pPr>
        <w:ind w:left="1060" w:right="240" w:hanging="179"/>
        <w:spacing w:after="0" w:line="260" w:lineRule="auto"/>
        <w:rPr>
          <w:sz w:val="20"/>
          <w:szCs w:val="20"/>
          <w:color w:val="auto"/>
        </w:rPr>
      </w:pPr>
      <w:r>
        <w:rPr>
          <w:rFonts w:ascii="Arial" w:cs="Arial" w:eastAsia="Arial" w:hAnsi="Arial"/>
          <w:sz w:val="18"/>
          <w:szCs w:val="18"/>
          <w:color w:val="auto"/>
        </w:rPr>
        <w:t>Change in value of Class A ordingary shares subject to possible redemption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As Previously Reported</w:t>
            </w:r>
          </w:p>
        </w:tc>
        <w:tc>
          <w:tcPr>
            <w:tcW w:w="500" w:type="dxa"/>
            <w:vAlign w:val="bottom"/>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As Restated</w:t>
            </w: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282,777,640</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$(282,777,640)</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432"/>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179,730</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(179,730)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-548005</wp:posOffset>
            </wp:positionV>
            <wp:extent cx="587184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274320"/>
                    </a:xfrm>
                    <a:prstGeom prst="rect">
                      <a:avLst/>
                    </a:prstGeom>
                    <a:noFill/>
                  </pic:spPr>
                </pic:pic>
              </a:graphicData>
            </a:graphic>
          </wp:anchor>
        </w:drawing>
      </w:r>
    </w:p>
    <w:p>
      <w:pPr>
        <w:spacing w:after="0" w:line="201" w:lineRule="exact"/>
        <w:rPr>
          <w:sz w:val="20"/>
          <w:szCs w:val="20"/>
          <w:color w:val="auto"/>
        </w:rPr>
      </w:pPr>
    </w:p>
    <w:p>
      <w:pPr>
        <w:sectPr>
          <w:pgSz w:w="11900" w:h="16861" w:orient="portrait"/>
          <w:cols w:equalWidth="0" w:num="2">
            <w:col w:w="5080" w:space="720"/>
            <w:col w:w="5220"/>
          </w:cols>
          <w:pgMar w:left="440" w:top="130" w:right="439" w:bottom="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The impact to the reported amounts of weighted average shares outstanding and basic and diluted earnings per share is presented below for the Affected Quarterly Periods: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w w:val="93"/>
              </w:rPr>
              <w:t>For the period from January 13, 2021 (inception) through March 31, 2021:</w:t>
            </w: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Earnings per Share</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tcBorders>
              <w:bottom w:val="single" w:sz="8" w:color="auto"/>
            </w:tcBorders>
            <w:vMerge w:val="continue"/>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3"/>
          </w:tcPr>
          <w:p>
            <w:pPr>
              <w:jc w:val="right"/>
              <w:ind w:right="220"/>
              <w:spacing w:after="0" w:line="115" w:lineRule="exact"/>
              <w:rPr>
                <w:sz w:val="20"/>
                <w:szCs w:val="20"/>
                <w:color w:val="auto"/>
              </w:rPr>
            </w:pPr>
            <w:r>
              <w:rPr>
                <w:rFonts w:ascii="Arial" w:cs="Arial" w:eastAsia="Arial" w:hAnsi="Arial"/>
                <w:sz w:val="13"/>
                <w:szCs w:val="13"/>
                <w:b w:val="1"/>
                <w:bCs w:val="1"/>
                <w:color w:val="auto"/>
              </w:rPr>
              <w:t>As Reported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360"/>
              <w:spacing w:after="0" w:line="115" w:lineRule="exact"/>
              <w:rPr>
                <w:sz w:val="20"/>
                <w:szCs w:val="20"/>
                <w:color w:val="auto"/>
              </w:rPr>
            </w:pPr>
            <w:r>
              <w:rPr>
                <w:rFonts w:ascii="Arial" w:cs="Arial" w:eastAsia="Arial" w:hAnsi="Arial"/>
                <w:sz w:val="13"/>
                <w:szCs w:val="13"/>
                <w:b w:val="1"/>
                <w:bCs w:val="1"/>
                <w:color w:val="auto"/>
              </w:rPr>
              <w:t>Adjustment</w:t>
            </w:r>
          </w:p>
        </w:tc>
        <w:tc>
          <w:tcPr>
            <w:tcW w:w="180" w:type="dxa"/>
            <w:vAlign w:val="bottom"/>
          </w:tcPr>
          <w:p>
            <w:pPr>
              <w:spacing w:after="0"/>
              <w:rPr>
                <w:sz w:val="11"/>
                <w:szCs w:val="11"/>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As 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(319,783)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(319,783)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0"/>
              </w:rPr>
              <w:t>Weighted average shares outstanding - Class A ordinary share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28,282,899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(25,215,094)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3,067,805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dilued earnings per share - Class A ordinary shares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0"/>
              </w:rPr>
              <w:t>Weighted average shares outstanding - Class B ordinary share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7,243,737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(279,603)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6,964,134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dilued earnings per share - Class B ordinary shares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January 13, 2021 (Inception) through March 31, 2021 are not necessarily indicative of the results that may be expected for the period from January 13, 2021 (inception) through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560" w:firstLine="991"/>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w:t>
      </w:r>
    </w:p>
    <w:p>
      <w:pPr>
        <w:sectPr>
          <w:pgSz w:w="11900" w:h="16861" w:orient="portrait"/>
          <w:cols w:equalWidth="0" w:num="1">
            <w:col w:w="11020"/>
          </w:cols>
          <w:pgMar w:left="440" w:top="130" w:right="439" w:bottom="0" w:gutter="0" w:footer="0" w:header="0"/>
          <w:type w:val="continuous"/>
        </w:sectPr>
      </w:pPr>
    </w:p>
    <w:bookmarkStart w:id="14" w:name="page15"/>
    <w:bookmarkEnd w:id="14"/>
    <w:p>
      <w:pPr>
        <w:ind w:left="4"/>
        <w:spacing w:after="0" w:line="259" w:lineRule="auto"/>
        <w:rPr>
          <w:sz w:val="20"/>
          <w:szCs w:val="20"/>
          <w:color w:val="auto"/>
        </w:rPr>
      </w:pPr>
      <w:r>
        <w:rPr>
          <w:rFonts w:ascii="Arial" w:cs="Arial" w:eastAsia="Arial" w:hAnsi="Arial"/>
          <w:sz w:val="18"/>
          <w:szCs w:val="18"/>
          <w:color w:val="auto"/>
        </w:rPr>
        <w:t>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equivalents.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Company’s portfolio of investments is comprised solely of U.S. government securities, within the meaning set forth in Section 2(a)</w:t>
      </w:r>
    </w:p>
    <w:p>
      <w:pPr>
        <w:spacing w:after="0" w:line="46" w:lineRule="exact"/>
        <w:rPr>
          <w:sz w:val="20"/>
          <w:szCs w:val="20"/>
          <w:color w:val="auto"/>
        </w:rPr>
      </w:pPr>
    </w:p>
    <w:p>
      <w:pPr>
        <w:ind w:left="344" w:hanging="344"/>
        <w:spacing w:after="0"/>
        <w:tabs>
          <w:tab w:leader="none" w:pos="3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Investment Company Act, with a maturity of 185 days or less, or investments in money market funds that invest in U.S. government</w:t>
      </w:r>
    </w:p>
    <w:p>
      <w:pPr>
        <w:spacing w:after="0" w:line="20" w:lineRule="exact"/>
        <w:rPr>
          <w:rFonts w:ascii="Arial" w:cs="Arial" w:eastAsia="Arial" w:hAnsi="Arial"/>
          <w:sz w:val="17"/>
          <w:szCs w:val="17"/>
          <w:color w:val="auto"/>
        </w:rPr>
      </w:pPr>
    </w:p>
    <w:p>
      <w:pPr>
        <w:ind w:left="4" w:right="140"/>
        <w:spacing w:after="0" w:line="295" w:lineRule="auto"/>
        <w:rPr>
          <w:rFonts w:ascii="Arial" w:cs="Arial" w:eastAsia="Arial" w:hAnsi="Arial"/>
          <w:sz w:val="17"/>
          <w:szCs w:val="17"/>
          <w:color w:val="auto"/>
        </w:rPr>
      </w:pPr>
      <w:r>
        <w:rPr>
          <w:rFonts w:ascii="Arial" w:cs="Arial" w:eastAsia="Arial" w:hAnsi="Arial"/>
          <w:sz w:val="16"/>
          <w:szCs w:val="16"/>
          <w:color w:val="auto"/>
        </w:rPr>
        <w:t>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is included in net gain on investments, dividends and interest held in Trust Account in the accompanying unaudited condensed statement of operations. The estimated fair values of investments held in the Trust Account are determined using available market information.</w:t>
      </w:r>
    </w:p>
    <w:p>
      <w:pPr>
        <w:spacing w:after="0" w:line="9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4"/>
          </w:cols>
          <w:pgMar w:left="436" w:top="125"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March 31, 2021, the Company has not experienced losses on these accounts and management believes the Company is not exposed to significant risks on such accounts.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left="120" w:right="460" w:firstLine="991"/>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84" w:lineRule="exact"/>
        <w:rPr>
          <w:sz w:val="20"/>
          <w:szCs w:val="20"/>
          <w:color w:val="auto"/>
        </w:rPr>
      </w:pPr>
    </w:p>
    <w:p>
      <w:pPr>
        <w:ind w:left="120" w:right="940" w:firstLine="991"/>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As of March 31, 2021,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issued an aggregate of 6,223,261 ordinary shares warrants associated with Units issued to investors in our Initial Public Offering and the underwriters’ exercise of their overallotment option and we issued 9,223,261 Private Placement Warrants. All of our outstanding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Offering costs consisted of legal, accounting, underwriting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2021, 31,116,305 Class A ordinary shares subject to possible redemption are presented as temporary equity, outside of the shareholders’ equity section of the Company’s balance sheet.</w:t>
      </w:r>
    </w:p>
    <w:p>
      <w:pPr>
        <w:spacing w:after="0" w:line="178" w:lineRule="exact"/>
        <w:rPr>
          <w:sz w:val="20"/>
          <w:szCs w:val="20"/>
          <w:color w:val="auto"/>
        </w:rPr>
      </w:pPr>
    </w:p>
    <w:p>
      <w:pPr>
        <w:jc w:val="both"/>
        <w:ind w:left="120" w:right="120" w:firstLine="991"/>
        <w:spacing w:after="0" w:line="286" w:lineRule="auto"/>
        <w:rPr>
          <w:sz w:val="20"/>
          <w:szCs w:val="20"/>
          <w:color w:val="auto"/>
        </w:rPr>
      </w:pPr>
      <w:r>
        <w:rPr>
          <w:rFonts w:ascii="Arial" w:cs="Arial" w:eastAsia="Arial" w:hAnsi="Arial"/>
          <w:sz w:val="17"/>
          <w:szCs w:val="17"/>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and accumulated deficit and Class A ordinary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period from January 13, 2021 (inception) through March 31, 2021. Accretion associated with the Class A ordinary shares subject to possible redemption is excluded from earnings per share as the redemption value approximates fair value.</w:t>
      </w:r>
    </w:p>
    <w:p>
      <w:pPr>
        <w:spacing w:after="0" w:line="210"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For the period from January 13, 2021</w:t>
      </w:r>
    </w:p>
    <w:p>
      <w:pPr>
        <w:spacing w:after="0" w:line="4"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(inception) through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-3175</wp:posOffset>
            </wp:positionV>
            <wp:extent cx="1714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Class B</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(221,992)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weighted average ordinary shares outstanding</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3,067,805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6,964,134</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080"/>
          </w:cols>
          <w:pgMar w:left="320" w:top="486" w:right="499" w:bottom="844" w:gutter="0" w:footer="0" w:header="0"/>
        </w:sect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80"/>
          </w:cols>
          <w:pgMar w:left="320" w:top="486" w:right="499" w:bottom="844"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 if currently adopted would have a material effect on the Company’s financial statements.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86"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4—Initial Public Offering</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5—Private Placement</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For the period from January 13, 2021 (inception) through March 31, 2021, the Company borrowed approximately $172,000 under the Note and fully repaid the Note on March 26, 2021.</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8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March 31,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120" w:right="100" w:firstLine="440"/>
        <w:spacing w:after="0" w:line="275" w:lineRule="auto"/>
        <w:rPr>
          <w:sz w:val="20"/>
          <w:szCs w:val="20"/>
          <w:color w:val="auto"/>
        </w:rPr>
      </w:pPr>
      <w:r>
        <w:rPr>
          <w:rFonts w:ascii="Arial" w:cs="Arial" w:eastAsia="Arial" w:hAnsi="Arial"/>
          <w:sz w:val="17"/>
          <w:szCs w:val="17"/>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approximately $10,000 in expenses in connection with such services during the period from January 13, 2021 (inception) ended March 31, 2021 as reflected in the accompanying statement of operations and included in accrued expenses—related party in connection with such services.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will expire at the conclusion of the 45-day option period.</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8—Class A Ordinary Shares Subject to Possible Redemption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Class A ordinary shares feature certain redemption rights that are considered to be outside of the Company’s control and subject to the occurrence of future events. As of March 31, 2021, there were 31,116,305 Class A ordinary shares outstanding, all of which were subject to possible redemption.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Class A ordinary shares subject to possible redemption reflected on the balance sheet is reconciled on the following table:</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$311,163,050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Offering costs allocated to Class A shares subject to possible redemption</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Proceeds allocated to Public Warrants at issuance</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(5,948,230)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3"/>
              </w:rPr>
              <w:t>Accretion on Class A ordinary shares subject to possible redemption amount</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23,086,620</w:t>
            </w:r>
          </w:p>
        </w:tc>
        <w:tc>
          <w:tcPr>
            <w:tcW w:w="100" w:type="dxa"/>
            <w:vAlign w:val="bottom"/>
            <w:tcBorders>
              <w:bottom w:val="single" w:sz="8" w:color="CCEEFF"/>
            </w:tcBorders>
          </w:tcPr>
          <w:p>
            <w:pPr>
              <w:spacing w:after="0"/>
              <w:rPr>
                <w:sz w:val="18"/>
                <w:szCs w:val="18"/>
                <w:color w:val="auto"/>
              </w:rPr>
            </w:pP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shd w:val="clear" w:color="auto" w:fill="CCEEFF"/>
              </w:rPr>
              <w:t>$</w:t>
            </w:r>
            <w:r>
              <w:rPr>
                <w:rFonts w:ascii="Arial" w:cs="Arial" w:eastAsia="Arial" w:hAnsi="Arial"/>
                <w:sz w:val="18"/>
                <w:szCs w:val="18"/>
                <w:b w:val="1"/>
                <w:bCs w:val="1"/>
                <w:color w:val="auto"/>
                <w:shd w:val="clear" w:color="auto" w:fill="CCEEFF"/>
              </w:rPr>
              <w:t>311,163,050</w:t>
            </w:r>
          </w:p>
        </w:tc>
        <w:tc>
          <w:tcPr>
            <w:tcW w:w="100" w:type="dxa"/>
            <w:vAlign w:val="bottom"/>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86" w:right="459" w:bottom="534" w:gutter="0" w:footer="0" w:header="0"/>
        </w:sect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86" w:right="459" w:bottom="534"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9—Shareholders’ Equity</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500,000,000 Class A ordinary shares with a par value of $0.0001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the Company’s Class A ordinary shares are entitled to one vote for each share. As of March 31, 2021, there were 31,116,305 Class A ordinary shares issued and outstanding, all of which are subject to possible redemption and are classified as temporary equity (see Note 8).</w:t>
      </w:r>
    </w:p>
    <w:p>
      <w:pPr>
        <w:spacing w:after="0" w:line="149"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50,000,000 Class B ordinary shares with a par value of $0.0001 per share.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60" w:firstLine="44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At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10—Derivative Warrant Liabilities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As of March 31, 2021, the Company has 6,223,261 and 9,223,261 Public Warrants and Private Placement Warrants,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herein with respect to the Private Placement Warrants):</w:t>
      </w:r>
    </w:p>
    <w:p>
      <w:pPr>
        <w:spacing w:after="0" w:line="116" w:lineRule="exact"/>
        <w:rPr>
          <w:sz w:val="20"/>
          <w:szCs w:val="20"/>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5540" w:right="3000" w:hanging="4439"/>
        <w:spacing w:after="0" w:line="449" w:lineRule="auto"/>
        <w:tabs>
          <w:tab w:leader="none" w:pos="1539"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 15</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540" w:right="340" w:hanging="439"/>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 xml:space="preserve">Redemption of warrants when the price per Class A ordinary share equals or exceeds $10.00: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w:t>
      </w:r>
    </w:p>
    <w:p>
      <w:pPr>
        <w:spacing w:after="0" w:line="116" w:lineRule="exact"/>
        <w:rPr>
          <w:sz w:val="20"/>
          <w:szCs w:val="20"/>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20" w:hanging="439"/>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54" w:lineRule="exact"/>
        <w:rPr>
          <w:rFonts w:ascii="Arial" w:cs="Arial" w:eastAsia="Arial" w:hAnsi="Arial"/>
          <w:sz w:val="16"/>
          <w:szCs w:val="16"/>
          <w:color w:val="auto"/>
        </w:rPr>
      </w:pPr>
    </w:p>
    <w:p>
      <w:pPr>
        <w:ind w:left="1540" w:right="140" w:hanging="439"/>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00" w:hanging="439"/>
        <w:spacing w:after="0" w:line="259"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11—Fair Value Measurements</w:t>
      </w:r>
    </w:p>
    <w:p>
      <w:pPr>
        <w:spacing w:after="0" w:line="121"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March 31, 2021 and indicates the fair value hierarchy of the valuation techniques that the Company utilized to determine such fair value.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66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Significant Other</w:t>
            </w:r>
          </w:p>
        </w:tc>
        <w:tc>
          <w:tcPr>
            <w:tcW w:w="172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in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Observable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25" w:lineRule="exact"/>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9"/>
              <w:spacing w:after="0" w:line="125" w:lineRule="exact"/>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311,163,203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Derivative warrant liabilities—public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260"/>
              <w:spacing w:after="0"/>
              <w:rPr>
                <w:sz w:val="20"/>
                <w:szCs w:val="20"/>
                <w:color w:val="auto"/>
              </w:rPr>
            </w:pPr>
            <w:r>
              <w:rPr>
                <w:rFonts w:ascii="Arial" w:cs="Arial" w:eastAsia="Arial" w:hAnsi="Arial"/>
                <w:sz w:val="18"/>
                <w:szCs w:val="18"/>
                <w:color w:val="auto"/>
                <w:w w:val="87"/>
              </w:rPr>
              <w:t>5,801,650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8,922,950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January 13, 2021 (inception) through March 31, 2021.</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measured based on the listed market price of such warrants, a Level 1 measurement, since March 2021. For the period from January 13, 2021 (inception) through March 31, 2021, the Company recognized a charge to the statement of operations resulting from a decrease in the fair value of liabilities of approximately $271,000 presented as change in fair value of derivative warrant liabilities on the accompanying statement of operations.</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ordinary share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March 22,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71"/>
        </w:trPr>
        <w:tc>
          <w:tcPr>
            <w:tcW w:w="5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9.81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9.81</w:t>
            </w:r>
          </w:p>
        </w:tc>
        <w:tc>
          <w:tcPr>
            <w:tcW w:w="2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Volatility</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14.0%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rate</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1.28%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change in the fair value of the derivative warrant liabilities for the period from January 13, 2021 (inception) through March 31, 2021 is summarized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14,995,760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Derivative warrant liabilities at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14,724,600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366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12—Subsequent Events</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date the financial statement were issued. There are no such events requiring potential adjustment to or disclosure in the financial statements and the Company has concluded that all such events that would require recognition or disclosure have been recognized or disclosed.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8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7"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16"/>
          <w:szCs w:val="16"/>
          <w:color w:val="auto"/>
        </w:rPr>
        <w:t>In this Amendment No. 1 (“Amendment No. 1”) to the Quarterly Report on Form 10-Q of ArcLight Clean Transition Corp. II (the “Company”) for the quarter ended March 31, 2021, we are restating our unaudited interim financial statements as of March 31, 2021, see Note 2 for additional information.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entire activity since inception through March 31, 2021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period from January 13, 2021 (inception) through March 31, 2021, we had net loss of approximately $320,000 from financing costs of approximately $463,000 and approximately $128,000 in general and administrative costs, partially offset by changes in the value of derivative warrant liabilities of approximately $271,000.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we had approximately $2.8 million in its operating bank account and working capital of approximately $2.4 million.</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liquidity needs up to March 31, 2021 had been satisfied through a payment of $25,000 from the Sponsor to cover certain expenses on behalf of the Company in exchange for the issuance of the Founder Shares (as defined below), the loan under the Note from the Sponsor of approximately $172,000 to us, and the net proceeds from the consummation of the Private Placement not held in the Trust Account. The Note from the Sponsor was repaid in full on March 26, 2021. In addition, in order to finance transaction costs in connection with a Business Combination, our officers, directors and Initial Shareholders may, but are not obligated to, provide the Company Working Capital Loans. To date, there were no amounts outstanding under any Working Capital Loans.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We continue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ASC Topic 480 “Distinguishing Liabilities from Equity.”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sharesfeature certain redemption rights that are considered to be outside of our control and subject to the occurrence of uncertain future events. Accordingly, as of March 31, 2021, 31,116,305 Class A ordinary shares subject to possible redemption is presented at redemption value as temporary equity, outside of the shareholders’ equity section of our condensed balance sheet.</w:t>
      </w:r>
    </w:p>
    <w:p>
      <w:pPr>
        <w:spacing w:after="0" w:line="17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Immediately upon the closing of the Initial Public Offering, we recognized the accretion from initial book value to redemption amount. The change in the carrying value of redeemable shares of Class A ordinary shares resulted in charges against additional paid-in capital and accumulated deficit.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We issued an aggregate of 6,223,261 ordinary share warrants associated with Units issued to investors in our Initial Public Offering and the underwriters’ exercise of their overallotment option and we issued 9,223,261 Private Placement Warrants. All of our outstanding warrants are recognized as derivative liabilities in accordance with ASC 815-40.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have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We have not considered the effect of the warrants sold in the Initial Public Offering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period from January 13, 2021 (inception) through March 31, 2021. Accretion associated with the Class A ordinary shares subject to possible redemption is excluded from earnings per share as the redemption value approximates fair value.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hanging="4"/>
        <w:spacing w:after="0" w:line="255" w:lineRule="auto"/>
        <w:tabs>
          <w:tab w:leader="none" w:pos="42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8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March 31, 2021,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as of March 31, 2021,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subject to redemption and warrants issued by the Company was not effectively designed or maintained. This material weakness resulted in the restatement of the Company’s balance sheet as of March 25, 2021 and its interim financial statements for the quarter ended March 31, 2021. Additionally, this material weakness could result in a misstatement of the warrant liability, Class A ordinary shares subject to redemption and related accounts and disclosures that would result in a material misstatement of the financial statements that would not be prevented or detected on a timely basis.</w:t>
      </w:r>
    </w:p>
    <w:p>
      <w:pPr>
        <w:spacing w:after="0" w:line="16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March 31, 2021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certain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274" w:lineRule="exact"/>
        <w:rPr>
          <w:sz w:val="20"/>
          <w:szCs w:val="20"/>
          <w:color w:val="auto"/>
        </w:rPr>
      </w:pPr>
    </w:p>
    <w:p>
      <w:pPr>
        <w:ind w:left="120" w:right="376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ind w:left="120" w:right="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ectPr>
          <w:pgSz w:w="11900" w:h="16838" w:orient="portrait"/>
          <w:cols w:equalWidth="0" w:num="1">
            <w:col w:w="11100"/>
          </w:cols>
          <w:pgMar w:left="320" w:top="486"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86"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Initial Public Offering and the underwriters of their over-allotment option, we incurred offering costs of approximately</w:t>
      </w:r>
    </w:p>
    <w:p>
      <w:pPr>
        <w:spacing w:after="0" w:line="23" w:lineRule="exact"/>
        <w:rPr>
          <w:sz w:val="20"/>
          <w:szCs w:val="20"/>
          <w:color w:val="auto"/>
        </w:rPr>
      </w:pPr>
    </w:p>
    <w:p>
      <w:pPr>
        <w:ind w:left="120" w:right="12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9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2"/>
                <w:szCs w:val="22"/>
                <w:color w:val="auto"/>
              </w:rPr>
            </w:pPr>
          </w:p>
        </w:tc>
        <w:tc>
          <w:tcPr>
            <w:tcW w:w="9920" w:type="dxa"/>
            <w:vAlign w:val="bottom"/>
            <w:tcBorders>
              <w:top w:val="single" w:sz="8" w:color="auto"/>
            </w:tcBorders>
            <w:gridSpan w:val="8"/>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Adopted Pursuant to Section 302 of the Sarbanes-Oxley Act of 2002.</w:t>
              </w:r>
            </w:hyperlink>
          </w:p>
        </w:tc>
        <w:tc>
          <w:tcPr>
            <w:tcW w:w="4360" w:type="dxa"/>
            <w:vAlign w:val="bottom"/>
            <w:tcBorders>
              <w:top w:val="single" w:sz="8" w:color="0000EE"/>
            </w:tcBorders>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380" w:hanging="5424"/>
        <w:spacing w:after="0" w:line="449" w:lineRule="auto"/>
        <w:tabs>
          <w:tab w:leader="none" w:pos="1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24</w:t>
      </w:r>
    </w:p>
    <w:p>
      <w:pPr>
        <w:sectPr>
          <w:pgSz w:w="11900" w:h="16838" w:orient="portrait"/>
          <w:cols w:equalWidth="0" w:num="1">
            <w:col w:w="11140"/>
          </w:cols>
          <w:pgMar w:left="320" w:top="486"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26th day of November,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320" w:top="486" w:right="7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right="74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March 31,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right="74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March 31,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March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 Chief Executive Officer and Director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March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Marco F. Gatti,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6"/>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Roman"/>
      <w:start w:val="4"/>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2021-11-26T08:18:09Z</dcterms:created>
  <dcterms:modified xsi:type="dcterms:W3CDTF">2021-11-26T08:18:09Z</dcterms:modified>
</cp:coreProperties>
</file>