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23495</wp:posOffset>
            </wp:positionV>
            <wp:extent cx="6993255" cy="5111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11175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260" w:space="28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Falbo Anthony</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ONE NORTH LEXINGTON AVE, 14TH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OPAL Fuels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OPAL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03/31/2023</w:t>
      </w:r>
    </w:p>
    <w:p>
      <w:pPr>
        <w:spacing w:after="0" w:line="20" w:lineRule="exact"/>
        <w:rPr>
          <w:sz w:val="24"/>
          <w:szCs w:val="24"/>
          <w:color w:val="auto"/>
        </w:rPr>
      </w:pPr>
      <w:r>
        <w:rPr>
          <w:sz w:val="24"/>
          <w:szCs w:val="24"/>
          <w:color w:val="auto"/>
        </w:rPr>
        <w:br w:type="column"/>
      </w:r>
    </w:p>
    <w:p>
      <w:pPr>
        <w:ind w:left="-2" w:right="620" w:firstLine="2"/>
        <w:spacing w:after="0" w:line="25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8"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78"/>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17" w:lineRule="exact"/>
        <w:rPr>
          <w:sz w:val="24"/>
          <w:szCs w:val="24"/>
          <w:color w:val="auto"/>
        </w:rPr>
      </w:pPr>
    </w:p>
    <w:p>
      <w:pPr>
        <w:sectPr>
          <w:pgSz w:w="11900" w:h="16838" w:orient="portrait"/>
          <w:cols w:equalWidth="0" w:num="3">
            <w:col w:w="3520" w:space="400"/>
            <w:col w:w="3102" w:space="720"/>
            <w:col w:w="3338"/>
          </w:cols>
          <w:pgMar w:left="460" w:top="216" w:right="359" w:bottom="1440" w:gutter="0" w:footer="0" w:header="0"/>
          <w:type w:val="continuous"/>
        </w:sectPr>
      </w:pP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7"/>
          </w:tcPr>
          <w:p>
            <w:pPr>
              <w:jc w:val="center"/>
              <w:ind w:right="19"/>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WHITE</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7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10601</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40" w:type="dxa"/>
            <w:vAlign w:val="bottom"/>
            <w:gridSpan w:val="9"/>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PLAINS</w:t>
            </w:r>
          </w:p>
        </w:tc>
        <w:tc>
          <w:tcPr>
            <w:tcW w:w="17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4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7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5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8"/>
              </w:rPr>
              <w:t>Transaction  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80" w:type="dxa"/>
            <w:vAlign w:val="bottom"/>
            <w:tcBorders>
              <w:bottom w:val="single" w:sz="8" w:color="2C2C2C"/>
            </w:tcBorders>
            <w:gridSpan w:val="5"/>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200" w:type="dxa"/>
            <w:vAlign w:val="bottom"/>
            <w:tcBorders>
              <w:top w:val="single" w:sz="8" w:color="2C2C2C"/>
            </w:tcBorders>
            <w:gridSpan w:val="12"/>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0"/>
          </w:tcPr>
          <w:p>
            <w:pPr>
              <w:jc w:val="center"/>
              <w:ind w:left="53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1"/>
              </w:rPr>
              <w:t>Transaction</w:t>
            </w:r>
          </w:p>
        </w:tc>
        <w:tc>
          <w:tcPr>
            <w:tcW w:w="6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and 4)</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options</w:t>
            </w: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line="207"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1"/>
                <w:szCs w:val="11"/>
                <w:color w:val="008000"/>
              </w:rPr>
              <w:t>(1)</w:t>
            </w: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gridSpan w:val="2"/>
            <w:vMerge w:val="restart"/>
          </w:tcPr>
          <w:p>
            <w:pPr>
              <w:jc w:val="right"/>
              <w:ind w:right="142"/>
              <w:spacing w:after="0"/>
              <w:rPr>
                <w:sz w:val="20"/>
                <w:szCs w:val="20"/>
                <w:color w:val="auto"/>
              </w:rPr>
            </w:pPr>
            <w:r>
              <w:rPr>
                <w:rFonts w:ascii="Times New Roman" w:cs="Times New Roman" w:eastAsia="Times New Roman" w:hAnsi="Times New Roman"/>
                <w:sz w:val="11"/>
                <w:szCs w:val="11"/>
                <w:color w:val="008000"/>
              </w:rPr>
              <w:t>(2)(3)(4)(5)</w:t>
            </w: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8,746</w:t>
            </w: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40" w:type="dxa"/>
            <w:vAlign w:val="bottom"/>
            <w:vMerge w:val="restart"/>
          </w:tcPr>
          <w:p>
            <w:pPr>
              <w:jc w:val="center"/>
              <w:ind w:right="15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6.97</w:t>
            </w:r>
          </w:p>
        </w:tc>
        <w:tc>
          <w:tcPr>
            <w:tcW w:w="1040" w:type="dxa"/>
            <w:vAlign w:val="bottom"/>
            <w:vMerge w:val="restart"/>
          </w:tcPr>
          <w:p>
            <w:pPr>
              <w:jc w:val="right"/>
              <w:ind w:right="135"/>
              <w:spacing w:after="0" w:line="143" w:lineRule="exact"/>
              <w:rPr>
                <w:sz w:val="20"/>
                <w:szCs w:val="20"/>
                <w:color w:val="auto"/>
              </w:rPr>
            </w:pPr>
            <w:r>
              <w:rPr>
                <w:rFonts w:ascii="Times New Roman" w:cs="Times New Roman" w:eastAsia="Times New Roman" w:hAnsi="Times New Roman"/>
                <w:sz w:val="13"/>
                <w:szCs w:val="13"/>
                <w:color w:val="0000FF"/>
              </w:rPr>
              <w:t>03/31/2023</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vMerge w:val="restart"/>
          </w:tcPr>
          <w:p>
            <w:pPr>
              <w:jc w:val="right"/>
              <w:ind w:right="41"/>
              <w:spacing w:after="0" w:line="143" w:lineRule="exact"/>
              <w:rPr>
                <w:sz w:val="20"/>
                <w:szCs w:val="20"/>
                <w:color w:val="auto"/>
              </w:rPr>
            </w:pPr>
            <w:r>
              <w:rPr>
                <w:rFonts w:ascii="Times New Roman" w:cs="Times New Roman" w:eastAsia="Times New Roman" w:hAnsi="Times New Roman"/>
                <w:sz w:val="13"/>
                <w:szCs w:val="13"/>
                <w:color w:val="0000FF"/>
              </w:rPr>
              <w:t>8,746</w:t>
            </w:r>
          </w:p>
        </w:tc>
        <w:tc>
          <w:tcPr>
            <w:tcW w:w="3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60" w:type="dxa"/>
            <w:vAlign w:val="bottom"/>
            <w:vMerge w:val="restart"/>
          </w:tcPr>
          <w:p>
            <w:pPr>
              <w:jc w:val="right"/>
              <w:ind w:right="1"/>
              <w:spacing w:after="0" w:line="143" w:lineRule="exact"/>
              <w:rPr>
                <w:sz w:val="20"/>
                <w:szCs w:val="20"/>
                <w:color w:val="auto"/>
              </w:rPr>
            </w:pPr>
            <w:r>
              <w:rPr>
                <w:rFonts w:ascii="Times New Roman" w:cs="Times New Roman" w:eastAsia="Times New Roman" w:hAnsi="Times New Roman"/>
                <w:sz w:val="13"/>
                <w:szCs w:val="13"/>
                <w:color w:val="0000FF"/>
                <w:w w:val="97"/>
              </w:rPr>
              <w:t>03/31/2033</w:t>
            </w:r>
          </w:p>
        </w:tc>
        <w:tc>
          <w:tcPr>
            <w:tcW w:w="66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8,746</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jc w:val="right"/>
              <w:ind w:right="259"/>
              <w:spacing w:after="0"/>
              <w:rPr>
                <w:sz w:val="20"/>
                <w:szCs w:val="20"/>
                <w:color w:val="auto"/>
              </w:rPr>
            </w:pPr>
            <w:r>
              <w:rPr>
                <w:rFonts w:ascii="Times New Roman" w:cs="Times New Roman" w:eastAsia="Times New Roman" w:hAnsi="Times New Roman"/>
                <w:sz w:val="11"/>
                <w:szCs w:val="11"/>
                <w:color w:val="008000"/>
              </w:rPr>
              <w:t>(6)</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gridSpan w:val="2"/>
            <w:vMerge w:val="restart"/>
          </w:tcPr>
          <w:p>
            <w:pPr>
              <w:jc w:val="right"/>
              <w:ind w:right="122"/>
              <w:spacing w:after="0"/>
              <w:rPr>
                <w:sz w:val="20"/>
                <w:szCs w:val="20"/>
                <w:color w:val="auto"/>
              </w:rPr>
            </w:pPr>
            <w:r>
              <w:rPr>
                <w:rFonts w:ascii="Times New Roman" w:cs="Times New Roman" w:eastAsia="Times New Roman" w:hAnsi="Times New Roman"/>
                <w:sz w:val="11"/>
                <w:szCs w:val="11"/>
                <w:color w:val="008000"/>
              </w:rPr>
              <w:t>(7)(8)(9)(10)</w:t>
            </w:r>
          </w:p>
        </w:tc>
        <w:tc>
          <w:tcPr>
            <w:tcW w:w="660" w:type="dxa"/>
            <w:vAlign w:val="bottom"/>
            <w:vMerge w:val="restart"/>
          </w:tcPr>
          <w:p>
            <w:pPr>
              <w:jc w:val="right"/>
              <w:ind w:right="241"/>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16,500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vMerge w:val="continue"/>
          </w:tcPr>
          <w:p>
            <w:pPr>
              <w:spacing w:after="0"/>
              <w:rPr>
                <w:sz w:val="12"/>
                <w:szCs w:val="12"/>
                <w:color w:val="auto"/>
              </w:rPr>
            </w:pPr>
          </w:p>
        </w:tc>
        <w:tc>
          <w:tcPr>
            <w:tcW w:w="1040" w:type="dxa"/>
            <w:vAlign w:val="bottom"/>
          </w:tcPr>
          <w:p>
            <w:pPr>
              <w:jc w:val="right"/>
              <w:ind w:right="135"/>
              <w:spacing w:after="0" w:line="143" w:lineRule="exact"/>
              <w:rPr>
                <w:sz w:val="20"/>
                <w:szCs w:val="20"/>
                <w:color w:val="auto"/>
              </w:rPr>
            </w:pPr>
            <w:r>
              <w:rPr>
                <w:rFonts w:ascii="Times New Roman" w:cs="Times New Roman" w:eastAsia="Times New Roman" w:hAnsi="Times New Roman"/>
                <w:sz w:val="13"/>
                <w:szCs w:val="13"/>
                <w:color w:val="0000FF"/>
              </w:rPr>
              <w:t>03/31/2023</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00" w:type="dxa"/>
            <w:vAlign w:val="bottom"/>
          </w:tcPr>
          <w:p>
            <w:pPr>
              <w:jc w:val="right"/>
              <w:ind w:right="21"/>
              <w:spacing w:after="0" w:line="143" w:lineRule="exact"/>
              <w:rPr>
                <w:sz w:val="20"/>
                <w:szCs w:val="20"/>
                <w:color w:val="auto"/>
              </w:rPr>
            </w:pPr>
            <w:r>
              <w:rPr>
                <w:rFonts w:ascii="Times New Roman" w:cs="Times New Roman" w:eastAsia="Times New Roman" w:hAnsi="Times New Roman"/>
                <w:sz w:val="13"/>
                <w:szCs w:val="13"/>
                <w:color w:val="0000FF"/>
              </w:rPr>
              <w:t>16,500</w:t>
            </w:r>
          </w:p>
        </w:tc>
        <w:tc>
          <w:tcPr>
            <w:tcW w:w="3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0000FF"/>
              </w:rPr>
              <w:t>26,500</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-2460625</wp:posOffset>
            </wp:positionV>
            <wp:extent cx="29210" cy="2465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4657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pursuant to the Issuer's 2022 Omnibus Equity Incentive Plan (the "Plan").</w:t>
      </w:r>
    </w:p>
    <w:p>
      <w:pPr>
        <w:spacing w:after="0" w:line="44" w:lineRule="exact"/>
        <w:rPr>
          <w:rFonts w:ascii="Times New Roman" w:cs="Times New Roman" w:eastAsia="Times New Roman" w:hAnsi="Times New Roman"/>
          <w:sz w:val="13"/>
          <w:szCs w:val="13"/>
          <w:color w:val="008000"/>
        </w:rPr>
      </w:pPr>
    </w:p>
    <w:p>
      <w:pPr>
        <w:ind w:left="40" w:right="4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an option to purchase shares of the Issuer's Class A common stock (the "Option") at an exercise price of $6.97 per share, which was the closing price per share of the Issuer's Class A common stock on March 31, 2023, as quoted on the Nasdaq Stock Market. The Option vests in three (3) equal installments on each of the following dates: (i) March 31, 2024, (ii) March 31, 2025, and (iii) March 31, 2026, provided, that the Reporting Person continues to provide services to the Issuer through the applicable vesting date.</w:t>
      </w:r>
    </w:p>
    <w:p>
      <w:pPr>
        <w:spacing w:after="0" w:line="26" w:lineRule="exact"/>
        <w:rPr>
          <w:rFonts w:ascii="Times New Roman" w:cs="Times New Roman" w:eastAsia="Times New Roman" w:hAnsi="Times New Roman"/>
          <w:sz w:val="13"/>
          <w:szCs w:val="13"/>
          <w:color w:val="008000"/>
        </w:rPr>
      </w:pPr>
    </w:p>
    <w:p>
      <w:pPr>
        <w:ind w:left="40" w:right="360" w:firstLine="2"/>
        <w:spacing w:after="0" w:line="25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the event that the Reporting Person's employment is terminated by reason of the Reporting Person's disability or termination without cause, the Options shall vest with respect to the number of shares of Class A common stock that would have vested upon the next vesting date following such termination, had the Reporting Person remained an employee.</w:t>
      </w:r>
    </w:p>
    <w:p>
      <w:pPr>
        <w:spacing w:after="0" w:line="16" w:lineRule="exact"/>
        <w:rPr>
          <w:rFonts w:ascii="Times New Roman" w:cs="Times New Roman" w:eastAsia="Times New Roman" w:hAnsi="Times New Roman"/>
          <w:sz w:val="13"/>
          <w:szCs w:val="13"/>
          <w:color w:val="008000"/>
        </w:rPr>
      </w:pPr>
    </w:p>
    <w:p>
      <w:pPr>
        <w:ind w:left="40" w:right="280" w:firstLine="2"/>
        <w:spacing w:after="0" w:line="292"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Notwithstanding the foregoing, upon the occurrence of a termination of employment by reason of the Reporting Person's (i) termination without cause; or (ii) resignation for good reason, in connection with or within the 24 months following the consummation of a Change in Control (as defined in the Plan and the relevant award agreement), any unvested portion of the Option shall accelerate and vest in full.</w:t>
      </w: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occurrence of a termination by reason of the Reporting Person's death, any unvested portion of the Option shall accelerate and vest in full.</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contingent right to receive, at settlement, one share of the Issuer's Class A common stock.</w:t>
      </w:r>
    </w:p>
    <w:p>
      <w:pPr>
        <w:spacing w:after="0" w:line="44" w:lineRule="exact"/>
        <w:rPr>
          <w:rFonts w:ascii="Times New Roman" w:cs="Times New Roman" w:eastAsia="Times New Roman" w:hAnsi="Times New Roman"/>
          <w:sz w:val="13"/>
          <w:szCs w:val="13"/>
          <w:color w:val="008000"/>
        </w:rPr>
      </w:pPr>
    </w:p>
    <w:p>
      <w:pPr>
        <w:ind w:left="40" w:right="280" w:firstLine="2"/>
        <w:spacing w:after="0" w:line="25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installments on March 31, 2024, March 31, 2025 and March 31, 2026, provided that the Reporting Person continues to provide services to the Issuer through the applicable vesting date.</w:t>
      </w:r>
    </w:p>
    <w:p>
      <w:pPr>
        <w:spacing w:after="0" w:line="16" w:lineRule="exact"/>
        <w:rPr>
          <w:rFonts w:ascii="Times New Roman" w:cs="Times New Roman" w:eastAsia="Times New Roman" w:hAnsi="Times New Roman"/>
          <w:sz w:val="13"/>
          <w:szCs w:val="13"/>
          <w:color w:val="008000"/>
        </w:rPr>
      </w:pPr>
    </w:p>
    <w:p>
      <w:pPr>
        <w:ind w:left="40" w:right="180" w:firstLine="2"/>
        <w:spacing w:after="0" w:line="25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the event that the Reporting Persons employment is terminated by reason of the Reporting Person's disability or termination without cause, the restricted stock units (the RSUs) shall vest with respect to the number of RSUs that would have vested upon the next vesting date following such termination had the Reporting Person remained an employee.</w:t>
      </w:r>
    </w:p>
    <w:p>
      <w:pPr>
        <w:spacing w:after="0" w:line="16" w:lineRule="exact"/>
        <w:rPr>
          <w:rFonts w:ascii="Times New Roman" w:cs="Times New Roman" w:eastAsia="Times New Roman" w:hAnsi="Times New Roman"/>
          <w:sz w:val="13"/>
          <w:szCs w:val="13"/>
          <w:color w:val="008000"/>
        </w:rPr>
      </w:pPr>
    </w:p>
    <w:p>
      <w:pPr>
        <w:ind w:left="40" w:right="160" w:firstLine="2"/>
        <w:spacing w:after="0" w:line="25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Notwithstanding the foregoing, upon the occurrence of a termination of employment by reason of the Reporting Persons (i) termination without cause; or (ii) resignation for good reason, in connection with or within the 24 months following the consummation of a Change in Control (as defined in the Plan and the relevant award agreement), any unvested portion of the RSUs shall accelerate and vest in full.</w:t>
      </w:r>
    </w:p>
    <w:p>
      <w:pPr>
        <w:spacing w:after="0" w:line="16" w:lineRule="exact"/>
        <w:rPr>
          <w:rFonts w:ascii="Times New Roman" w:cs="Times New Roman" w:eastAsia="Times New Roman" w:hAnsi="Times New Roman"/>
          <w:sz w:val="13"/>
          <w:szCs w:val="13"/>
          <w:color w:val="008000"/>
        </w:rPr>
      </w:pPr>
    </w:p>
    <w:p>
      <w:pPr>
        <w:ind w:left="240" w:hanging="198"/>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occurrence of a termination by reason of the Reporting Persons death, any unvested portion of the RSUs shall accelerate and vest in full.</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John Coghlin as Attorney-</w:t>
            </w:r>
          </w:p>
        </w:tc>
        <w:tc>
          <w:tcPr>
            <w:tcW w:w="10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8"/>
              </w:rPr>
              <w:t>04/04/2023</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0672"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2023-04-04T15:43:39Z</dcterms:created>
  <dcterms:modified xsi:type="dcterms:W3CDTF">2023-04-04T15:43:39Z</dcterms:modified>
</cp:coreProperties>
</file>