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13, 2025</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29"/>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47" w:lineRule="exact"/>
        <w:rPr>
          <w:sz w:val="20"/>
          <w:szCs w:val="20"/>
          <w:color w:val="auto"/>
        </w:rPr>
      </w:pPr>
    </w:p>
    <w:p>
      <w:pPr>
        <w:jc w:val="both"/>
        <w:ind w:right="20" w:firstLine="594"/>
        <w:spacing w:after="0" w:line="255" w:lineRule="auto"/>
        <w:rPr>
          <w:sz w:val="20"/>
          <w:szCs w:val="20"/>
          <w:color w:val="auto"/>
        </w:rPr>
      </w:pPr>
      <w:r>
        <w:rPr>
          <w:rFonts w:ascii="Times New Roman" w:cs="Times New Roman" w:eastAsia="Times New Roman" w:hAnsi="Times New Roman"/>
          <w:sz w:val="20"/>
          <w:szCs w:val="20"/>
          <w:color w:val="auto"/>
        </w:rPr>
        <w:t>On March 13, 2025, OPAL Fuels Inc. (the “Company”) issued a press release regarding its financial results for the three and twelve months ended December 31, 2024. A copy of the press release is furnished as Exhibit 99.1 hereto.</w:t>
      </w:r>
    </w:p>
    <w:p>
      <w:pPr>
        <w:spacing w:after="0" w:line="18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spacing w:after="0" w:line="21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21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Additionally, to supplement the Company’s financial statements presented in accordance with accounting principles generally accepted in the United States of America (“GAAP”) in Exhibit 99.1, the Company uses a non-GAAP financial measure that it calls adjusted EBITDA (“Adjusted EBITDA”). This non-GAAP measure adjusts net income for interest and financing expense, net, loss on debt extinguishment, net (income) loss attributable to non-controlling interests, depreciation, amortization and accretion expense, adjustments to reflect Adjusted EBITDA from equity method investments, loss on warrant exchange, unrealized (gain) loss on derivative instruments, non-cash charges, one-time non-recurring expenses, major maintenance on renewable power, RNG development and virtual pipeline costs, ITC proceeds and gain on deconsolidation of variable interest entities.</w:t>
      </w:r>
    </w:p>
    <w:p>
      <w:pPr>
        <w:spacing w:after="0" w:line="21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above (and/or other items that may arise in the future as the Company’s management deems appropriate), and the Company expects to continue to incur expenses, charges or gains like the non-GAAP adjustments described above.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Reconciliations of the non-GAAP financial measure to its most directly comparable GAAP financial measure can be found in the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3" w:name="page4"/>
    <w:bookmarkEnd w:id="3"/>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Exhibit Number</w:t>
            </w:r>
          </w:p>
        </w:tc>
        <w:tc>
          <w:tcPr>
            <w:tcW w:w="88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Description</w:t>
            </w:r>
          </w:p>
        </w:tc>
      </w:tr>
      <w:tr>
        <w:trPr>
          <w:trHeight w:val="21"/>
        </w:trPr>
        <w:tc>
          <w:tcPr>
            <w:tcW w:w="2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24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99.1</w:t>
            </w:r>
          </w:p>
        </w:tc>
        <w:tc>
          <w:tcPr>
            <w:tcW w:w="160" w:type="dxa"/>
            <w:vAlign w:val="bottom"/>
          </w:tcPr>
          <w:p>
            <w:pPr>
              <w:spacing w:after="0"/>
              <w:rPr>
                <w:sz w:val="19"/>
                <w:szCs w:val="19"/>
                <w:color w:val="auto"/>
              </w:rPr>
            </w:pPr>
          </w:p>
        </w:tc>
        <w:tc>
          <w:tcPr>
            <w:tcW w:w="8840" w:type="dxa"/>
            <w:vAlign w:val="bottom"/>
            <w:gridSpan w:val="4"/>
          </w:tcPr>
          <w:p>
            <w:pPr>
              <w:ind w:left="20"/>
              <w:spacing w:after="0" w:line="223" w:lineRule="exact"/>
              <w:rPr>
                <w:sz w:val="20"/>
                <w:szCs w:val="20"/>
                <w:color w:val="auto"/>
              </w:rPr>
            </w:pPr>
            <w:r>
              <w:rPr>
                <w:rFonts w:ascii="Times New Roman" w:cs="Times New Roman" w:eastAsia="Times New Roman" w:hAnsi="Times New Roman"/>
                <w:sz w:val="20"/>
                <w:szCs w:val="20"/>
                <w:color w:val="0000FF"/>
              </w:rPr>
              <w:t>Press release, issued by OPAL Fuels Inc., dated March 13, 2025</w:t>
            </w:r>
          </w:p>
        </w:tc>
      </w:tr>
      <w:tr>
        <w:trPr>
          <w:trHeight w:val="2026"/>
        </w:trPr>
        <w:tc>
          <w:tcPr>
            <w:tcW w:w="2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60" w:type="dxa"/>
            <w:vAlign w:val="bottom"/>
            <w:tcBorders>
              <w:top w:val="single" w:sz="8" w:color="0000FF"/>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2025</w:t>
      </w:r>
    </w:p>
    <w:p>
      <w:pPr>
        <w:spacing w:after="0" w:line="8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Kazi Hasan</w:t>
            </w:r>
          </w:p>
        </w:tc>
        <w:tc>
          <w:tcPr>
            <w:tcW w:w="0" w:type="dxa"/>
            <w:vAlign w:val="bottom"/>
          </w:tcPr>
          <w:p>
            <w:pPr>
              <w:spacing w:after="0"/>
              <w:rPr>
                <w:sz w:val="1"/>
                <w:szCs w:val="1"/>
                <w:color w:val="auto"/>
              </w:rPr>
            </w:pPr>
          </w:p>
        </w:tc>
      </w:tr>
      <w:tr>
        <w:trPr>
          <w:trHeight w:val="41"/>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Kazi Hasan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157734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OPAL Fuels Reports Fourth Quarter and Full Year 2024 Results</w:t>
      </w:r>
    </w:p>
    <w:p>
      <w:pPr>
        <w:spacing w:after="0" w:line="2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1"/>
          <w:szCs w:val="21"/>
          <w:color w:val="auto"/>
        </w:rPr>
        <w:t>WHITE PLAINS, N.Y. – (</w:t>
      </w:r>
      <w:r>
        <w:rPr>
          <w:rFonts w:ascii="Times New Roman" w:cs="Times New Roman" w:eastAsia="Times New Roman" w:hAnsi="Times New Roman"/>
          <w:sz w:val="21"/>
          <w:szCs w:val="21"/>
          <w:color w:val="EE2724"/>
        </w:rPr>
        <w:t>March 13, 2025</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u w:val="single" w:color="auto"/>
          <w:color w:val="0000FF"/>
        </w:rPr>
        <w:t>OPAL Fuels Inc.</w:t>
      </w:r>
      <w:r>
        <w:rPr>
          <w:rFonts w:ascii="Times New Roman" w:cs="Times New Roman" w:eastAsia="Times New Roman" w:hAnsi="Times New Roman"/>
          <w:sz w:val="21"/>
          <w:szCs w:val="21"/>
          <w:color w:val="auto"/>
        </w:rPr>
        <w:t xml:space="preserve"> (“OPAL Fuels” or the “Company”) (Nasdaq: OPAL), a vertically integrated leader in the capture and conversion of biogas into low carbon intensity renewable natural gas (RNG) and renewable electricity, today announced financial and operating results for the three and twelve months ended December 31, 2024.</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“2024 was a solid year for OPAL Fuels, we made strong progress on our operational and strategic objectives and have positioned the company for continued success this year and for many years to come,” said Adam Comora, co-CEO of OPAL Fuels. “We have continued to scale rapidly over the last twelve months. We brought online three large landfill RNG projects totaling 3.8 million MMBtu of annual design capacity and now have 11 in operation. Our total annual design capacity for RNG projects in operation and in construction is now 11.4 million MMBtu. Our disciplined execution and vertical integration continues to drive growth of our intrinsic value as we capitalize on the growing biofuels market."</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"Since becoming a public company in 2022, we have, organically, more than tripled our operating production capacity and doubled EBITDA through a combination of converting existing biogas-to-electricity plants into RNG, new RNG projects, and strong growth in our fuel station services segment. Despite near term market volatility, 2025 is expected to be another year of solid growth for OPAL Fuels," continued Comora.</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“We're proud of our position as one of the largest integrated RNG operators in the market.” said co-CEO Jonathan Maurer. “OPAL Fuels is a leader in the space and our track record of success makes us a logical choice for feedstock suppliers seeking an operating partner, and fleet customers looking to deploy trucks that are Cleaner, Cheaper, Now.”</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"We're excited about our outlook for 2025, our guidance reflects our expectation of executing our business plan as we navigate challenging market conditions. We expect to continue to expand our RNG facility footprint and grow our Fuel Station Services segment," said co-CEO Jonathan Maurer. "The management team remains focused on disciplined execution to drive shareholder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Financial Highlights</w:t>
      </w:r>
    </w:p>
    <w:p>
      <w:pPr>
        <w:spacing w:after="0" w:line="197" w:lineRule="exact"/>
        <w:rPr>
          <w:sz w:val="20"/>
          <w:szCs w:val="20"/>
          <w:color w:val="auto"/>
        </w:rPr>
      </w:pPr>
    </w:p>
    <w:p>
      <w:pPr>
        <w:ind w:left="660" w:right="2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 for the three and twelve months ended December 31, 2024, was $80.0 million and $300.0 million, respectively, 8% lower and 17% higher, compared to same periods last year.</w:t>
      </w:r>
    </w:p>
    <w:p>
      <w:pPr>
        <w:spacing w:after="0" w:line="117" w:lineRule="exact"/>
        <w:rPr>
          <w:rFonts w:ascii="Times New Roman" w:cs="Times New Roman" w:eastAsia="Times New Roman" w:hAnsi="Times New Roman"/>
          <w:sz w:val="22"/>
          <w:szCs w:val="22"/>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(loss) for the three and twelve months ended December 31, 2024, was a net loss of $5.4 million and net income of $14.3 million, respectively, compared to $20.1 million and $127.0 million net income, in the comparable periods last year.</w:t>
      </w:r>
      <w:r>
        <w:rPr>
          <w:rFonts w:ascii="Times New Roman" w:cs="Times New Roman" w:eastAsia="Times New Roman" w:hAnsi="Times New Roman"/>
          <w:sz w:val="28"/>
          <w:szCs w:val="28"/>
          <w:color w:val="auto"/>
          <w:vertAlign w:val="superscript"/>
        </w:rPr>
        <w:t>1</w:t>
      </w:r>
    </w:p>
    <w:p>
      <w:pPr>
        <w:spacing w:after="0" w:line="40" w:lineRule="exact"/>
        <w:rPr>
          <w:rFonts w:ascii="Times New Roman" w:cs="Times New Roman" w:eastAsia="Times New Roman" w:hAnsi="Times New Roman"/>
          <w:sz w:val="22"/>
          <w:szCs w:val="22"/>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Basic net earnings (loss) per share attributable to Class A common shareholders for the three and twelve months ended December 31, 2024, was $(0.05) and $0.02, respectively compared to $0.11 and $0.70 in the comparable periods last year.</w:t>
      </w:r>
      <w:r>
        <w:rPr>
          <w:rFonts w:ascii="Times New Roman" w:cs="Times New Roman" w:eastAsia="Times New Roman" w:hAnsi="Times New Roman"/>
          <w:sz w:val="28"/>
          <w:szCs w:val="28"/>
          <w:color w:val="auto"/>
          <w:vertAlign w:val="superscript"/>
        </w:rPr>
        <w:t>1</w:t>
      </w:r>
    </w:p>
    <w:p>
      <w:pPr>
        <w:spacing w:after="0" w:line="35" w:lineRule="exact"/>
        <w:rPr>
          <w:rFonts w:ascii="Times New Roman" w:cs="Times New Roman" w:eastAsia="Times New Roman" w:hAnsi="Times New Roman"/>
          <w:sz w:val="22"/>
          <w:szCs w:val="22"/>
          <w:color w:val="auto"/>
        </w:rPr>
      </w:pPr>
    </w:p>
    <w:p>
      <w:pPr>
        <w:ind w:left="660" w:hanging="328"/>
        <w:spacing w:after="0" w:line="227"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EBITDA</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for the three and twelve months ended December 31, 2024, was $22.6 million and $90.0 million, respectively, compared to $32.0 million and $52.0 million in comparable periods last year.</w:t>
      </w:r>
    </w:p>
    <w:p>
      <w:pPr>
        <w:spacing w:after="0" w:line="16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December 31, 2024, RNG Pending Monetization totaled $20.3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Operational Highlights</w:t>
      </w:r>
    </w:p>
    <w:p>
      <w:pPr>
        <w:spacing w:after="0" w:line="197" w:lineRule="exact"/>
        <w:rPr>
          <w:sz w:val="20"/>
          <w:szCs w:val="20"/>
          <w:color w:val="auto"/>
        </w:rPr>
      </w:pPr>
    </w:p>
    <w:p>
      <w:pPr>
        <w:jc w:val="both"/>
        <w:ind w:left="660" w:hanging="328"/>
        <w:spacing w:after="0" w:line="259"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commenced operations at three landfill RNG projects in 2024, Prince William, Sapphire, and Polk representing an aggregate annual design capacity of 3.6 million MMBtu, increasing the aggregate annual design capacity of our operating RNG projects to 8.8 million MMBtu at year end 2024. Including the projects currently in construction, aggregate annual design capacity is 11.4 million MMBtu.</w:t>
      </w:r>
      <w:r>
        <w:rPr>
          <w:rFonts w:ascii="Times New Roman" w:cs="Times New Roman" w:eastAsia="Times New Roman" w:hAnsi="Times New Roman"/>
          <w:sz w:val="28"/>
          <w:szCs w:val="28"/>
          <w:color w:val="auto"/>
          <w:vertAlign w:val="superscript"/>
        </w:rPr>
        <w:t>3,4</w:t>
      </w:r>
    </w:p>
    <w:p>
      <w:pPr>
        <w:spacing w:after="0" w:line="48"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RNG produced was 1.1 million and 3.8 million MMBtu, for the three and twelve months ended December 31, 2024, an increase of 38% and 41% compared to the prior-year periods.</w:t>
      </w:r>
    </w:p>
    <w:p>
      <w:pPr>
        <w:spacing w:after="0" w:line="130" w:lineRule="exact"/>
        <w:rPr>
          <w:rFonts w:ascii="Times New Roman" w:cs="Times New Roman" w:eastAsia="Times New Roman" w:hAnsi="Times New Roman"/>
          <w:sz w:val="22"/>
          <w:szCs w:val="22"/>
          <w:color w:val="auto"/>
        </w:rPr>
      </w:pPr>
    </w:p>
    <w:p>
      <w:pPr>
        <w:jc w:val="both"/>
        <w:ind w:left="660" w:hanging="328"/>
        <w:spacing w:after="0" w:line="262" w:lineRule="auto"/>
        <w:tabs>
          <w:tab w:leader="none" w:pos="65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Fuel Station Services segment sold, dispensed, and serviced an aggregate of 41.9 million and 150.2 million GGEs of transportation fuel for the three and twelve months ended December 31, 2024, an increase of 19% and 13% compared to the prior-year periods. Of this amount, RNG dispensed as a transportation fuel was 19.3 million and 74.0 million GGEs,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respectively an increase of 54% and 69% compared to the prior-year periods.</w:t>
      </w:r>
    </w:p>
    <w:p>
      <w:pPr>
        <w:spacing w:after="0" w:line="237" w:lineRule="auto"/>
        <w:rPr>
          <w:sz w:val="20"/>
          <w:szCs w:val="20"/>
          <w:color w:val="auto"/>
        </w:rPr>
      </w:pPr>
      <w:r>
        <w:rPr>
          <w:rFonts w:ascii="Times New Roman" w:cs="Times New Roman" w:eastAsia="Times New Roman" w:hAnsi="Times New Roman"/>
          <w:sz w:val="22"/>
          <w:szCs w:val="22"/>
          <w:color w:val="auto"/>
        </w:rPr>
        <w:t>____________________________</w:t>
      </w:r>
    </w:p>
    <w:p>
      <w:pPr>
        <w:ind w:left="80" w:hanging="72"/>
        <w:spacing w:after="0" w:line="195" w:lineRule="auto"/>
        <w:tabs>
          <w:tab w:leader="none" w:pos="8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income for the twelve months ended December, 2023 included a $122.9 million non-cash gain on deconsolidation of variable interest entities ("VIEs").</w:t>
      </w:r>
    </w:p>
    <w:p>
      <w:pPr>
        <w:spacing w:after="0" w:line="101" w:lineRule="exact"/>
        <w:rPr>
          <w:sz w:val="20"/>
          <w:szCs w:val="20"/>
          <w:color w:val="auto"/>
        </w:rPr>
      </w:pPr>
    </w:p>
    <w:p>
      <w:pPr>
        <w:ind w:firstLine="8"/>
        <w:spacing w:after="0" w:line="225" w:lineRule="auto"/>
        <w:tabs>
          <w:tab w:leader="none" w:pos="79"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is a non-GAAP measure. A reconciliation of non-GAAP financial measure to comparable GAAP measure has been provided in the financial tables included in this press release. An explanation of this measure and how it is calculated is also included below under the heading “Non-GAAP Financial Measures."</w:t>
      </w:r>
    </w:p>
    <w:p>
      <w:pPr>
        <w:spacing w:after="0" w:line="101" w:lineRule="exact"/>
        <w:rPr>
          <w:sz w:val="20"/>
          <w:szCs w:val="20"/>
          <w:color w:val="auto"/>
        </w:rPr>
      </w:pPr>
    </w:p>
    <w:p>
      <w:pPr>
        <w:ind w:firstLine="8"/>
        <w:spacing w:after="0" w:line="225" w:lineRule="auto"/>
        <w:tabs>
          <w:tab w:leader="none" w:pos="10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Design capacity is the annual design output for each facility and may not reflect actual production from the projects, which depends on many variables including, but not limited to, quantity and quality of the biogas, operational up-time of the facility, and actual productivity of the facility.</w:t>
      </w:r>
    </w:p>
    <w:p>
      <w:pPr>
        <w:spacing w:after="0" w:line="56" w:lineRule="exact"/>
        <w:rPr>
          <w:sz w:val="20"/>
          <w:szCs w:val="20"/>
          <w:color w:val="auto"/>
        </w:rPr>
      </w:pPr>
    </w:p>
    <w:p>
      <w:pPr>
        <w:ind w:left="100" w:hanging="92"/>
        <w:spacing w:after="0"/>
        <w:tabs>
          <w:tab w:leader="none" w:pos="10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OPAL Fuels' proportional share with respect to RNG projects owned with joint venture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8" w:right="339" w:bottom="1440" w:gutter="0" w:footer="0" w:header="0"/>
        </w:sectPr>
      </w:pPr>
    </w:p>
    <w:bookmarkStart w:id="7" w:name="page8"/>
    <w:bookmarkEnd w:id="7"/>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Construction Update</w:t>
      </w:r>
    </w:p>
    <w:p>
      <w:pPr>
        <w:spacing w:after="0" w:line="18" w:lineRule="exact"/>
        <w:rPr>
          <w:sz w:val="20"/>
          <w:szCs w:val="20"/>
          <w:color w:val="auto"/>
        </w:rPr>
      </w:pPr>
    </w:p>
    <w:p>
      <w:pPr>
        <w:ind w:left="660" w:hanging="328"/>
        <w:spacing w:after="0" w:line="261"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Three landfill RNG projects entered construction in 2024, Burlington, Cottonwood, and Kirby, representing an aggregate annual design capacity of 1.8 million MMBtu for OPAL's share.</w:t>
      </w:r>
    </w:p>
    <w:p>
      <w:pPr>
        <w:spacing w:after="0" w:line="127"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Atlantic RNG project is expected to commence commercial operations in the third quarter of 2025. This project represents approximately 0.3 million MMBtu for OPAL Fuels’ 50% ownership share of annual design capacity.</w:t>
      </w:r>
    </w:p>
    <w:p>
      <w:pPr>
        <w:spacing w:after="0" w:line="130" w:lineRule="exact"/>
        <w:rPr>
          <w:rFonts w:ascii="Times New Roman" w:cs="Times New Roman" w:eastAsia="Times New Roman" w:hAnsi="Times New Roman"/>
          <w:sz w:val="22"/>
          <w:szCs w:val="22"/>
          <w:color w:val="auto"/>
        </w:rPr>
      </w:pPr>
    </w:p>
    <w:p>
      <w:pPr>
        <w:ind w:left="660" w:right="20" w:hanging="328"/>
        <w:spacing w:after="0" w:line="274"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Completion of construction at two dairy projects in California (Hilltop and Vander Schaaf) continues to be delayed due to a dispute with the Engineering, Procurement and Construction contractor over a series of change order requests.</w:t>
      </w:r>
      <w:r>
        <w:rPr>
          <w:rFonts w:ascii="Times New Roman" w:cs="Times New Roman" w:eastAsia="Times New Roman" w:hAnsi="Times New Roman"/>
          <w:sz w:val="28"/>
          <w:szCs w:val="28"/>
          <w:color w:val="auto"/>
          <w:vertAlign w:val="superscript"/>
        </w:rPr>
        <w:t>5</w:t>
      </w:r>
    </w:p>
    <w:p>
      <w:pPr>
        <w:spacing w:after="0" w:line="3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December 31, 2024 we had 47 stations under construction including 20 owned by OPAL.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2025 Guidance</w:t>
      </w:r>
    </w:p>
    <w:p>
      <w:pPr>
        <w:spacing w:after="0" w:line="183" w:lineRule="exact"/>
        <w:rPr>
          <w:sz w:val="20"/>
          <w:szCs w:val="20"/>
          <w:color w:val="auto"/>
        </w:rPr>
      </w:pPr>
    </w:p>
    <w:p>
      <w:pPr>
        <w:ind w:left="660" w:hanging="328"/>
        <w:spacing w:after="0" w:line="284"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currently estimates that Adjusted EBITDA for the full year 2025 will range between $90 million and $110 million which assumes a $2.60/gallon D3 RIN price.</w:t>
      </w:r>
    </w:p>
    <w:p>
      <w:pPr>
        <w:spacing w:after="0" w:line="10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EBITDA is based on an RNG production range of 5.0 to 5.4 million MMBtu.</w:t>
      </w:r>
    </w:p>
    <w:p>
      <w:pPr>
        <w:spacing w:after="0" w:line="19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 anticipate 2025 Adjusted EBITDA from our Fuel Station Services segment to grow by 30%-50% compared to 2024.</w:t>
      </w:r>
    </w:p>
    <w:p>
      <w:pPr>
        <w:spacing w:after="0" w:line="190"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 anticipate putting into construction approximately 2.0 million annual MMBtu of RNG annual design capacity in 2025.</w:t>
      </w:r>
    </w:p>
    <w:p>
      <w:pPr>
        <w:spacing w:after="0" w:line="204" w:lineRule="exact"/>
        <w:rPr>
          <w:rFonts w:ascii="Times New Roman" w:cs="Times New Roman" w:eastAsia="Times New Roman" w:hAnsi="Times New Roman"/>
          <w:sz w:val="21"/>
          <w:szCs w:val="21"/>
          <w:color w:val="auto"/>
        </w:rPr>
      </w:pPr>
    </w:p>
    <w:p>
      <w:pPr>
        <w:ind w:left="660" w:hanging="328"/>
        <w:spacing w:after="0" w:line="271"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EBITDA does not include approximately $50 million of anticipated ITC sale proceeds from recent RNG projects, which would be included in operating cash flow and net income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w:t>
      </w:r>
    </w:p>
    <w:p>
      <w:pPr>
        <w:spacing w:after="0" w:line="165" w:lineRule="exact"/>
        <w:rPr>
          <w:sz w:val="20"/>
          <w:szCs w:val="20"/>
          <w:color w:val="auto"/>
        </w:rPr>
      </w:pPr>
    </w:p>
    <w:p>
      <w:pPr>
        <w:ind w:left="100" w:hanging="92"/>
        <w:spacing w:after="0"/>
        <w:tabs>
          <w:tab w:leader="none" w:pos="10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more information, please see the Company’s Annual Report on Form 10-K for the twelve months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00" w:lineRule="exact"/>
        <w:rPr>
          <w:sz w:val="20"/>
          <w:szCs w:val="20"/>
          <w:color w:val="auto"/>
        </w:rPr>
      </w:pPr>
    </w:p>
    <w:p>
      <w:pPr>
        <w:spacing w:after="0" w:line="247" w:lineRule="exact"/>
        <w:rPr>
          <w:sz w:val="20"/>
          <w:szCs w:val="20"/>
          <w:color w:val="auto"/>
        </w:rPr>
      </w:pPr>
    </w:p>
    <w:tbl>
      <w:tblPr>
        <w:tblLayout w:type="fixed"/>
        <w:tblInd w:w="620" w:type="dxa"/>
        <w:tblCellMar>
          <w:top w:w="0" w:type="dxa"/>
          <w:left w:w="0" w:type="dxa"/>
          <w:bottom w:w="0" w:type="dxa"/>
          <w:right w:w="0" w:type="dxa"/>
        </w:tblCellMar>
      </w:tblPr>
      <w:tr>
        <w:trPr>
          <w:trHeight w:val="198"/>
        </w:trPr>
        <w:tc>
          <w:tcPr>
            <w:tcW w:w="492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auto"/>
            </w:tcBorders>
            <w:gridSpan w:val="5"/>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Three Months Ended December</w:t>
            </w:r>
          </w:p>
        </w:tc>
        <w:tc>
          <w:tcPr>
            <w:tcW w:w="8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auto"/>
            </w:tcBorders>
            <w:gridSpan w:val="6"/>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Twelve Months Ended December</w:t>
            </w:r>
          </w:p>
        </w:tc>
      </w:tr>
      <w:tr>
        <w:trPr>
          <w:trHeight w:val="23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thousands of dollars, except RNG Fuel data)</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9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7"/>
              </w:rPr>
              <w:t>31,</w:t>
            </w:r>
          </w:p>
        </w:tc>
        <w:tc>
          <w:tcPr>
            <w:tcW w:w="960" w:type="dxa"/>
            <w:vAlign w:val="bottom"/>
            <w:tcBorders>
              <w:bottom w:val="single" w:sz="8" w:color="auto"/>
            </w:tcBorders>
            <w:shd w:val="clear" w:color="auto" w:fill="CCEEFF"/>
          </w:tcPr>
          <w:p>
            <w:pPr>
              <w:spacing w:after="0"/>
              <w:rPr>
                <w:sz w:val="20"/>
                <w:szCs w:val="20"/>
                <w:color w:val="auto"/>
              </w:rPr>
            </w:pPr>
          </w:p>
        </w:tc>
      </w:tr>
      <w:tr>
        <w:trPr>
          <w:trHeight w:val="223"/>
        </w:trPr>
        <w:tc>
          <w:tcPr>
            <w:tcW w:w="4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28,824</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88,420</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66,292</w:t>
            </w:r>
          </w:p>
        </w:tc>
      </w:tr>
      <w:tr>
        <w:trPr>
          <w:trHeight w:val="324"/>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46,923</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166,875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135,012</w:t>
            </w:r>
          </w:p>
        </w:tc>
      </w:tr>
      <w:tr>
        <w:trPr>
          <w:trHeight w:val="230"/>
        </w:trPr>
        <w:tc>
          <w:tcPr>
            <w:tcW w:w="4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54,804</w:t>
            </w:r>
          </w:p>
        </w:tc>
      </w:tr>
      <w:tr>
        <w:trPr>
          <w:trHeight w:val="248"/>
        </w:trPr>
        <w:tc>
          <w:tcPr>
            <w:tcW w:w="492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Total Revenue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299,972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256,108</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199,851</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183,900</w:t>
            </w: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Project development and startup costs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19,109</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r>
      <w:tr>
        <w:trPr>
          <w:trHeight w:val="230"/>
        </w:trPr>
        <w:tc>
          <w:tcPr>
            <w:tcW w:w="49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59,790</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60,302</w:t>
            </w:r>
          </w:p>
        </w:tc>
      </w:tr>
      <w:tr>
        <w:trPr>
          <w:trHeight w:val="256"/>
        </w:trPr>
        <w:tc>
          <w:tcPr>
            <w:tcW w:w="4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4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127,024</w:t>
            </w:r>
          </w:p>
        </w:tc>
      </w:tr>
      <w:tr>
        <w:trPr>
          <w:trHeight w:val="229"/>
        </w:trPr>
        <w:tc>
          <w:tcPr>
            <w:tcW w:w="49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RNG Fuel </w:t>
            </w:r>
            <w:r>
              <w:rPr>
                <w:rFonts w:ascii="Times New Roman" w:cs="Times New Roman" w:eastAsia="Times New Roman" w:hAnsi="Times New Roman"/>
                <w:sz w:val="23"/>
                <w:szCs w:val="23"/>
                <w:color w:val="auto"/>
                <w:vertAlign w:val="superscript"/>
              </w:rPr>
              <w:t>(5)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48,703</w:t>
            </w:r>
          </w:p>
        </w:tc>
      </w:tr>
      <w:tr>
        <w:trPr>
          <w:trHeight w:val="229"/>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Fuel Station Services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22,847</w:t>
            </w:r>
          </w:p>
        </w:tc>
      </w:tr>
      <w:tr>
        <w:trPr>
          <w:trHeight w:val="23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Renewable Power</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26,132</w:t>
            </w:r>
          </w:p>
        </w:tc>
      </w:tr>
      <w:tr>
        <w:trPr>
          <w:trHeight w:val="229"/>
        </w:trPr>
        <w:tc>
          <w:tcPr>
            <w:tcW w:w="4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(46,150)</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(45,732)</w:t>
            </w:r>
          </w:p>
        </w:tc>
      </w:tr>
      <w:tr>
        <w:trPr>
          <w:trHeight w:val="24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90,005</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volume produced (Million MMBtus)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RNG Fuel volume dispensed (Million GGEs)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3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volumes sold, dispensed, and serviced (Million GGEs)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r>
    </w:tbl>
    <w:p>
      <w:pPr>
        <w:spacing w:after="0" w:line="293"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revenues from equity method investments.</w:t>
      </w:r>
    </w:p>
    <w:p>
      <w:pPr>
        <w:spacing w:after="0" w:line="127" w:lineRule="exact"/>
        <w:rPr>
          <w:rFonts w:ascii="Times New Roman" w:cs="Times New Roman" w:eastAsia="Times New Roman" w:hAnsi="Times New Roman"/>
          <w:sz w:val="21"/>
          <w:szCs w:val="21"/>
          <w:color w:val="auto"/>
          <w:vertAlign w:val="superscript"/>
        </w:rPr>
      </w:pPr>
    </w:p>
    <w:p>
      <w:pPr>
        <w:ind w:left="260" w:hanging="252"/>
        <w:spacing w:after="0" w:line="225" w:lineRule="auto"/>
        <w:tabs>
          <w:tab w:leader="none" w:pos="179"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selling, general and administrative expenses, depreciation and amortization expenses, impairment and income (loss) from equity method investments. Please refer to the Statement of Operations at the end of the press release for additional information.</w:t>
      </w:r>
    </w:p>
    <w:p>
      <w:pPr>
        <w:spacing w:after="0" w:line="119" w:lineRule="exact"/>
        <w:rPr>
          <w:rFonts w:ascii="Times New Roman" w:cs="Times New Roman" w:eastAsia="Times New Roman" w:hAnsi="Times New Roman"/>
          <w:sz w:val="21"/>
          <w:szCs w:val="21"/>
          <w:color w:val="auto"/>
          <w:vertAlign w:val="superscript"/>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Net income for twelve months ended December 31, 2023 included a $122.9 million non-cash gain on deconsolidation of variable interest entities ("VIEs").</w:t>
      </w:r>
    </w:p>
    <w:p>
      <w:pPr>
        <w:spacing w:after="0" w:line="127" w:lineRule="exact"/>
        <w:rPr>
          <w:rFonts w:ascii="Times New Roman" w:cs="Times New Roman" w:eastAsia="Times New Roman" w:hAnsi="Times New Roman"/>
          <w:sz w:val="19"/>
          <w:szCs w:val="19"/>
          <w:color w:val="auto"/>
          <w:vertAlign w:val="superscript"/>
        </w:rPr>
      </w:pPr>
    </w:p>
    <w:p>
      <w:pPr>
        <w:jc w:val="right"/>
        <w:ind w:left="260" w:hanging="252"/>
        <w:spacing w:after="0" w:line="254" w:lineRule="auto"/>
        <w:tabs>
          <w:tab w:leader="none" w:pos="166"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This is a non-GAAP financial measure. A reconciliation of this non-GAAP financial measure to a comparable GAAP financial measure has been provided in the financial tables included in this press release. An explanation of this measure and how it is calculated is also included below under the heading “Non-GAAP Financial Measures.”</w:t>
      </w:r>
    </w:p>
    <w:p>
      <w:pPr>
        <w:spacing w:after="0" w:line="114" w:lineRule="exact"/>
        <w:rPr>
          <w:rFonts w:ascii="Times New Roman" w:cs="Times New Roman" w:eastAsia="Times New Roman" w:hAnsi="Times New Roman"/>
          <w:sz w:val="20"/>
          <w:szCs w:val="20"/>
          <w:color w:val="auto"/>
          <w:vertAlign w:val="superscript"/>
        </w:rPr>
      </w:pPr>
    </w:p>
    <w:p>
      <w:pPr>
        <w:ind w:left="260" w:hanging="252"/>
        <w:spacing w:after="0" w:line="238" w:lineRule="auto"/>
        <w:tabs>
          <w:tab w:leader="none" w:pos="166"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incremental virtual pipeline costs (i.e., actual costs less anticipated operating costs of a permanent interconnection) on our Prince William RNG project which are temporary in nature and expected to be incurred until mid-2025 when the permanent interconnection is expected to be operational.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04" w:right="339" w:bottom="1440" w:gutter="0" w:footer="0" w:header="0"/>
        </w:sectPr>
      </w:pPr>
    </w:p>
    <w:bookmarkStart w:id="9" w:name="page10"/>
    <w:bookmarkEnd w:id="9"/>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 from equity method investments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660" w:type="dxa"/>
            <w:vAlign w:val="bottom"/>
            <w:gridSpan w:val="5"/>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r>
      <w:tr>
        <w:trPr>
          <w:trHeight w:val="226"/>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 of dollars)</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111,296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50,074</w:t>
            </w:r>
          </w:p>
        </w:tc>
      </w:tr>
      <w:tr>
        <w:trPr>
          <w:trHeight w:val="21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12,065</w:t>
            </w:r>
          </w:p>
        </w:tc>
      </w:tr>
      <w:tr>
        <w:trPr>
          <w:trHeight w:val="33"/>
        </w:trPr>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6,323</w:t>
            </w:r>
          </w:p>
        </w:tc>
      </w:tr>
      <w:tr>
        <w:trPr>
          <w:trHeight w:val="276"/>
        </w:trPr>
        <w:tc>
          <w:tcPr>
            <w:tcW w:w="5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OPAL’s share of revenues from equity method investments</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45,917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21,856</w:t>
            </w:r>
          </w:p>
        </w:tc>
      </w:tr>
      <w:tr>
        <w:trPr>
          <w:trHeight w:val="240"/>
        </w:trPr>
        <w:tc>
          <w:tcPr>
            <w:tcW w:w="5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OPAL’s share of gross profit from equity method investments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9,145</w:t>
            </w:r>
          </w:p>
        </w:tc>
      </w:tr>
      <w:tr>
        <w:trPr>
          <w:trHeight w:val="246"/>
        </w:trPr>
        <w:tc>
          <w:tcPr>
            <w:tcW w:w="5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OPAL’s share of net income from equity method investments </w:t>
            </w:r>
            <w:r>
              <w:rPr>
                <w:rFonts w:ascii="Times New Roman" w:cs="Times New Roman" w:eastAsia="Times New Roman" w:hAnsi="Times New Roman"/>
                <w:sz w:val="21"/>
                <w:szCs w:val="21"/>
                <w:color w:val="auto"/>
                <w:vertAlign w:val="superscript"/>
              </w:rPr>
              <w:t>(1)</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5,525</w:t>
            </w:r>
          </w:p>
        </w:tc>
      </w:tr>
      <w:tr>
        <w:trPr>
          <w:trHeight w:val="196"/>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5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OPAL’s share of Adjusted EBITDA from equity method investments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11,437</w:t>
            </w:r>
          </w:p>
        </w:tc>
      </w:tr>
    </w:tbl>
    <w:p>
      <w:pPr>
        <w:spacing w:after="0" w:line="306" w:lineRule="exact"/>
        <w:rPr>
          <w:sz w:val="20"/>
          <w:szCs w:val="20"/>
          <w:color w:val="auto"/>
        </w:rPr>
      </w:pPr>
    </w:p>
    <w:p>
      <w:pPr>
        <w:jc w:val="both"/>
        <w:ind w:firstLine="8"/>
        <w:spacing w:after="0" w:line="263" w:lineRule="auto"/>
        <w:tabs>
          <w:tab w:leader="none" w:pos="165"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Net income from equity method investments represents our portion of the net income from equity method investments including $1.5 million and $5.8 million of amortization expense related to basis differences for the three and twelve months ended December 31, 2024 and $1.4 million and $3.1 million for the three and twelve months ended December 31,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Landfill RNG Facility Capacity and Utilization Summary</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shd w:val="clear" w:color="auto" w:fill="CCEEFF"/>
          </w:tcPr>
          <w:p>
            <w:pPr>
              <w:spacing w:after="0"/>
              <w:rPr>
                <w:sz w:val="18"/>
                <w:szCs w:val="18"/>
                <w:color w:val="auto"/>
              </w:rPr>
            </w:pPr>
          </w:p>
        </w:tc>
        <w:tc>
          <w:tcPr>
            <w:tcW w:w="2860" w:type="dxa"/>
            <w:vAlign w:val="bottom"/>
            <w:tcBorders>
              <w:bottom w:val="single" w:sz="8" w:color="auto"/>
            </w:tcBorders>
            <w:gridSpan w:val="4"/>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700" w:type="dxa"/>
            <w:vAlign w:val="bottom"/>
            <w:tcBorders>
              <w:bottom w:val="single" w:sz="8" w:color="auto"/>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r>
      <w:tr>
        <w:trPr>
          <w:trHeight w:val="208"/>
        </w:trPr>
        <w:tc>
          <w:tcPr>
            <w:tcW w:w="56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6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Landfill RNG Facility Capacity and Utilization</w:t>
            </w:r>
            <w:r>
              <w:rPr>
                <w:rFonts w:ascii="Times New Roman" w:cs="Times New Roman" w:eastAsia="Times New Roman" w:hAnsi="Times New Roman"/>
                <w:sz w:val="21"/>
                <w:szCs w:val="21"/>
                <w:b w:val="1"/>
                <w:bCs w:val="1"/>
                <w:color w:val="auto"/>
                <w:vertAlign w:val="superscript"/>
              </w:rPr>
              <w:t>(1)(2)(3)(4)</w:t>
            </w: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6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Design Capacity (Million MMBtus)</w:t>
            </w:r>
          </w:p>
        </w:tc>
        <w:tc>
          <w:tcPr>
            <w:tcW w:w="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1.3</w:t>
            </w: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Volume of Inlet Gas (Million MMBtus)</w:t>
            </w:r>
          </w:p>
        </w:tc>
        <w:tc>
          <w:tcPr>
            <w:tcW w:w="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Inlet Design Capacity Utilization %</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r>
      <w:tr>
        <w:trPr>
          <w:trHeight w:val="21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RNG Fuel volume produced (Million MMBtus)</w:t>
            </w:r>
          </w:p>
        </w:tc>
        <w:tc>
          <w:tcPr>
            <w:tcW w:w="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0.7</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r>
      <w:tr>
        <w:trPr>
          <w:trHeight w:val="21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Utilization of Inlet Gas %</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r>
    </w:tbl>
    <w:p>
      <w:pPr>
        <w:spacing w:after="0" w:line="86" w:lineRule="exact"/>
        <w:rPr>
          <w:sz w:val="20"/>
          <w:szCs w:val="20"/>
          <w:color w:val="auto"/>
        </w:rPr>
      </w:pPr>
    </w:p>
    <w:p>
      <w:pPr>
        <w:jc w:val="both"/>
        <w:ind w:firstLine="8"/>
        <w:spacing w:after="0" w:line="256" w:lineRule="auto"/>
        <w:tabs>
          <w:tab w:leader="none" w:pos="165"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spacing w:after="0" w:line="75" w:lineRule="exact"/>
        <w:rPr>
          <w:rFonts w:ascii="Times New Roman" w:cs="Times New Roman" w:eastAsia="Times New Roman" w:hAnsi="Times New Roman"/>
          <w:sz w:val="20"/>
          <w:szCs w:val="20"/>
          <w:color w:val="auto"/>
          <w:vertAlign w:val="superscript"/>
        </w:rPr>
      </w:pPr>
    </w:p>
    <w:p>
      <w:pPr>
        <w:jc w:val="both"/>
        <w:ind w:firstLine="8"/>
        <w:spacing w:after="0" w:line="266" w:lineRule="auto"/>
        <w:tabs>
          <w:tab w:leader="none" w:pos="162"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w:t>
      </w:r>
    </w:p>
    <w:p>
      <w:pPr>
        <w:spacing w:after="0" w:line="200" w:lineRule="exact"/>
        <w:rPr>
          <w:rFonts w:ascii="Times New Roman" w:cs="Times New Roman" w:eastAsia="Times New Roman" w:hAnsi="Times New Roman"/>
          <w:sz w:val="19"/>
          <w:szCs w:val="19"/>
          <w:color w:val="auto"/>
          <w:vertAlign w:val="superscript"/>
        </w:rPr>
      </w:pPr>
    </w:p>
    <w:p>
      <w:pPr>
        <w:spacing w:after="0" w:line="221" w:lineRule="exact"/>
        <w:rPr>
          <w:rFonts w:ascii="Times New Roman" w:cs="Times New Roman" w:eastAsia="Times New Roman" w:hAnsi="Times New Roman"/>
          <w:sz w:val="19"/>
          <w:szCs w:val="19"/>
          <w:color w:val="auto"/>
          <w:vertAlign w:val="superscript"/>
        </w:rPr>
      </w:pPr>
    </w:p>
    <w:p>
      <w:pPr>
        <w:jc w:val="both"/>
        <w:ind w:firstLine="8"/>
        <w:spacing w:after="0" w:line="289" w:lineRule="auto"/>
        <w:tabs>
          <w:tab w:leader="none" w:pos="149"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to 90%.</w:t>
      </w:r>
    </w:p>
    <w:p>
      <w:pPr>
        <w:spacing w:after="0" w:line="237" w:lineRule="exact"/>
        <w:rPr>
          <w:rFonts w:ascii="Times New Roman" w:cs="Times New Roman" w:eastAsia="Times New Roman" w:hAnsi="Times New Roman"/>
          <w:sz w:val="18"/>
          <w:szCs w:val="18"/>
          <w:color w:val="auto"/>
          <w:vertAlign w:val="superscript"/>
        </w:rPr>
      </w:pPr>
    </w:p>
    <w:p>
      <w:pPr>
        <w:ind w:left="160" w:hanging="152"/>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Data not available for the Company's dairy projects, i.e., Sunoma and Biotown.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RNG Pending Monetization Summary</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8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gridSpan w:val="6"/>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000's)</w:t>
            </w:r>
          </w:p>
        </w:tc>
        <w:tc>
          <w:tcPr>
            <w:tcW w:w="1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100" w:type="dxa"/>
            <w:vAlign w:val="bottom"/>
            <w:gridSpan w:val="3"/>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Fuel Station</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30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84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Un-Monetized Environmental Attributes (MMBtus)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September 30, 2024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production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period volumes monetized</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Ending Balance as of December 31, 2024</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50"/>
        </w:trPr>
        <w:tc>
          <w:tcPr>
            <w:tcW w:w="78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ending balance using quarter end price </w:t>
            </w:r>
            <w:r>
              <w:rPr>
                <w:rFonts w:ascii="Times New Roman" w:cs="Times New Roman" w:eastAsia="Times New Roman" w:hAnsi="Times New Roman"/>
                <w:sz w:val="23"/>
                <w:szCs w:val="23"/>
                <w:b w:val="1"/>
                <w:bCs w:val="1"/>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16,729</w:t>
            </w:r>
          </w:p>
        </w:tc>
        <w:tc>
          <w:tcPr>
            <w:tcW w:w="0" w:type="dxa"/>
            <w:vAlign w:val="bottom"/>
          </w:tcPr>
          <w:p>
            <w:pPr>
              <w:spacing w:after="0"/>
              <w:rPr>
                <w:sz w:val="1"/>
                <w:szCs w:val="1"/>
                <w:color w:val="auto"/>
              </w:rPr>
            </w:pPr>
          </w:p>
        </w:tc>
      </w:tr>
      <w:tr>
        <w:trPr>
          <w:trHeight w:val="250"/>
        </w:trPr>
        <w:tc>
          <w:tcPr>
            <w:tcW w:w="7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RIN Metrics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September 30, 2024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Generated in current period</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Sales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Ending RIN credit balance (Available for sale) as of December 31, 2024</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D3 price per RIN at quarter end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RINs using quarter end price </w:t>
            </w:r>
            <w:r>
              <w:rPr>
                <w:rFonts w:ascii="Times New Roman" w:cs="Times New Roman" w:eastAsia="Times New Roman" w:hAnsi="Times New Roman"/>
                <w:sz w:val="23"/>
                <w:szCs w:val="23"/>
                <w:b w:val="1"/>
                <w:bCs w:val="1"/>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50"/>
        </w:trPr>
        <w:tc>
          <w:tcPr>
            <w:tcW w:w="7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LCFS Metrics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(net share) as of September 30, 2024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Generated in current period</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Sales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Ending LCFS credit balance (Available for sale) as of December 31, 2024</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LCFS credit price at quarter end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LCFSs using quarter end price </w:t>
            </w:r>
            <w:r>
              <w:rPr>
                <w:rFonts w:ascii="Times New Roman" w:cs="Times New Roman" w:eastAsia="Times New Roman" w:hAnsi="Times New Roman"/>
                <w:sz w:val="23"/>
                <w:szCs w:val="23"/>
                <w:b w:val="1"/>
                <w:bCs w:val="1"/>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3,524</w:t>
            </w:r>
          </w:p>
        </w:tc>
        <w:tc>
          <w:tcPr>
            <w:tcW w:w="0" w:type="dxa"/>
            <w:vAlign w:val="bottom"/>
          </w:tcPr>
          <w:p>
            <w:pPr>
              <w:spacing w:after="0"/>
              <w:rPr>
                <w:sz w:val="1"/>
                <w:szCs w:val="1"/>
                <w:color w:val="auto"/>
              </w:rPr>
            </w:pPr>
          </w:p>
        </w:tc>
      </w:tr>
      <w:tr>
        <w:trPr>
          <w:trHeight w:val="250"/>
        </w:trPr>
        <w:tc>
          <w:tcPr>
            <w:tcW w:w="78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RECs using quarter end price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236"/>
        </w:trPr>
        <w:tc>
          <w:tcPr>
            <w:tcW w:w="7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Metrics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realized sales price - RIN</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realized sales price - LCFS</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0"/>
        </w:trPr>
        <w:tc>
          <w:tcPr>
            <w:tcW w:w="78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Value of RNG Pending Monetization at quarter end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20,346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8"/>
        <w:spacing w:after="0" w:line="238" w:lineRule="auto"/>
        <w:tabs>
          <w:tab w:leader="none" w:pos="17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OPAL’s ownership share of un-monetized environmental attributes associated with our RNG production (i.e., net of joint venture partners’ ownership) including equity method investments</w:t>
      </w:r>
    </w:p>
    <w:p>
      <w:pPr>
        <w:spacing w:after="0" w:line="212" w:lineRule="exact"/>
        <w:rPr>
          <w:rFonts w:ascii="Times New Roman" w:cs="Times New Roman" w:eastAsia="Times New Roman" w:hAnsi="Times New Roman"/>
          <w:sz w:val="21"/>
          <w:szCs w:val="21"/>
          <w:color w:val="auto"/>
          <w:vertAlign w:val="superscript"/>
        </w:rPr>
      </w:pPr>
    </w:p>
    <w:p>
      <w:pPr>
        <w:ind w:firstLine="8"/>
        <w:spacing w:after="0" w:line="254" w:lineRule="auto"/>
        <w:tabs>
          <w:tab w:leader="none" w:pos="17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OPAL’s ownership share of RIN and LCFS credits (i.e., net of joint venture partners’ ownership) including equity method investments and presented net of discounts and any direct transaction costs such as dispensing fees, third-party royalties and transaction costs as applicable.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Liquidity</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As of December 31, 2024, our liquidity was $223.6 million, consisting of $178.4 million of unused capacity under our $450 million senior secured credit facility, $20.9 million of unused capacity under the associated revolver, and $24.3 million of cash, cash equivalents, and short-term investments. In 2025 we expect approximately $50 million of cash proceeds from ITC sales bolstering both our earnings and operating cash flow to continue to fund our investments. As we disclosed in recent filings we agreed to a 12-month extension of the draw period on the credit facility.</w:t>
      </w:r>
    </w:p>
    <w:p>
      <w:pPr>
        <w:spacing w:after="0" w:line="2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 believe our liquidity, operating cash flows, and anticipated sources of capital are sufficient to meet our expected 2025 funding needs.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Capital Expenditures</w:t>
      </w:r>
    </w:p>
    <w:p>
      <w:pPr>
        <w:spacing w:after="0" w:line="2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During the twelve months ended December 31, 2024, OPAL Fuels invested $127.2 across RNG projects in construction and OPAL Fuels proprietary fueling stations in construction as compared to $113.8 million in the prior year.</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addition, for the twelve months ended December 31, 2024, the Company's portion of capital expenditures in unconsolidated entities was $35.2 million. This represents our share of capital expenditures incurred by equity method investments.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Earnings Call</w:t>
      </w:r>
    </w:p>
    <w:p>
      <w:pPr>
        <w:spacing w:after="0" w:line="25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 webcast to review OPAL Fuels’ Fourth Quarter and Full Year 2024 results is being held tomorrow, March 14, 2024 at 11:00AM EDT.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Materials to be discussed in the webcast will be available before the call on the Company's website.</w:t>
      </w:r>
    </w:p>
    <w:p>
      <w:pPr>
        <w:spacing w:after="0" w:line="220"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21"/>
          <w:szCs w:val="21"/>
          <w:color w:val="auto"/>
        </w:rPr>
        <w:t xml:space="preserve">Participants may access the call at </w:t>
      </w:r>
      <w:r>
        <w:rPr>
          <w:rFonts w:ascii="Times New Roman" w:cs="Times New Roman" w:eastAsia="Times New Roman" w:hAnsi="Times New Roman"/>
          <w:sz w:val="21"/>
          <w:szCs w:val="21"/>
          <w:color w:val="3051F2"/>
        </w:rPr>
        <w:t>https://edge.media-server.com/mmc/p/49xbizz5</w:t>
      </w:r>
      <w:r>
        <w:rPr>
          <w:rFonts w:ascii="Times New Roman" w:cs="Times New Roman" w:eastAsia="Times New Roman" w:hAnsi="Times New Roman"/>
          <w:sz w:val="21"/>
          <w:szCs w:val="21"/>
          <w:color w:val="auto"/>
        </w:rPr>
        <w:t xml:space="preserve">. Investors can also listen to a webcast of the presentation on the company’s Investor Relations website at </w:t>
      </w:r>
      <w:r>
        <w:rPr>
          <w:rFonts w:ascii="Times New Roman" w:cs="Times New Roman" w:eastAsia="Times New Roman" w:hAnsi="Times New Roman"/>
          <w:sz w:val="21"/>
          <w:szCs w:val="21"/>
          <w:color w:val="3051F2"/>
        </w:rPr>
        <w:t>https://investors.opalfuels.com/news-events/events-presentations.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Glossary of terms</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“Environmental Attributes” </w:t>
      </w:r>
      <w:r>
        <w:rPr>
          <w:rFonts w:ascii="Times New Roman" w:cs="Times New Roman" w:eastAsia="Times New Roman" w:hAnsi="Times New Roman"/>
          <w:sz w:val="22"/>
          <w:szCs w:val="22"/>
          <w:color w:val="auto"/>
        </w:rPr>
        <w:t>refer to federal, state, and local government incentives in the United States, provided in the form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Renewable Identification Numbers, Renewable Energy Credits, Low Carbon Fuel Standard credits, rebates, tax credits and other incentives to end users, distributors, system integrators and manufacturers of renewable energy projects that promote the use of renewable energy.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“GGE” </w:t>
      </w:r>
      <w:r>
        <w:rPr>
          <w:rFonts w:ascii="Times New Roman" w:cs="Times New Roman" w:eastAsia="Times New Roman" w:hAnsi="Times New Roman"/>
          <w:sz w:val="22"/>
          <w:szCs w:val="22"/>
          <w:color w:val="auto"/>
        </w:rPr>
        <w:t>refers to Gasoline gallon equivalent. The conversion ratio is 1 MMBtu of natural gas equal to 7.74 GGE.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“LFG” </w:t>
      </w:r>
      <w:r>
        <w:rPr>
          <w:rFonts w:ascii="Times New Roman" w:cs="Times New Roman" w:eastAsia="Times New Roman" w:hAnsi="Times New Roman"/>
          <w:sz w:val="22"/>
          <w:szCs w:val="22"/>
          <w:color w:val="auto"/>
        </w:rPr>
        <w:t>refers to landfill gas.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“MMBtu” </w:t>
      </w:r>
      <w:r>
        <w:rPr>
          <w:rFonts w:ascii="Times New Roman" w:cs="Times New Roman" w:eastAsia="Times New Roman" w:hAnsi="Times New Roman"/>
          <w:sz w:val="22"/>
          <w:szCs w:val="22"/>
          <w:color w:val="auto"/>
        </w:rPr>
        <w:t>refers to British thermal units.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“Renewable Power” </w:t>
      </w:r>
      <w:r>
        <w:rPr>
          <w:rFonts w:ascii="Times New Roman" w:cs="Times New Roman" w:eastAsia="Times New Roman" w:hAnsi="Times New Roman"/>
          <w:sz w:val="22"/>
          <w:szCs w:val="22"/>
          <w:color w:val="auto"/>
        </w:rPr>
        <w:t>refers to electricity generated from renewable sources.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“RNG” </w:t>
      </w:r>
      <w:r>
        <w:rPr>
          <w:rFonts w:ascii="Times New Roman" w:cs="Times New Roman" w:eastAsia="Times New Roman" w:hAnsi="Times New Roman"/>
          <w:sz w:val="22"/>
          <w:szCs w:val="22"/>
          <w:color w:val="auto"/>
        </w:rPr>
        <w:t>refers to renewable natural gas.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“D3” </w:t>
      </w:r>
      <w:r>
        <w:rPr>
          <w:rFonts w:ascii="Times New Roman" w:cs="Times New Roman" w:eastAsia="Times New Roman" w:hAnsi="Times New Roman"/>
          <w:sz w:val="22"/>
          <w:szCs w:val="22"/>
          <w:color w:val="auto"/>
        </w:rPr>
        <w:t>refers to cellulosic biofuel with a 60% GHG reduction requirement.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“RIN” </w:t>
      </w:r>
      <w:r>
        <w:rPr>
          <w:rFonts w:ascii="Times New Roman" w:cs="Times New Roman" w:eastAsia="Times New Roman" w:hAnsi="Times New Roman"/>
          <w:sz w:val="22"/>
          <w:szCs w:val="22"/>
          <w:color w:val="auto"/>
        </w:rPr>
        <w:t>refers to Renewal Identification Numbers.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“EPA” </w:t>
      </w:r>
      <w:r>
        <w:rPr>
          <w:rFonts w:ascii="Times New Roman" w:cs="Times New Roman" w:eastAsia="Times New Roman" w:hAnsi="Times New Roman"/>
          <w:sz w:val="22"/>
          <w:szCs w:val="22"/>
          <w:color w:val="auto"/>
        </w:rPr>
        <w:t>refers to Environmental Protection Agency.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 Inc.</w:t>
      </w:r>
    </w:p>
    <w:p>
      <w:pPr>
        <w:spacing w:after="0" w:line="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0563C1"/>
        </w:rPr>
        <w:t xml:space="preserve">OPAL Fuels Inc. </w:t>
      </w:r>
      <w:r>
        <w:rPr>
          <w:rFonts w:ascii="Times New Roman" w:cs="Times New Roman" w:eastAsia="Times New Roman" w:hAnsi="Times New Roman"/>
          <w:sz w:val="21"/>
          <w:szCs w:val="21"/>
          <w:color w:val="000000"/>
        </w:rPr>
        <w:t>(Nasdaq: OPAL) is a leader in the capture and conversion of biogas into low carbon intensity RNG and</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 xml:space="preserve">renewable electricity. OPAL Fuels is also a leader in the marketing and distribution of RNG to heavy duty trucking and other hard to de-carbonize industrial sectors. For additional information, and to learn more about OPAL Fuels and how it is leading the effort to capture North America’s naturally occurring methane and decarbonize the economy, please visit </w:t>
      </w:r>
      <w:r>
        <w:rPr>
          <w:rFonts w:ascii="Times New Roman" w:cs="Times New Roman" w:eastAsia="Times New Roman" w:hAnsi="Times New Roman"/>
          <w:sz w:val="21"/>
          <w:szCs w:val="21"/>
          <w:color w:val="0563C1"/>
        </w:rPr>
        <w:t>www.opalfuels.com</w:t>
      </w:r>
      <w:r>
        <w:rPr>
          <w:rFonts w:ascii="Times New Roman" w:cs="Times New Roman" w:eastAsia="Times New Roman" w:hAnsi="Times New Roman"/>
          <w:sz w:val="21"/>
          <w:szCs w:val="21"/>
          <w:color w:val="000000"/>
        </w:rPr>
        <w:t>.</w:t>
      </w:r>
    </w:p>
    <w:p>
      <w:pPr>
        <w:spacing w:after="0" w:line="17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 #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91" w:right="339" w:bottom="1440" w:gutter="0" w:footer="0" w:header="0"/>
        </w:sectPr>
      </w:pPr>
    </w:p>
    <w:bookmarkStart w:id="13" w:name="page14"/>
    <w:bookmarkEnd w:id="13"/>
    <w:p>
      <w:pPr>
        <w:jc w:val="both"/>
        <w:spacing w:after="0" w:line="248" w:lineRule="auto"/>
        <w:rPr>
          <w:sz w:val="20"/>
          <w:szCs w:val="20"/>
          <w:color w:val="auto"/>
        </w:rPr>
      </w:pPr>
      <w:r>
        <w:rPr>
          <w:rFonts w:ascii="Times New Roman" w:cs="Times New Roman" w:eastAsia="Times New Roman" w:hAnsi="Times New Roman"/>
          <w:sz w:val="22"/>
          <w:szCs w:val="22"/>
          <w:color w:val="auto"/>
        </w:rPr>
        <w:t>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“Forward-Looking Statements and Risk Factor Summary” in the Company's Annual Report on Form 10-K filed on March 17, 2025, and other filings the Company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Disclaimer</w:t>
      </w:r>
    </w:p>
    <w:p>
      <w:pPr>
        <w:spacing w:after="0" w:line="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Todd Firestone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 &amp; Corporate Development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914-705-4001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investors@opalfuels.com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ICR,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OPALFuelsPR@icrinc.com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22" w:right="339" w:bottom="1440" w:gutter="0" w:footer="0" w:header="0"/>
        </w:sectPr>
      </w:pPr>
    </w:p>
    <w:bookmarkStart w:id="14" w:name="page15"/>
    <w:bookmarkEnd w:id="14"/>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4"/>
        </w:trPr>
        <w:tc>
          <w:tcPr>
            <w:tcW w:w="8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1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Cash and cash equivalents (includes $358 and $166 at December 31, 2024 and December 31, 2023, respectively, related to</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consolidated VIEs)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24,310</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38,348</w:t>
            </w:r>
          </w:p>
        </w:tc>
        <w:tc>
          <w:tcPr>
            <w:tcW w:w="0" w:type="dxa"/>
            <w:vAlign w:val="bottom"/>
          </w:tcPr>
          <w:p>
            <w:pPr>
              <w:spacing w:after="0"/>
              <w:rPr>
                <w:sz w:val="1"/>
                <w:szCs w:val="1"/>
                <w:color w:val="auto"/>
              </w:rPr>
            </w:pPr>
          </w:p>
        </w:tc>
      </w:tr>
      <w:tr>
        <w:trPr>
          <w:trHeight w:val="175"/>
        </w:trPr>
        <w:tc>
          <w:tcPr>
            <w:tcW w:w="81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Accounts receivable, net (includes $435 and $33 at December 31, 2024 and December 31, 2023, respectively, related to</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 VIEs)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32,013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27,623</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 related party</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14,522</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18,696</w:t>
            </w:r>
          </w:p>
        </w:tc>
        <w:tc>
          <w:tcPr>
            <w:tcW w:w="0" w:type="dxa"/>
            <w:vAlign w:val="bottom"/>
          </w:tcPr>
          <w:p>
            <w:pPr>
              <w:spacing w:after="0"/>
              <w:rPr>
                <w:sz w:val="1"/>
                <w:szCs w:val="1"/>
                <w:color w:val="auto"/>
              </w:rPr>
            </w:pPr>
          </w:p>
        </w:tc>
      </w:tr>
      <w:tr>
        <w:trPr>
          <w:trHeight w:val="175"/>
        </w:trPr>
        <w:tc>
          <w:tcPr>
            <w:tcW w:w="81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Restricted cash - current (includes $972 and $4,395 at December 31, 2024 and December 31, 2023, respectively, related to</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 VIEs)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Short term investments</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9,875</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Fuel tax credits receivable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5,345</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Contract assets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11,075</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w:t>
            </w:r>
          </w:p>
        </w:tc>
        <w:tc>
          <w:tcPr>
            <w:tcW w:w="0" w:type="dxa"/>
            <w:vAlign w:val="bottom"/>
          </w:tcPr>
          <w:p>
            <w:pPr>
              <w:spacing w:after="0"/>
              <w:rPr>
                <w:sz w:val="1"/>
                <w:szCs w:val="1"/>
                <w:color w:val="auto"/>
              </w:rPr>
            </w:pPr>
          </w:p>
        </w:tc>
      </w:tr>
      <w:tr>
        <w:trPr>
          <w:trHeight w:val="175"/>
        </w:trPr>
        <w:tc>
          <w:tcPr>
            <w:tcW w:w="81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Parts inventory (includes $29 and $29 at December 31, 2024 and December 31, 2023, respectively, related to consolidated</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VIEs)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10,191</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Convertible note receivable</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Environmental credits held for sale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1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Prepaid expense and other current assets (includes $144 and $107 at December 31, 2024 and December 31, 2023,</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respectively, related to consolidated VIEs)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11,051</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financial assets, current portion</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117,188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128,073</w:t>
            </w:r>
          </w:p>
        </w:tc>
        <w:tc>
          <w:tcPr>
            <w:tcW w:w="0" w:type="dxa"/>
            <w:vAlign w:val="bottom"/>
          </w:tcPr>
          <w:p>
            <w:pPr>
              <w:spacing w:after="0"/>
              <w:rPr>
                <w:sz w:val="1"/>
                <w:szCs w:val="1"/>
                <w:color w:val="auto"/>
              </w:rPr>
            </w:pPr>
          </w:p>
        </w:tc>
      </w:tr>
      <w:tr>
        <w:trPr>
          <w:trHeight w:val="204"/>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Capital spares</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4,380</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3,468</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1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Property, plant, and equipment, net (includes $25,428 and $26,626 at December 31, 2024 and December 31, 2023,</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respectively, related to consolidated VIEs)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458,258</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339,493</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right-of use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12,301</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Investment in other entities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223,594</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207,099</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 receivable - variable fee component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Derivative financial assets, non-current portion</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long-term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0" w:type="dxa"/>
            <w:vAlign w:val="bottom"/>
          </w:tcPr>
          <w:p>
            <w:pPr>
              <w:spacing w:after="0"/>
              <w:rPr>
                <w:sz w:val="1"/>
                <w:szCs w:val="1"/>
                <w:color w:val="auto"/>
              </w:rPr>
            </w:pPr>
          </w:p>
        </w:tc>
      </w:tr>
      <w:tr>
        <w:trPr>
          <w:trHeight w:val="175"/>
        </w:trPr>
        <w:tc>
          <w:tcPr>
            <w:tcW w:w="81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Restricted cash - non-current (includes $2,315 and $1,850 at December 31, 2024 and December 31, 2023, respectively,</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54,608</w:t>
            </w:r>
          </w:p>
        </w:tc>
        <w:tc>
          <w:tcPr>
            <w:tcW w:w="0" w:type="dxa"/>
            <w:vAlign w:val="bottom"/>
          </w:tcPr>
          <w:p>
            <w:pPr>
              <w:spacing w:after="0"/>
              <w:rPr>
                <w:sz w:val="1"/>
                <w:szCs w:val="1"/>
                <w:color w:val="auto"/>
              </w:rPr>
            </w:pPr>
          </w:p>
        </w:tc>
      </w:tr>
      <w:tr>
        <w:trPr>
          <w:trHeight w:val="233"/>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881,077</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754,609</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16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1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Accounts payable (includes $22 and $744 at December 31, 2024 and December 31, 2023, respectively, related to</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consolidated VIEs)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16,419</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13,901</w:t>
            </w:r>
          </w:p>
        </w:tc>
        <w:tc>
          <w:tcPr>
            <w:tcW w:w="0" w:type="dxa"/>
            <w:vAlign w:val="bottom"/>
          </w:tcPr>
          <w:p>
            <w:pPr>
              <w:spacing w:after="0"/>
              <w:rPr>
                <w:sz w:val="1"/>
                <w:szCs w:val="1"/>
                <w:color w:val="auto"/>
              </w:rPr>
            </w:pPr>
          </w:p>
        </w:tc>
      </w:tr>
      <w:tr>
        <w:trPr>
          <w:trHeight w:val="175"/>
        </w:trPr>
        <w:tc>
          <w:tcPr>
            <w:tcW w:w="81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Accounts payable, related party (includes $426 and $1,046 at December 31, 2024 and December 31, 2023, respectively,</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7,024</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Fuel tax credits payable</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payroll</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9,023</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capital expenses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23,238</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15,128</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environmental credit rebates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 (includes $974 and $647 at December 31, 2024 and December 31, 2023,</w:t>
            </w:r>
          </w:p>
        </w:tc>
        <w:tc>
          <w:tcPr>
            <w:tcW w:w="4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9,529</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10,188</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respectively, related to consolidated VIEs)</w:t>
            </w:r>
          </w:p>
        </w:tc>
        <w:tc>
          <w:tcPr>
            <w:tcW w:w="4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Contract liabilities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6,314</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OPAL Term Loan, current portion</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10,865</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Sunoma loan, current portion (includes $1,756 and $1,608 at December 31, 2024 and December 31, 2023, respectively,</w:t>
            </w:r>
          </w:p>
        </w:tc>
        <w:tc>
          <w:tcPr>
            <w:tcW w:w="4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0" w:type="dxa"/>
            <w:vAlign w:val="bottom"/>
          </w:tcPr>
          <w:p>
            <w:pPr>
              <w:spacing w:after="0"/>
              <w:rPr>
                <w:sz w:val="1"/>
                <w:szCs w:val="1"/>
                <w:color w:val="auto"/>
              </w:rPr>
            </w:pPr>
          </w:p>
        </w:tc>
      </w:tr>
      <w:tr>
        <w:trPr>
          <w:trHeight w:val="220"/>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4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Derivative financial liability, current portion</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 current portion</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liabilities (includes $— and $92 at December 31, 2024 and December 31, 2023, respectively, related to</w:t>
            </w:r>
          </w:p>
        </w:tc>
        <w:tc>
          <w:tcPr>
            <w:tcW w:w="4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consolidated VIEs)</w:t>
            </w:r>
          </w:p>
        </w:tc>
        <w:tc>
          <w:tcPr>
            <w:tcW w:w="4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Asset retirement obligation, current portion</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74,343</w:t>
            </w:r>
          </w:p>
        </w:tc>
        <w:tc>
          <w:tcPr>
            <w:tcW w:w="0" w:type="dxa"/>
            <w:vAlign w:val="bottom"/>
          </w:tcPr>
          <w:p>
            <w:pPr>
              <w:spacing w:after="0"/>
              <w:rPr>
                <w:sz w:val="1"/>
                <w:szCs w:val="1"/>
                <w:color w:val="auto"/>
              </w:rPr>
            </w:pPr>
          </w:p>
        </w:tc>
      </w:tr>
      <w:tr>
        <w:trPr>
          <w:trHeight w:val="204"/>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Asset retirement obligation, non-current portion</w:t>
            </w: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5,082</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4,916</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OPAL Term Loan, net of debt issuance costs</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266,630</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176,532</w:t>
            </w:r>
          </w:p>
        </w:tc>
        <w:tc>
          <w:tcPr>
            <w:tcW w:w="0" w:type="dxa"/>
            <w:vAlign w:val="bottom"/>
          </w:tcPr>
          <w:p>
            <w:pPr>
              <w:spacing w:after="0"/>
              <w:rPr>
                <w:sz w:val="1"/>
                <w:szCs w:val="1"/>
                <w:color w:val="auto"/>
              </w:rPr>
            </w:pPr>
          </w:p>
        </w:tc>
      </w:tr>
      <w:tr>
        <w:trPr>
          <w:trHeight w:val="189"/>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Sunoma loan, net of debt issuance costs (includes $18,373 and $20,010 at December 31, 2024 and December 31, 2023,</w:t>
            </w:r>
          </w:p>
        </w:tc>
        <w:tc>
          <w:tcPr>
            <w:tcW w:w="4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18,373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20,010</w:t>
            </w:r>
          </w:p>
        </w:tc>
        <w:tc>
          <w:tcPr>
            <w:tcW w:w="0" w:type="dxa"/>
            <w:vAlign w:val="bottom"/>
          </w:tcPr>
          <w:p>
            <w:pPr>
              <w:spacing w:after="0"/>
              <w:rPr>
                <w:sz w:val="1"/>
                <w:szCs w:val="1"/>
                <w:color w:val="auto"/>
              </w:rPr>
            </w:pPr>
          </w:p>
        </w:tc>
      </w:tr>
      <w:tr>
        <w:trPr>
          <w:trHeight w:val="220"/>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respectively, related to consolidated VIEs)</w:t>
            </w:r>
          </w:p>
        </w:tc>
        <w:tc>
          <w:tcPr>
            <w:tcW w:w="4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 non-current portion</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11,824</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Earn out liabilities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Derivative liabilities - non-current portion</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long-term liabilities (includes $2,495 and $211 at December 31, 2023 and December 31, 2022, respectively, related</w:t>
            </w:r>
          </w:p>
        </w:tc>
        <w:tc>
          <w:tcPr>
            <w:tcW w:w="4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9,842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7,599</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 consolidated VIEs)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297,124</w:t>
            </w:r>
          </w:p>
        </w:tc>
        <w:tc>
          <w:tcPr>
            <w:tcW w:w="0" w:type="dxa"/>
            <w:vAlign w:val="bottom"/>
          </w:tcPr>
          <w:p>
            <w:pPr>
              <w:spacing w:after="0"/>
              <w:rPr>
                <w:sz w:val="1"/>
                <w:szCs w:val="1"/>
                <w:color w:val="auto"/>
              </w:rPr>
            </w:pPr>
          </w:p>
        </w:tc>
      </w:tr>
      <w:tr>
        <w:trPr>
          <w:trHeight w:val="19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preferred non-controlling interests</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132,617</w:t>
            </w:r>
          </w:p>
        </w:tc>
        <w:tc>
          <w:tcPr>
            <w:tcW w:w="0" w:type="dxa"/>
            <w:vAlign w:val="bottom"/>
          </w:tcPr>
          <w:p>
            <w:pPr>
              <w:spacing w:after="0"/>
              <w:rPr>
                <w:sz w:val="1"/>
                <w:szCs w:val="1"/>
                <w:color w:val="auto"/>
              </w:rPr>
            </w:pPr>
          </w:p>
        </w:tc>
      </w:tr>
      <w:tr>
        <w:trPr>
          <w:trHeight w:val="24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482,863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802,720</w:t>
            </w:r>
          </w:p>
        </w:tc>
        <w:tc>
          <w:tcPr>
            <w:tcW w:w="0" w:type="dxa"/>
            <w:vAlign w:val="bottom"/>
          </w:tcPr>
          <w:p>
            <w:pPr>
              <w:spacing w:after="0"/>
              <w:rPr>
                <w:sz w:val="1"/>
                <w:szCs w:val="1"/>
                <w:color w:val="auto"/>
              </w:rPr>
            </w:pPr>
          </w:p>
        </w:tc>
      </w:tr>
      <w:tr>
        <w:trPr>
          <w:trHeight w:val="22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 equity</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Class A common stock, $0.0001 par value, 340,000,000 shares authorized as of December 31, 2024; shares issued:</w:t>
            </w: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30,065,260 and 29,701,146 at December 31, 2024 and December 31, 2023, respectively; shares outstanding: 28,429,477</w:t>
            </w:r>
          </w:p>
        </w:tc>
        <w:tc>
          <w:tcPr>
            <w:tcW w:w="4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0"/>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and 28,065,363 at December 31, 2024 and December 31, 2023, respectively</w:t>
            </w:r>
          </w:p>
        </w:tc>
        <w:tc>
          <w:tcPr>
            <w:tcW w:w="4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B common stock,$0.0001 par value, 160,000,000 shares authorized as of December 31, 2024; 71,500,000 and none</w:t>
            </w:r>
          </w:p>
        </w:tc>
        <w:tc>
          <w:tcPr>
            <w:tcW w:w="4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issued and outstanding as of December 31, 2024 and December 31, 2023</w:t>
            </w:r>
          </w:p>
        </w:tc>
        <w:tc>
          <w:tcPr>
            <w:tcW w:w="4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Class C common stock, $0.0001 par value, 160,000,000 shares authorized as of December 31, 2024; None issued and</w:t>
            </w:r>
          </w:p>
        </w:tc>
        <w:tc>
          <w:tcPr>
            <w:tcW w:w="460" w:type="dxa"/>
            <w:vAlign w:val="bottom"/>
          </w:tcPr>
          <w:p>
            <w:pPr>
              <w:spacing w:after="0"/>
              <w:rPr>
                <w:sz w:val="16"/>
                <w:szCs w:val="16"/>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outstanding as of December 31, 2024 and December 31, 2023</w:t>
            </w:r>
          </w:p>
        </w:tc>
        <w:tc>
          <w:tcPr>
            <w:tcW w:w="4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D common stock, $0.0001 par value, 160,000,000 shares authorized as of December 31, 2024; 72,899,037 and</w:t>
            </w:r>
          </w:p>
        </w:tc>
        <w:tc>
          <w:tcPr>
            <w:tcW w:w="4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144,399,037 issued and outstanding at December 31, 2024 and December 31, 2023</w:t>
            </w:r>
          </w:p>
        </w:tc>
        <w:tc>
          <w:tcPr>
            <w:tcW w:w="4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Accumulated deficit</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(137,004)</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(467,195)</w:t>
            </w:r>
          </w:p>
        </w:tc>
        <w:tc>
          <w:tcPr>
            <w:tcW w:w="0" w:type="dxa"/>
            <w:vAlign w:val="bottom"/>
          </w:tcPr>
          <w:p>
            <w:pPr>
              <w:spacing w:after="0"/>
              <w:rPr>
                <w:sz w:val="1"/>
                <w:szCs w:val="1"/>
                <w:color w:val="auto"/>
              </w:rPr>
            </w:pPr>
          </w:p>
        </w:tc>
      </w:tr>
      <w:tr>
        <w:trPr>
          <w:trHeight w:val="210"/>
        </w:trPr>
        <w:tc>
          <w:tcPr>
            <w:tcW w:w="8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A common stock in treasury, at cost; 1,635,783 and 1,635,783 shares at December 31, 2024 and December 31, 2023</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(11,614)</w:t>
            </w:r>
          </w:p>
        </w:tc>
        <w:tc>
          <w:tcPr>
            <w:tcW w:w="0" w:type="dxa"/>
            <w:vAlign w:val="bottom"/>
          </w:tcPr>
          <w:p>
            <w:pPr>
              <w:spacing w:after="0"/>
              <w:rPr>
                <w:sz w:val="1"/>
                <w:szCs w:val="1"/>
                <w:color w:val="auto"/>
              </w:rPr>
            </w:pPr>
          </w:p>
        </w:tc>
      </w:tr>
      <w:tr>
        <w:trPr>
          <w:trHeight w:val="204"/>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Stockholders' (deficit) equity attributable to the Company</w:t>
            </w: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(148,449)</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(478,807)</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Non-redeemable non-controlling interests</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204"/>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Stockholders' (deficit) equity</w:t>
            </w: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(147,831)</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(477,852)</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Redeemable preferred, Redeemable non-controlling interests and Stockholders' (deficit) equity</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881,077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754,609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unit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4"/>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212"/>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8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1"/>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RNG fuel (includes revenues from related party of $68,416 and $56,069 for the years ended December 31, 2024 and 2023,</w:t>
            </w: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88,420</w:t>
            </w:r>
          </w:p>
        </w:tc>
        <w:tc>
          <w:tcPr>
            <w:tcW w:w="100" w:type="dxa"/>
            <w:vAlign w:val="bottom"/>
          </w:tcPr>
          <w:p>
            <w:pPr>
              <w:spacing w:after="0"/>
              <w:rPr>
                <w:sz w:val="16"/>
                <w:szCs w:val="16"/>
                <w:color w:val="auto"/>
              </w:rPr>
            </w:pPr>
          </w:p>
        </w:tc>
        <w:tc>
          <w:tcPr>
            <w:tcW w:w="580" w:type="dxa"/>
            <w:vAlign w:val="bottom"/>
            <w:vMerge w:val="restart"/>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66,292</w:t>
            </w:r>
          </w:p>
        </w:tc>
        <w:tc>
          <w:tcPr>
            <w:tcW w:w="0" w:type="dxa"/>
            <w:vAlign w:val="bottom"/>
          </w:tcPr>
          <w:p>
            <w:pPr>
              <w:spacing w:after="0"/>
              <w:rPr>
                <w:sz w:val="1"/>
                <w:szCs w:val="1"/>
                <w:color w:val="auto"/>
              </w:rPr>
            </w:pPr>
          </w:p>
        </w:tc>
      </w:tr>
      <w:tr>
        <w:trPr>
          <w:trHeight w:val="220"/>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respectively)</w:t>
            </w:r>
          </w:p>
        </w:tc>
        <w:tc>
          <w:tcPr>
            <w:tcW w:w="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Fuel Station Services (includes revenues from related party of $38,841 and $28,468 for the years ended December 31, 2024</w:t>
            </w:r>
          </w:p>
        </w:tc>
        <w:tc>
          <w:tcPr>
            <w:tcW w:w="3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166,875</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135,012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2023, respectively)</w:t>
            </w: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Renewable Power (includes revenues from related party of $6,912 and $6,614 for the years ended December 31, 2024 and</w:t>
            </w:r>
          </w:p>
        </w:tc>
        <w:tc>
          <w:tcPr>
            <w:tcW w:w="3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44,677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54,804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2023, respectively)</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299,972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256,108</w:t>
            </w:r>
          </w:p>
        </w:tc>
        <w:tc>
          <w:tcPr>
            <w:tcW w:w="0" w:type="dxa"/>
            <w:vAlign w:val="bottom"/>
          </w:tcPr>
          <w:p>
            <w:pPr>
              <w:spacing w:after="0"/>
              <w:rPr>
                <w:sz w:val="1"/>
                <w:szCs w:val="1"/>
                <w:color w:val="auto"/>
              </w:rPr>
            </w:pPr>
          </w:p>
        </w:tc>
      </w:tr>
      <w:tr>
        <w:trPr>
          <w:trHeight w:val="19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Cost of sales - RNG fuel</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32,028</w:t>
            </w:r>
          </w:p>
        </w:tc>
        <w:tc>
          <w:tcPr>
            <w:tcW w:w="0" w:type="dxa"/>
            <w:vAlign w:val="bottom"/>
          </w:tcPr>
          <w:p>
            <w:pPr>
              <w:spacing w:after="0"/>
              <w:rPr>
                <w:sz w:val="1"/>
                <w:szCs w:val="1"/>
                <w:color w:val="auto"/>
              </w:rPr>
            </w:pPr>
          </w:p>
        </w:tc>
      </w:tr>
      <w:tr>
        <w:trPr>
          <w:trHeight w:val="210"/>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sales - Fuel Station Services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128,804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115,322</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Cost of sales - Renewable Power</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32,495</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36,550</w:t>
            </w:r>
          </w:p>
        </w:tc>
        <w:tc>
          <w:tcPr>
            <w:tcW w:w="0" w:type="dxa"/>
            <w:vAlign w:val="bottom"/>
          </w:tcPr>
          <w:p>
            <w:pPr>
              <w:spacing w:after="0"/>
              <w:rPr>
                <w:sz w:val="1"/>
                <w:szCs w:val="1"/>
                <w:color w:val="auto"/>
              </w:rPr>
            </w:pPr>
          </w:p>
        </w:tc>
      </w:tr>
      <w:tr>
        <w:trPr>
          <w:trHeight w:val="210"/>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Project development and start up costs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4,866</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53,124</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51,262</w:t>
            </w:r>
          </w:p>
        </w:tc>
        <w:tc>
          <w:tcPr>
            <w:tcW w:w="0" w:type="dxa"/>
            <w:vAlign w:val="bottom"/>
          </w:tcPr>
          <w:p>
            <w:pPr>
              <w:spacing w:after="0"/>
              <w:rPr>
                <w:sz w:val="1"/>
                <w:szCs w:val="1"/>
                <w:color w:val="auto"/>
              </w:rPr>
            </w:pPr>
          </w:p>
        </w:tc>
      </w:tr>
      <w:tr>
        <w:trPr>
          <w:trHeight w:val="210"/>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14,565</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Impairment loss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from equity method investments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(5,525)</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278,750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249,068</w:t>
            </w:r>
          </w:p>
        </w:tc>
        <w:tc>
          <w:tcPr>
            <w:tcW w:w="0" w:type="dxa"/>
            <w:vAlign w:val="bottom"/>
          </w:tcPr>
          <w:p>
            <w:pPr>
              <w:spacing w:after="0"/>
              <w:rPr>
                <w:sz w:val="1"/>
                <w:szCs w:val="1"/>
                <w:color w:val="auto"/>
              </w:rPr>
            </w:pPr>
          </w:p>
        </w:tc>
      </w:tr>
      <w:tr>
        <w:trPr>
          <w:trHeight w:val="204"/>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21,222</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7,040</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and financing expense,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(9,306)</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 of derivative instruments, net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7,346</w:t>
            </w:r>
          </w:p>
        </w:tc>
        <w:tc>
          <w:tcPr>
            <w:tcW w:w="0" w:type="dxa"/>
            <w:vAlign w:val="bottom"/>
          </w:tcPr>
          <w:p>
            <w:pPr>
              <w:spacing w:after="0"/>
              <w:rPr>
                <w:sz w:val="1"/>
                <w:szCs w:val="1"/>
                <w:color w:val="auto"/>
              </w:rPr>
            </w:pPr>
          </w:p>
        </w:tc>
      </w:tr>
      <w:tr>
        <w:trPr>
          <w:trHeight w:val="210"/>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124,472</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0" w:type="dxa"/>
            <w:vAlign w:val="bottom"/>
          </w:tcPr>
          <w:p>
            <w:pPr>
              <w:spacing w:after="0"/>
              <w:rPr>
                <w:sz w:val="1"/>
                <w:szCs w:val="1"/>
                <w:color w:val="auto"/>
              </w:rPr>
            </w:pPr>
          </w:p>
        </w:tc>
      </w:tr>
      <w:tr>
        <w:trPr>
          <w:trHeight w:val="210"/>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on warrant exchange</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127,024</w:t>
            </w:r>
          </w:p>
        </w:tc>
        <w:tc>
          <w:tcPr>
            <w:tcW w:w="0" w:type="dxa"/>
            <w:vAlign w:val="bottom"/>
          </w:tcPr>
          <w:p>
            <w:pPr>
              <w:spacing w:after="0"/>
              <w:rPr>
                <w:sz w:val="1"/>
                <w:szCs w:val="1"/>
                <w:color w:val="auto"/>
              </w:rPr>
            </w:pPr>
          </w:p>
        </w:tc>
      </w:tr>
      <w:tr>
        <w:trPr>
          <w:trHeight w:val="204"/>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 benefit</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8,906</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127,024</w:t>
            </w:r>
          </w:p>
        </w:tc>
        <w:tc>
          <w:tcPr>
            <w:tcW w:w="0" w:type="dxa"/>
            <w:vAlign w:val="bottom"/>
          </w:tcPr>
          <w:p>
            <w:pPr>
              <w:spacing w:after="0"/>
              <w:rPr>
                <w:sz w:val="1"/>
                <w:szCs w:val="1"/>
                <w:color w:val="auto"/>
              </w:rPr>
            </w:pPr>
          </w:p>
        </w:tc>
      </w:tr>
      <w:tr>
        <w:trPr>
          <w:trHeight w:val="204"/>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attributable to redeemable non-controlling interests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97,426</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income (loss) attributable to non-redeemable non-controlling interests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10"/>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Dividends on Redeemable preferred non-controlling interests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11,011</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income attributable to Class A common stockholders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Weighted average shares outstanding of Class A common stock:</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27,617,335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27,148,538</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27,694,650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27,494,016</w:t>
            </w:r>
          </w:p>
        </w:tc>
        <w:tc>
          <w:tcPr>
            <w:tcW w:w="0" w:type="dxa"/>
            <w:vAlign w:val="bottom"/>
          </w:tcPr>
          <w:p>
            <w:pPr>
              <w:spacing w:after="0"/>
              <w:rPr>
                <w:sz w:val="1"/>
                <w:szCs w:val="1"/>
                <w:color w:val="auto"/>
              </w:rPr>
            </w:pPr>
          </w:p>
        </w:tc>
      </w:tr>
      <w:tr>
        <w:trPr>
          <w:trHeight w:val="210"/>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Per share amounts: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r>
        <w:trPr>
          <w:trHeight w:val="210"/>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58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32"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6"/>
          <w:szCs w:val="16"/>
          <w:b w:val="1"/>
          <w:bCs w:val="1"/>
          <w:color w:val="auto"/>
        </w:rPr>
        <w:t>Twelve Months Ended</w:t>
      </w:r>
    </w:p>
    <w:p>
      <w:pPr>
        <w:jc w:val="center"/>
        <w:ind w:left="81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0"/>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12"/>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127,024</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from equity method investments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(5,525)</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Gain from disposal of plant and equipment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Distributions from equity method investments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12,242</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Convertible note receivable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Impairment of property, plant and equipment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on warrant exchange</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14,044</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Accretion expense related to asset retirement obligation</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5,904</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Provision for bad debts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Paid-in-kind interest income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 of commodity swaps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Convertible Note Payable</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 of the earnout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gain on derivative financial instruments</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deconsolidation of VIEs</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(122,873)</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related party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(6,275)</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Fuel tax credits receivable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Capital spares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Parts inventory</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Environmental credits held for 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 and other current and long-term assets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Contract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6,686</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Fuel tax credits payable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payroll</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 current and non-current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Contract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w:t>
            </w:r>
          </w:p>
        </w:tc>
      </w:tr>
      <w:tr>
        <w:trPr>
          <w:trHeight w:val="204"/>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33,033</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38,269</w:t>
            </w:r>
          </w:p>
        </w:tc>
      </w:tr>
      <w:tr>
        <w:trPr>
          <w:trHeight w:val="33"/>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(113,826)</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disposal of plant and equipment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Deconsolidation of VIEs, net of cash</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(11,947)</w:t>
            </w:r>
          </w:p>
        </w:tc>
      </w:tr>
    </w:tbl>
    <w:p>
      <w:pPr>
        <w:spacing w:after="0" w:line="200" w:lineRule="exact"/>
        <w:rPr>
          <w:sz w:val="20"/>
          <w:szCs w:val="20"/>
          <w:color w:val="auto"/>
        </w:rPr>
      </w:pPr>
    </w:p>
    <w:p>
      <w:pPr>
        <w:sectPr>
          <w:pgSz w:w="11900" w:h="16838" w:orient="portrait"/>
          <w:cols w:equalWidth="0" w:num="1">
            <w:col w:w="11240"/>
          </w:cols>
          <w:pgMar w:left="320" w:top="1440" w:right="339" w:bottom="6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618" w:gutter="0" w:footer="0" w:header="0"/>
          <w:type w:val="continuous"/>
        </w:sectPr>
      </w:pPr>
    </w:p>
    <w:bookmarkStart w:id="18" w:name="page19"/>
    <w:bookmarkEnd w:id="18"/>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sale of short term investments</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55,101</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paid for investment in other entities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(8,314)</w:t>
            </w: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paid for Notes receivable</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Distributions received from equity method investment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4,839</w:t>
            </w:r>
          </w:p>
        </w:tc>
      </w:tr>
      <w:tr>
        <w:trPr>
          <w:trHeight w:val="33"/>
        </w:trPr>
        <w:tc>
          <w:tcPr>
            <w:tcW w:w="8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(134,551)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(74,147)</w:t>
            </w:r>
          </w:p>
        </w:tc>
      </w:tr>
      <w:tr>
        <w:trPr>
          <w:trHeight w:val="192"/>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31"/>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OPAL Term Loan</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196,617</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Financing costs paid to other third parties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(10,264)</w:t>
            </w: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Repayment of Senior Secured Credit Facility</w:t>
            </w:r>
          </w:p>
        </w:tc>
        <w:tc>
          <w:tcPr>
            <w:tcW w:w="4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(22,750)</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 of Convertible Note Payable</w:t>
            </w:r>
          </w:p>
        </w:tc>
        <w:tc>
          <w:tcPr>
            <w:tcW w:w="4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(30,107)</w:t>
            </w: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Repayment of OPAL Term Loan</w:t>
            </w:r>
          </w:p>
        </w:tc>
        <w:tc>
          <w:tcPr>
            <w:tcW w:w="4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(106,090)</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 of Sunoma Loan</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Repayment of Municipality loan</w:t>
            </w:r>
          </w:p>
        </w:tc>
        <w:tc>
          <w:tcPr>
            <w:tcW w:w="4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4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 of finance lease liabilities</w:t>
            </w:r>
          </w:p>
        </w:tc>
        <w:tc>
          <w:tcPr>
            <w:tcW w:w="4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r>
      <w:tr>
        <w:trPr>
          <w:trHeight w:val="246"/>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equipment loan</w:t>
            </w:r>
          </w:p>
        </w:tc>
        <w:tc>
          <w:tcPr>
            <w:tcW w:w="4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4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sale of non-redeemable non-controlling interest</w:t>
            </w:r>
          </w:p>
        </w:tc>
        <w:tc>
          <w:tcPr>
            <w:tcW w:w="4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12,753</w:t>
            </w:r>
          </w:p>
        </w:tc>
      </w:tr>
      <w:tr>
        <w:trPr>
          <w:trHeight w:val="226"/>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Reimbursement of financing costs by joint venture partner</w:t>
            </w:r>
          </w:p>
        </w:tc>
        <w:tc>
          <w:tcPr>
            <w:tcW w:w="4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 of preferred dividends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(16,536)</w:t>
            </w: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paid for taxes related to net share settlement of equity awards</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paid for purchase of shares upon exercise of put option</w:t>
            </w:r>
          </w:p>
        </w:tc>
        <w:tc>
          <w:tcPr>
            <w:tcW w:w="4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(16,391)</w:t>
            </w: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Distribution to non-redeemable non-controlling interest</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shares of Class A common stock under the ATM program, net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33"/>
        </w:trPr>
        <w:tc>
          <w:tcPr>
            <w:tcW w:w="8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83,504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w:t>
            </w:r>
          </w:p>
        </w:tc>
      </w:tr>
      <w:tr>
        <w:trPr>
          <w:trHeight w:val="204"/>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restricted cash, and cash equivalents</w:t>
            </w: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(18,014)</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(29,979)</w:t>
            </w: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restricted cash, and cash equivalents, beginning of period</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77,221</w:t>
            </w:r>
          </w:p>
        </w:tc>
      </w:tr>
      <w:tr>
        <w:trPr>
          <w:trHeight w:val="23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restricted cash, and cash equivalents, end of period</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29,228</w:t>
            </w: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47,242</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3"/>
        </w:trPr>
        <w:tc>
          <w:tcPr>
            <w:tcW w:w="816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 net of $3,212 and $5,475 capitalized, respectively</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22,907</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6,929</w:t>
            </w:r>
          </w:p>
        </w:tc>
      </w:tr>
      <w:tr>
        <w:trPr>
          <w:trHeight w:val="212"/>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1"/>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Class A common stock issued for redemption of Public and Private warrants</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for asset retirement obligation included in Property, plant and equipment</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arising from lease modifications</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Paid-in-kind dividend on redeemable preferred non-controlling interests</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w:t>
            </w: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for finance leases included in Property, Plant and equipment, net</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9,049</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for purchase of Property, plant and equipment included in Accounts payable and Accrued capital expenses</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23,238</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b w:val="1"/>
          <w:bCs w:val="1"/>
          <w:color w:val="auto"/>
        </w:rPr>
        <w:t>Non-GAAP Financial Measures (Unaudited)</w:t>
      </w:r>
    </w:p>
    <w:p>
      <w:pPr>
        <w:spacing w:after="0" w:line="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This release includes various financial measures that are non-GAAP financial measures as defined under the rules of the Securities and Exchange Commission. We believe these measures provide important supplemental information to investors to use in evaluating ongoing operating results. We use these measures, together with accounting principles generally accepted in the United States ("GAAP" or "U.S. GAAP"), for internal managerial purposes and as a means to evaluate period-to-period comparisons. However, we do not, and you should not, rely on non-GAAP financial measures alone as measures of our performance. We believe that non-GAAP financial measures reflect an additional way of viewing aspects of our operations, that when taken together with GAAP results and the reconciliations to corresponding GAAP financial measures that we also provide give a more complete understanding of factors and trends affecting our business. We strongly encourage you to review all of our financial statements and publicly filed reports in their entirety and to not solely rely on any single non-GAAP financial measure.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These Non-GAAP financial measures are not recognized terms under GAAP and do not purport to be alternatives to GAAP net income or any other GAAP measure as indicators of operating performance. Moreover, because not all companies use identical measures and calculations, the Company's presentation of Non-GAAP financial measures may not be comparable to other similarly titled measures used by other companies. We strongly encourage you to review all of our financial statements and publicly filed reports in their entirety and to not solely rely on any single non-GAAP financial measure.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Adjusted EBITDA</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To supplement the Company's unaudited condensed consolidated financial statements presented in accordance with GAAP, the Company uses a non-GAAP financial measure that it calls adjusted EBITDA ("Adjusted EBITDA"). This non-GAAP measure adjusts net income for interest and financing expense, net, loss on debt extinguishment, net (income) loss attributable to non-controlling interests, depreciation, amortization and accretion expense, adjustments to reflect Adjusted EBITDA from equity method investments, loss on warrant exchange, unrealized (gain) loss on derivative instruments, non-cash charges, one-time non-recurring expenses, major maintenance on renewable power, RNG development and virtual pipeline costs, ITC proceeds and gain on deconsolidation of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8" w:right="339" w:bottom="1440" w:gutter="0" w:footer="0" w:header="0"/>
        </w:sectPr>
      </w:pPr>
    </w:p>
    <w:bookmarkStart w:id="20" w:name="page21"/>
    <w:bookmarkEnd w:id="20"/>
    <w:p>
      <w:pPr>
        <w:jc w:val="both"/>
        <w:spacing w:after="0" w:line="249" w:lineRule="auto"/>
        <w:rPr>
          <w:sz w:val="20"/>
          <w:szCs w:val="20"/>
          <w:color w:val="auto"/>
        </w:rPr>
      </w:pPr>
      <w:r>
        <w:rPr>
          <w:rFonts w:ascii="Times New Roman" w:cs="Times New Roman" w:eastAsia="Times New Roman" w:hAnsi="Times New Roman"/>
          <w:sz w:val="22"/>
          <w:szCs w:val="22"/>
          <w:color w:val="auto"/>
        </w:rPr>
        <w:t>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22" w:right="339" w:bottom="1440" w:gutter="0" w:footer="0" w:header="0"/>
        </w:sectPr>
      </w:pPr>
    </w:p>
    <w:bookmarkStart w:id="21" w:name="page22"/>
    <w:bookmarkEnd w:id="21"/>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the reconciliation of our Net income to Adjusted EBITDA: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income to Adjusted EBITDA</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Twelve Months Ended December 31, 2024 and 2023</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3900" w:type="dxa"/>
            <w:vAlign w:val="bottom"/>
            <w:tcBorders>
              <w:top w:val="single" w:sz="8" w:color="auto"/>
              <w:bottom w:val="single" w:sz="8" w:color="auto"/>
            </w:tcBorders>
            <w:gridSpan w:val="1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2024</w:t>
            </w:r>
          </w:p>
        </w:tc>
        <w:tc>
          <w:tcPr>
            <w:tcW w:w="7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3700" w:type="dxa"/>
            <w:vAlign w:val="bottom"/>
            <w:tcBorders>
              <w:top w:val="single" w:sz="8" w:color="auto"/>
              <w:bottom w:val="single" w:sz="8" w:color="auto"/>
            </w:tcBorders>
            <w:gridSpan w:val="1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Twelve Months Ended December 31, 2024</w:t>
            </w: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Fuel Station</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Renewable</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Fuel</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Renewable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RNG Fuel</w:t>
            </w:r>
          </w:p>
        </w:tc>
        <w:tc>
          <w:tcPr>
            <w:tcW w:w="98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RNG Fuel</w:t>
            </w:r>
          </w:p>
        </w:tc>
        <w:tc>
          <w:tcPr>
            <w:tcW w:w="120" w:type="dxa"/>
            <w:vAlign w:val="bottom"/>
          </w:tcPr>
          <w:p>
            <w:pPr>
              <w:spacing w:after="0"/>
              <w:rPr>
                <w:sz w:val="14"/>
                <w:szCs w:val="14"/>
                <w:color w:val="auto"/>
              </w:rPr>
            </w:pPr>
          </w:p>
        </w:tc>
        <w:tc>
          <w:tcPr>
            <w:tcW w:w="7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Station</w:t>
            </w:r>
          </w:p>
        </w:tc>
        <w:tc>
          <w:tcPr>
            <w:tcW w:w="920" w:type="dxa"/>
            <w:vAlign w:val="bottom"/>
            <w:gridSpan w:val="3"/>
            <w:vMerge w:val="continue"/>
          </w:tcPr>
          <w:p>
            <w:pPr>
              <w:spacing w:after="0"/>
              <w:rPr>
                <w:sz w:val="14"/>
                <w:szCs w:val="14"/>
                <w:color w:val="auto"/>
              </w:rPr>
            </w:pP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20" w:type="dxa"/>
            <w:vAlign w:val="bottom"/>
          </w:tcPr>
          <w:p>
            <w:pPr>
              <w:spacing w:after="0"/>
              <w:rPr>
                <w:sz w:val="14"/>
                <w:szCs w:val="14"/>
                <w:color w:val="auto"/>
              </w:rPr>
            </w:pPr>
          </w:p>
        </w:tc>
        <w:tc>
          <w:tcPr>
            <w:tcW w:w="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6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9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6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94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8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Net income (loss)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reconcile net income</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(loss) to Adjusted</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financing</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attributable to non-</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redeemable non-</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and</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17,885</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reflect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from equity method</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w:t>
            </w:r>
          </w:p>
        </w:tc>
        <w:tc>
          <w:tcPr>
            <w:tcW w:w="0" w:type="dxa"/>
            <w:vAlign w:val="bottom"/>
          </w:tcPr>
          <w:p>
            <w:pPr>
              <w:spacing w:after="0"/>
              <w:rPr>
                <w:sz w:val="1"/>
                <w:szCs w:val="1"/>
                <w:color w:val="auto"/>
              </w:rPr>
            </w:pPr>
          </w:p>
        </w:tc>
      </w:tr>
      <w:tr>
        <w:trPr>
          <w:trHeight w:val="175"/>
        </w:trPr>
        <w:tc>
          <w:tcPr>
            <w:tcW w:w="178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Unrealized (gain) loss</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on derivative</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2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80"/>
              <w:spacing w:after="0" w:line="230" w:lineRule="exact"/>
              <w:rPr>
                <w:sz w:val="20"/>
                <w:szCs w:val="20"/>
                <w:color w:val="auto"/>
              </w:rPr>
            </w:pPr>
            <w:r>
              <w:rPr>
                <w:rFonts w:ascii="Times New Roman" w:cs="Times New Roman" w:eastAsia="Times New Roman" w:hAnsi="Times New Roman"/>
                <w:sz w:val="18"/>
                <w:szCs w:val="18"/>
                <w:color w:val="auto"/>
              </w:rPr>
              <w:t>Non-cash charges</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One-time non-</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recurring charges </w:t>
            </w:r>
            <w:r>
              <w:rPr>
                <w:rFonts w:ascii="Times New Roman" w:cs="Times New Roman" w:eastAsia="Times New Roman" w:hAnsi="Times New Roman"/>
                <w:sz w:val="23"/>
                <w:szCs w:val="23"/>
                <w:color w:val="auto"/>
                <w:vertAlign w:val="superscript"/>
              </w:rPr>
              <w:t>(6)</w:t>
            </w:r>
          </w:p>
        </w:tc>
        <w:tc>
          <w:tcPr>
            <w:tcW w:w="22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RNG development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0" w:type="dxa"/>
            <w:vAlign w:val="bottom"/>
          </w:tcPr>
          <w:p>
            <w:pPr>
              <w:spacing w:after="0"/>
              <w:rPr>
                <w:sz w:val="1"/>
                <w:szCs w:val="1"/>
                <w:color w:val="auto"/>
              </w:rPr>
            </w:pPr>
          </w:p>
        </w:tc>
      </w:tr>
      <w:tr>
        <w:trPr>
          <w:trHeight w:val="175"/>
        </w:trPr>
        <w:tc>
          <w:tcPr>
            <w:tcW w:w="17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Virtual pipeline</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3"/>
                <w:szCs w:val="23"/>
                <w:color w:val="auto"/>
                <w:vertAlign w:val="superscript"/>
              </w:rPr>
              <w:t>(7)</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Major maintenance</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Renewable Power</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0" w:type="dxa"/>
            <w:vAlign w:val="bottom"/>
          </w:tcPr>
          <w:p>
            <w:pPr>
              <w:spacing w:after="0"/>
              <w:rPr>
                <w:sz w:val="1"/>
                <w:szCs w:val="1"/>
                <w:color w:val="auto"/>
              </w:rPr>
            </w:pPr>
          </w:p>
        </w:tc>
      </w:tr>
      <w:tr>
        <w:trPr>
          <w:trHeight w:val="230"/>
        </w:trPr>
        <w:tc>
          <w:tcPr>
            <w:tcW w:w="1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ITC proceeds - net</w:t>
            </w:r>
          </w:p>
        </w:tc>
        <w:tc>
          <w:tcPr>
            <w:tcW w:w="2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0" w:type="dxa"/>
            <w:vAlign w:val="bottom"/>
          </w:tcPr>
          <w:p>
            <w:pPr>
              <w:spacing w:after="0"/>
              <w:rPr>
                <w:sz w:val="1"/>
                <w:szCs w:val="1"/>
                <w:color w:val="auto"/>
              </w:rPr>
            </w:pPr>
          </w:p>
        </w:tc>
      </w:tr>
      <w:tr>
        <w:trPr>
          <w:trHeight w:val="248"/>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Adjusted EBITDA</w:t>
            </w: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18,035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12,650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4,202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(12,288)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22,599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74,478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40,261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21,416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(46,150)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90,005</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22" w:name="page23"/>
    <w:bookmarkEnd w:id="22"/>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3880" w:type="dxa"/>
            <w:vAlign w:val="bottom"/>
            <w:tcBorders>
              <w:top w:val="single" w:sz="8" w:color="auto"/>
              <w:bottom w:val="single" w:sz="8" w:color="auto"/>
            </w:tcBorders>
            <w:gridSpan w:val="1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2023</w:t>
            </w:r>
          </w:p>
        </w:tc>
        <w:tc>
          <w:tcPr>
            <w:tcW w:w="7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4340" w:type="dxa"/>
            <w:vAlign w:val="bottom"/>
            <w:tcBorders>
              <w:top w:val="single" w:sz="8" w:color="auto"/>
              <w:bottom w:val="single" w:sz="8" w:color="auto"/>
            </w:tcBorders>
            <w:gridSpan w:val="13"/>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Twelve Months Ended December 31, 2023</w:t>
            </w:r>
          </w:p>
        </w:tc>
        <w:tc>
          <w:tcPr>
            <w:tcW w:w="0" w:type="dxa"/>
            <w:vAlign w:val="bottom"/>
          </w:tcPr>
          <w:p>
            <w:pPr>
              <w:spacing w:after="0"/>
              <w:rPr>
                <w:sz w:val="1"/>
                <w:szCs w:val="1"/>
                <w:color w:val="auto"/>
              </w:rPr>
            </w:pPr>
          </w:p>
        </w:tc>
      </w:tr>
      <w:tr>
        <w:trPr>
          <w:trHeight w:val="155"/>
        </w:trPr>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Fuel Station</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Renewable</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Fuel</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Renewable</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RNG Fuel</w:t>
            </w:r>
          </w:p>
        </w:tc>
        <w:tc>
          <w:tcPr>
            <w:tcW w:w="96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RNG Fuel</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Station</w:t>
            </w:r>
          </w:p>
        </w:tc>
        <w:tc>
          <w:tcPr>
            <w:tcW w:w="900" w:type="dxa"/>
            <w:vAlign w:val="bottom"/>
            <w:gridSpan w:val="3"/>
            <w:vMerge w:val="continue"/>
          </w:tcPr>
          <w:p>
            <w:pPr>
              <w:spacing w:after="0"/>
              <w:rPr>
                <w:sz w:val="14"/>
                <w:szCs w:val="14"/>
                <w:color w:val="auto"/>
              </w:rPr>
            </w:pP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4"/>
                <w:szCs w:val="14"/>
                <w:color w:val="auto"/>
              </w:rPr>
            </w:pPr>
          </w:p>
        </w:tc>
        <w:tc>
          <w:tcPr>
            <w:tcW w:w="76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80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8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9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9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Net income (loss)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127,024</w:t>
            </w: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reconcile net income</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(loss) to Adjusted</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financing</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0" w:type="dxa"/>
            <w:vAlign w:val="bottom"/>
          </w:tcPr>
          <w:p>
            <w:pPr>
              <w:spacing w:after="0"/>
              <w:rPr>
                <w:sz w:val="1"/>
                <w:szCs w:val="1"/>
                <w:color w:val="auto"/>
              </w:rPr>
            </w:pPr>
          </w:p>
        </w:tc>
      </w:tr>
      <w:tr>
        <w:trPr>
          <w:trHeight w:val="176"/>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debt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extinguishment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176"/>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attributable to non-</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redeemable non-</w:t>
            </w:r>
          </w:p>
        </w:tc>
        <w:tc>
          <w:tcPr>
            <w:tcW w:w="2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2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amortization and</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w:t>
            </w:r>
          </w:p>
        </w:tc>
        <w:tc>
          <w:tcPr>
            <w:tcW w:w="0" w:type="dxa"/>
            <w:vAlign w:val="bottom"/>
          </w:tcPr>
          <w:p>
            <w:pPr>
              <w:spacing w:after="0"/>
              <w:rPr>
                <w:sz w:val="1"/>
                <w:szCs w:val="1"/>
                <w:color w:val="auto"/>
              </w:rPr>
            </w:pPr>
          </w:p>
        </w:tc>
      </w:tr>
      <w:tr>
        <w:trPr>
          <w:trHeight w:val="176"/>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reflect</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from equity method</w:t>
            </w:r>
          </w:p>
        </w:tc>
        <w:tc>
          <w:tcPr>
            <w:tcW w:w="2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warrant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176"/>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(gain) loss</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on derivative</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80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instruments </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charges </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One-time non-</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recurring charges </w:t>
            </w:r>
            <w:r>
              <w:rPr>
                <w:rFonts w:ascii="Times New Roman" w:cs="Times New Roman" w:eastAsia="Times New Roman" w:hAnsi="Times New Roman"/>
                <w:sz w:val="23"/>
                <w:szCs w:val="23"/>
                <w:color w:val="auto"/>
                <w:vertAlign w:val="superscript"/>
              </w:rPr>
              <w:t>(6)</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Major maintenance for</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Power</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0" w:type="dxa"/>
            <w:vAlign w:val="bottom"/>
          </w:tcPr>
          <w:p>
            <w:pPr>
              <w:spacing w:after="0"/>
              <w:rPr>
                <w:sz w:val="1"/>
                <w:szCs w:val="1"/>
                <w:color w:val="auto"/>
              </w:rPr>
            </w:pPr>
          </w:p>
        </w:tc>
      </w:tr>
      <w:tr>
        <w:trPr>
          <w:trHeight w:val="176"/>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on</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deconsolidation of</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VIEs</w:t>
            </w:r>
          </w:p>
        </w:tc>
        <w:tc>
          <w:tcPr>
            <w:tcW w:w="2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(122,873)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(122,873)</w:t>
            </w:r>
          </w:p>
        </w:tc>
        <w:tc>
          <w:tcPr>
            <w:tcW w:w="0" w:type="dxa"/>
            <w:vAlign w:val="bottom"/>
          </w:tcPr>
          <w:p>
            <w:pPr>
              <w:spacing w:after="0"/>
              <w:rPr>
                <w:sz w:val="1"/>
                <w:szCs w:val="1"/>
                <w:color w:val="auto"/>
              </w:rPr>
            </w:pPr>
          </w:p>
        </w:tc>
      </w:tr>
      <w:tr>
        <w:trPr>
          <w:trHeight w:val="22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Net income (loss) by segment is included in our quarterly report on Form 10 K.</w:t>
      </w:r>
    </w:p>
    <w:p>
      <w:pPr>
        <w:spacing w:after="0" w:line="192"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Loss on debt extinguishment relates to assignment of our senior secured credit facility to Paragon and debt restructuring related to OPAL Term Loan.</w:t>
      </w:r>
    </w:p>
    <w:p>
      <w:pPr>
        <w:spacing w:after="0" w:line="192"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interest, depreciation, amortization and accretion incurred on equity method investments.</w:t>
      </w:r>
    </w:p>
    <w:p>
      <w:pPr>
        <w:spacing w:after="0" w:line="197" w:lineRule="exact"/>
        <w:rPr>
          <w:rFonts w:ascii="Times New Roman" w:cs="Times New Roman" w:eastAsia="Times New Roman" w:hAnsi="Times New Roman"/>
          <w:sz w:val="22"/>
          <w:szCs w:val="22"/>
          <w:color w:val="auto"/>
          <w:vertAlign w:val="superscript"/>
        </w:rPr>
      </w:pPr>
    </w:p>
    <w:p>
      <w:pPr>
        <w:ind w:right="80" w:firstLine="8"/>
        <w:spacing w:after="0" w:line="233" w:lineRule="auto"/>
        <w:tabs>
          <w:tab w:leader="none" w:pos="181"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Unrealized (gain) loss on derivative instruments includes change in fair value of interest rate swaps, commodity swaps, earnout liabilities and put option on a forward purchase agreement.</w:t>
      </w:r>
    </w:p>
    <w:p>
      <w:pPr>
        <w:spacing w:after="0" w:line="212" w:lineRule="exact"/>
        <w:rPr>
          <w:rFonts w:ascii="Times New Roman" w:cs="Times New Roman" w:eastAsia="Times New Roman" w:hAnsi="Times New Roman"/>
          <w:sz w:val="22"/>
          <w:szCs w:val="22"/>
          <w:color w:val="auto"/>
          <w:vertAlign w:val="superscript"/>
        </w:rPr>
      </w:pPr>
    </w:p>
    <w:p>
      <w:pPr>
        <w:ind w:right="520" w:firstLine="8"/>
        <w:spacing w:after="0" w:line="269" w:lineRule="auto"/>
        <w:tabs>
          <w:tab w:leader="none" w:pos="165"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Non-cash charges include stock-based compensation expense, certain expenses included in selling, general and administrative expenses relating to employee benefit accruals, inventory write down charges included in cost of sales - RNG fuel and loss on disposal of assets.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type w:val="continuous"/>
        </w:sectPr>
      </w:pPr>
    </w:p>
    <w:bookmarkStart w:id="23" w:name="page24"/>
    <w:bookmarkEnd w:id="23"/>
    <w:p>
      <w:pPr>
        <w:ind w:right="20" w:firstLine="8"/>
        <w:spacing w:after="0" w:line="269" w:lineRule="auto"/>
        <w:tabs>
          <w:tab w:leader="none" w:pos="165"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One-time non-recurring charges include (i) certain expenses related to development expenses on our RNG facilities such as lease expenses and virtual pipeline costs (in 2023), incurred during construction phase that could not be capitalized per GAAP.</w:t>
      </w:r>
    </w:p>
    <w:p>
      <w:pPr>
        <w:spacing w:after="0" w:line="184" w:lineRule="exact"/>
        <w:rPr>
          <w:rFonts w:ascii="Times New Roman" w:cs="Times New Roman" w:eastAsia="Times New Roman" w:hAnsi="Times New Roman"/>
          <w:sz w:val="20"/>
          <w:szCs w:val="20"/>
          <w:color w:val="auto"/>
          <w:vertAlign w:val="superscript"/>
        </w:rPr>
      </w:pPr>
    </w:p>
    <w:p>
      <w:pPr>
        <w:ind w:firstLine="8"/>
        <w:spacing w:after="0" w:line="269" w:lineRule="auto"/>
        <w:tabs>
          <w:tab w:leader="none" w:pos="165"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Relates to virtual pipeline costs on our Prince William facility. These are temporary transportation costs incurred until a permanent pipeline is completed, which we currently anticipate in the second half of 2025. The costs are decreased by estimated costs of permanent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bullet"/>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3"/>
      <w:numFmt w:val="bullet"/>
      <w:start w:val="1"/>
    </w:lvl>
  </w:abstractNum>
  <w:abstractNum w:abstractNumId="6">
    <w:nsid w:val="1190CDE7"/>
    <w:multiLevelType w:val="hybridMultilevel"/>
    <w:lvl w:ilvl="0">
      <w:lvlJc w:val="left"/>
      <w:lvlText w:val="4"/>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5"/>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2025-03-14T05:19:45Z</dcterms:created>
  <dcterms:modified xsi:type="dcterms:W3CDTF">2025-03-14T05:19:45Z</dcterms:modified>
</cp:coreProperties>
</file>