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-230505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-621030</wp:posOffset>
            </wp:positionV>
            <wp:extent cx="5778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14605</wp:posOffset>
            </wp:positionV>
            <wp:extent cx="7047230" cy="4371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7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ArcLight CTC Holdings II, L.P.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7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ARCLIGHT CLEAN TRANSITION CORP. II 200 CLARENDON STREET, 55TH FLOOR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ArcLight Clean Transition Corp. II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ACTDU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7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127,174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127,174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6,920,326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 w:firstLine="1"/>
        <w:spacing w:after="0" w:line="24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reflects the surrender to the issuer of 127,174 of the issuer's Class B ordinary shares, par value $0.0001 per share, for no consideration by the reporting person as a result of its participation in the issuer's initial public offering, as more fully described in the issuer's registration statement on Form S-1 (File No. 333-252730).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40" w:firstLine="1"/>
        <w:spacing w:after="0" w:line="26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As described in the issuer's registration statement on Form S-1 (File No. 333-252730) under the heading "Description of Securities -- Founder Shares", the Class B ordinary shares will automatically convert into Class A ordinary shares, par value $0.0001 per share, of the issuer at the time of the issuer's initial business combination, or earlier at the option of the holder, on a one-for-one basis, subject to adjustment for share subdivisions, share capitalizations, reorganizations, recapitalizations and the like, and certain anti-dilution rights and have no expiration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This Form 4 is being filed by the reporting person. The reporting person is controlled by Daniel R. Revers.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ArcLight CTC Holdings II,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1557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L.P., By: ACTC Holdings GP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II, LLC, its General Partner,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-2540</wp:posOffset>
            </wp:positionV>
            <wp:extent cx="1315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Daniel R. Revers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-17145</wp:posOffset>
            </wp:positionV>
            <wp:extent cx="724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24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05/10/2021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8890</wp:posOffset>
            </wp:positionV>
            <wp:extent cx="481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7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842317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2021-05-10T16:48:09Z</dcterms:created>
  <dcterms:modified xsi:type="dcterms:W3CDTF">2021-05-10T16:48:09Z</dcterms:modified>
</cp:coreProperties>
</file>