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18"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8"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1"/>
          <w:szCs w:val="21"/>
          <w:color w:val="auto"/>
        </w:rPr>
        <w:t>Proxy Statement Pursuant to Section 14(a) of the Securities Exchange Act of 1934</w:t>
      </w:r>
    </w:p>
    <w:p>
      <w:pPr>
        <w:spacing w:after="0" w:line="2"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2"/>
          <w:szCs w:val="22"/>
          <w:color w:val="auto"/>
        </w:rPr>
        <w:t>(Amendment No. )</w:t>
      </w:r>
    </w:p>
    <w:p>
      <w:pPr>
        <w:spacing w:after="0" w:line="161"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the Registrant </w:t>
      </w:r>
      <w:r>
        <w:rPr>
          <w:rFonts w:ascii="MS PGothic" w:cs="MS PGothic" w:eastAsia="MS PGothic" w:hAnsi="MS PGothic"/>
          <w:sz w:val="22"/>
          <w:szCs w:val="22"/>
          <w:color w:val="auto"/>
        </w:rPr>
        <w:t>☒</w:t>
      </w:r>
    </w:p>
    <w:p>
      <w:pPr>
        <w:spacing w:after="0" w:line="41"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Check the appropriate box:</w:t>
      </w:r>
    </w:p>
    <w:p>
      <w:pPr>
        <w:spacing w:after="0" w:line="33" w:lineRule="exact"/>
        <w:rPr>
          <w:sz w:val="24"/>
          <w:szCs w:val="24"/>
          <w:color w:val="auto"/>
        </w:rPr>
      </w:pPr>
    </w:p>
    <w:p>
      <w:pPr>
        <w:ind w:left="20"/>
        <w:spacing w:after="0"/>
        <w:tabs>
          <w:tab w:leader="none" w:pos="166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Preliminary Proxy Statement</w:t>
      </w:r>
    </w:p>
    <w:p>
      <w:pPr>
        <w:sectPr>
          <w:pgSz w:w="11900" w:h="16838" w:orient="portrait"/>
          <w:cols w:equalWidth="0" w:num="1">
            <w:col w:w="10280"/>
          </w:cols>
          <w:pgMar w:left="320" w:top="1440" w:right="1299" w:bottom="1440" w:gutter="0" w:footer="0" w:header="0"/>
        </w:sectPr>
      </w:pPr>
    </w:p>
    <w:p>
      <w:pPr>
        <w:spacing w:after="0" w:line="132" w:lineRule="exact"/>
        <w:rPr>
          <w:sz w:val="24"/>
          <w:szCs w:val="24"/>
          <w:color w:val="auto"/>
        </w:rPr>
      </w:pPr>
    </w:p>
    <w:p>
      <w:pPr>
        <w:ind w:left="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21"/>
          <w:szCs w:val="21"/>
          <w:color w:val="auto"/>
        </w:rPr>
        <w:t>Confidential, for Use of the Commission Only (as permitted by Rule 14a-6(e)(2))</w:t>
      </w:r>
    </w:p>
    <w:p>
      <w:pPr>
        <w:spacing w:after="0" w:line="129" w:lineRule="exact"/>
        <w:rPr>
          <w:sz w:val="24"/>
          <w:szCs w:val="24"/>
          <w:color w:val="auto"/>
        </w:rPr>
      </w:pPr>
    </w:p>
    <w:p>
      <w:pPr>
        <w:sectPr>
          <w:pgSz w:w="11900" w:h="16838" w:orient="portrait"/>
          <w:cols w:equalWidth="0" w:num="2">
            <w:col w:w="980" w:space="720"/>
            <w:col w:w="8580"/>
          </w:cols>
          <w:pgMar w:left="320" w:top="1440" w:right="1299" w:bottom="1440" w:gutter="0" w:footer="0" w:header="0"/>
          <w:type w:val="continuous"/>
        </w:sectPr>
      </w:pPr>
    </w:p>
    <w:p>
      <w:pPr>
        <w:ind w:left="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Definitive Proxy Statement</w:t>
      </w:r>
    </w:p>
    <w:p>
      <w:pPr>
        <w:spacing w:after="0" w:line="116" w:lineRule="exact"/>
        <w:rPr>
          <w:sz w:val="24"/>
          <w:szCs w:val="24"/>
          <w:color w:val="auto"/>
        </w:rPr>
      </w:pPr>
    </w:p>
    <w:p>
      <w:pPr>
        <w:sectPr>
          <w:pgSz w:w="11900" w:h="16838" w:orient="portrait"/>
          <w:cols w:equalWidth="0" w:num="2">
            <w:col w:w="960" w:space="720"/>
            <w:col w:w="8600"/>
          </w:cols>
          <w:pgMar w:left="320" w:top="1440" w:right="1299" w:bottom="1440" w:gutter="0" w:footer="0" w:header="0"/>
          <w:type w:val="continuous"/>
        </w:sectPr>
      </w:pPr>
    </w:p>
    <w:p>
      <w:pPr>
        <w:ind w:left="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Definitive Additional Materials</w:t>
      </w:r>
    </w:p>
    <w:p>
      <w:pPr>
        <w:spacing w:after="0" w:line="129" w:lineRule="exact"/>
        <w:rPr>
          <w:sz w:val="24"/>
          <w:szCs w:val="24"/>
          <w:color w:val="auto"/>
        </w:rPr>
      </w:pPr>
    </w:p>
    <w:p>
      <w:pPr>
        <w:sectPr>
          <w:pgSz w:w="11900" w:h="16838" w:orient="portrait"/>
          <w:cols w:equalWidth="0" w:num="2">
            <w:col w:w="980" w:space="720"/>
            <w:col w:w="8580"/>
          </w:cols>
          <w:pgMar w:left="320" w:top="1440" w:right="1299" w:bottom="1440" w:gutter="0" w:footer="0" w:header="0"/>
          <w:type w:val="continuous"/>
        </w:sectPr>
      </w:pPr>
    </w:p>
    <w:p>
      <w:pPr>
        <w:ind w:left="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Soliciting Material under § 240.14a-12</w:t>
      </w:r>
    </w:p>
    <w:p>
      <w:pPr>
        <w:spacing w:after="0" w:line="200" w:lineRule="exact"/>
        <w:rPr>
          <w:sz w:val="24"/>
          <w:szCs w:val="24"/>
          <w:color w:val="auto"/>
        </w:rPr>
      </w:pPr>
    </w:p>
    <w:p>
      <w:pPr>
        <w:sectPr>
          <w:pgSz w:w="11900" w:h="16838" w:orient="portrait"/>
          <w:cols w:equalWidth="0" w:num="2">
            <w:col w:w="960" w:space="720"/>
            <w:col w:w="8600"/>
          </w:cols>
          <w:pgMar w:left="320" w:top="1440" w:right="1299" w:bottom="1440" w:gutter="0" w:footer="0" w:header="0"/>
          <w:type w:val="continuous"/>
        </w:sectPr>
      </w:pPr>
    </w:p>
    <w:p>
      <w:pPr>
        <w:spacing w:after="0" w:line="167"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(Name of Registrant as Specified In Its Charter)</w:t>
      </w:r>
    </w:p>
    <w:p>
      <w:pPr>
        <w:spacing w:after="0" w:line="200" w:lineRule="exact"/>
        <w:rPr>
          <w:sz w:val="24"/>
          <w:szCs w:val="24"/>
          <w:color w:val="auto"/>
        </w:rPr>
      </w:pPr>
    </w:p>
    <w:p>
      <w:pPr>
        <w:spacing w:after="0" w:line="248" w:lineRule="exact"/>
        <w:rPr>
          <w:sz w:val="24"/>
          <w:szCs w:val="24"/>
          <w:color w:val="auto"/>
        </w:rPr>
      </w:pPr>
    </w:p>
    <w:p>
      <w:pPr>
        <w:ind w:right="1340" w:firstLine="2292"/>
        <w:spacing w:after="0" w:line="481" w:lineRule="exact"/>
        <w:rPr>
          <w:sz w:val="20"/>
          <w:szCs w:val="20"/>
          <w:color w:val="auto"/>
        </w:rPr>
      </w:pPr>
      <w:r>
        <w:rPr>
          <w:rFonts w:ascii="Times New Roman" w:cs="Times New Roman" w:eastAsia="Times New Roman" w:hAnsi="Times New Roman"/>
          <w:sz w:val="22"/>
          <w:szCs w:val="22"/>
          <w:b w:val="1"/>
          <w:bCs w:val="1"/>
          <w:color w:val="auto"/>
        </w:rPr>
        <w:t xml:space="preserve">(Name of Person(s) Filing Proxy Statement, if other than the Registrant) Payment of Filing Fee (Check all boxes that apply):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 fee required</w:t>
      </w:r>
    </w:p>
    <w:p>
      <w:pPr>
        <w:sectPr>
          <w:pgSz w:w="11900" w:h="16838" w:orient="portrait"/>
          <w:cols w:equalWidth="0" w:num="1">
            <w:col w:w="10280"/>
          </w:cols>
          <w:pgMar w:left="320" w:top="1440" w:right="1299" w:bottom="1440" w:gutter="0" w:footer="0" w:header="0"/>
          <w:type w:val="continuous"/>
        </w:sectPr>
      </w:pPr>
    </w:p>
    <w:p>
      <w:pPr>
        <w:spacing w:after="0" w:line="183" w:lineRule="exact"/>
        <w:rPr>
          <w:sz w:val="24"/>
          <w:szCs w:val="24"/>
          <w:color w:val="auto"/>
        </w:rPr>
      </w:pPr>
    </w:p>
    <w:p>
      <w:pPr>
        <w:ind w:left="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Fee paid previously with preliminary materials</w:t>
      </w:r>
    </w:p>
    <w:p>
      <w:pPr>
        <w:spacing w:after="0" w:line="129" w:lineRule="exact"/>
        <w:rPr>
          <w:sz w:val="24"/>
          <w:szCs w:val="24"/>
          <w:color w:val="auto"/>
        </w:rPr>
      </w:pPr>
    </w:p>
    <w:p>
      <w:pPr>
        <w:sectPr>
          <w:pgSz w:w="11900" w:h="16838" w:orient="portrait"/>
          <w:cols w:equalWidth="0" w:num="2">
            <w:col w:w="980" w:space="720"/>
            <w:col w:w="8580"/>
          </w:cols>
          <w:pgMar w:left="320" w:top="1440" w:right="1299" w:bottom="1440" w:gutter="0" w:footer="0" w:header="0"/>
          <w:type w:val="continuous"/>
        </w:sectPr>
      </w:pPr>
    </w:p>
    <w:p>
      <w:pPr>
        <w:ind w:left="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Fee computed on table in exhibit required by Item 25(b) per Exchange Act Rules 14a-6(i)(1) and 0-11</w:t>
      </w:r>
    </w:p>
    <w:p>
      <w:pPr>
        <w:spacing w:after="0" w:line="200" w:lineRule="exact"/>
        <w:rPr>
          <w:sz w:val="24"/>
          <w:szCs w:val="24"/>
          <w:color w:val="auto"/>
        </w:rPr>
      </w:pPr>
    </w:p>
    <w:p>
      <w:pPr>
        <w:sectPr>
          <w:pgSz w:w="11900" w:h="16838" w:orient="portrait"/>
          <w:cols w:equalWidth="0" w:num="2">
            <w:col w:w="980" w:space="720"/>
            <w:col w:w="8580"/>
          </w:cols>
          <w:pgMar w:left="320" w:top="1440" w:right="1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280"/>
          </w:cols>
          <w:pgMar w:left="320" w:top="1440" w:right="1299" w:bottom="1440" w:gutter="0" w:footer="0" w:header="0"/>
          <w:type w:val="continuous"/>
        </w:sectPr>
      </w:pPr>
    </w:p>
    <w:bookmarkStart w:id="1" w:name="page2"/>
    <w:bookmarkEnd w:id="1"/>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____________________________________________________________________</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One North Lexington Avenue, Suite 1450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18,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Annual Meeting of Stockholders of OPAL Fuels Inc. (the “Company” “we” or “us”) will be held on June 18, 2024, at 10:00 am Eastern Time.</w:t>
      </w:r>
    </w:p>
    <w:p>
      <w:pPr>
        <w:spacing w:after="0" w:line="1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The Annual Meeting will be completely </w:t>
      </w:r>
      <w:r>
        <w:rPr>
          <w:rFonts w:ascii="Times New Roman" w:cs="Times New Roman" w:eastAsia="Times New Roman" w:hAnsi="Times New Roman"/>
          <w:sz w:val="18"/>
          <w:szCs w:val="18"/>
          <w:b w:val="1"/>
          <w:bCs w:val="1"/>
          <w:i w:val="1"/>
          <w:iCs w:val="1"/>
          <w:color w:val="auto"/>
        </w:rPr>
        <w:t>virtual</w:t>
      </w:r>
      <w:r>
        <w:rPr>
          <w:rFonts w:ascii="Times New Roman" w:cs="Times New Roman" w:eastAsia="Times New Roman" w:hAnsi="Times New Roman"/>
          <w:sz w:val="18"/>
          <w:szCs w:val="18"/>
          <w:b w:val="1"/>
          <w:bCs w:val="1"/>
          <w:color w:val="auto"/>
        </w:rPr>
        <w:t xml:space="preserve">. You may attend the meeting, submit questions, and vote your shares electronically during the meeting via live webcast by visiting </w:t>
      </w:r>
      <w:r>
        <w:rPr>
          <w:rFonts w:ascii="Times New Roman" w:cs="Times New Roman" w:eastAsia="Times New Roman" w:hAnsi="Times New Roman"/>
          <w:sz w:val="18"/>
          <w:szCs w:val="18"/>
          <w:i w:val="1"/>
          <w:iCs w:val="1"/>
          <w:color w:val="auto"/>
        </w:rPr>
        <w:t>https://www.cstproxy.com/opalfuels/2024</w:t>
      </w:r>
      <w:r>
        <w:rPr>
          <w:rFonts w:ascii="Times New Roman" w:cs="Times New Roman" w:eastAsia="Times New Roman" w:hAnsi="Times New Roman"/>
          <w:sz w:val="18"/>
          <w:szCs w:val="18"/>
          <w:color w:val="auto"/>
        </w:rPr>
        <w:t>. At the meeting you will be asked to consider and to vote on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proposals:</w:t>
      </w:r>
    </w:p>
    <w:p>
      <w:pPr>
        <w:spacing w:after="0" w:line="23" w:lineRule="exact"/>
        <w:rPr>
          <w:sz w:val="20"/>
          <w:szCs w:val="20"/>
          <w:color w:val="auto"/>
        </w:rPr>
      </w:pPr>
    </w:p>
    <w:p>
      <w:pPr>
        <w:ind w:left="1480" w:right="260" w:hanging="255"/>
        <w:spacing w:after="0" w:line="266" w:lineRule="auto"/>
        <w:tabs>
          <w:tab w:leader="none" w:pos="1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seven (7) directors to serve for a one-year term until the 2025 Annual Meeting of Stockholders or until their successors are duly elected and qualified;</w:t>
      </w:r>
    </w:p>
    <w:p>
      <w:pPr>
        <w:spacing w:after="0" w:line="270" w:lineRule="exact"/>
        <w:rPr>
          <w:rFonts w:ascii="Times New Roman" w:cs="Times New Roman" w:eastAsia="Times New Roman" w:hAnsi="Times New Roman"/>
          <w:sz w:val="18"/>
          <w:szCs w:val="18"/>
          <w:color w:val="auto"/>
        </w:rPr>
      </w:pPr>
    </w:p>
    <w:p>
      <w:pPr>
        <w:ind w:left="1480" w:right="260" w:hanging="255"/>
        <w:spacing w:after="0" w:line="266" w:lineRule="auto"/>
        <w:tabs>
          <w:tab w:leader="none" w:pos="1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BDO USA, P.C. as the Company’s independent registered public accounting firm for the year ending December 31, 2024; and</w:t>
      </w:r>
    </w:p>
    <w:p>
      <w:pPr>
        <w:spacing w:after="0" w:line="270" w:lineRule="exact"/>
        <w:rPr>
          <w:rFonts w:ascii="Times New Roman" w:cs="Times New Roman" w:eastAsia="Times New Roman" w:hAnsi="Times New Roman"/>
          <w:sz w:val="18"/>
          <w:szCs w:val="18"/>
          <w:color w:val="auto"/>
        </w:rPr>
      </w:pPr>
    </w:p>
    <w:p>
      <w:pPr>
        <w:ind w:left="1480" w:hanging="255"/>
        <w:spacing w:after="0"/>
        <w:tabs>
          <w:tab w:leader="none" w:pos="1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meeting or any adjournment or postponement of the meeting.</w:t>
      </w:r>
    </w:p>
    <w:p>
      <w:pPr>
        <w:spacing w:after="0" w:line="3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19, 2024, as the record date (the “Record Date”) for the determination of stockholders entitled to notice of and to vote at the Annual Meeting and at any adjournment or postponement of the meeting.</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distributing our proxy materials to certain stockholders via the Internet under the U.S. Securities and Exchange Commission “Notice and Access” rules. We believe this approach allows us to provide stockholders with a timely and convenient way to receive proxy materials and vote, while lowering the costs of delivery and reducing the environmental impact of our Annual Meeting. We are mailing to our stockholders a Notice of Internet Availability of Proxy Materials (the “Notice of Internet Availability”) beginning on or about April 22, 2024, rather than a paper copy of the Proxy Statement, the proxy card and our annual report on Form 10-K for the fiscal year ended December 31, 2023. The Notice of Internet Availability contains instructions on how to access the proxy materials, vote and obtain, if desired, a paper copy of the proxy materials.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IF YOU PLAN TO ATTEND:</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To be admitted to the Annual Meeting, which is being held virtually, you must have your control number available and follow the instructions found on your proxy card or voting instruction form. You may vote during the Annual Meeting by following the instructions available on the meeting website during the meeting. Please allow sufficient time before the Annual Meeting to complete the online check-in process. As an alternative to voting during the Annual Meeting, you may vote via the proxy card that is mailed to those that request paper copies of the Proxy Statement and the other proxy materials. If your shares are held in the name of a broker, trust, bank or other nominee, and you receive these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Annual Meeting and vote during the Annual Meeting. Failure to do so may result in your shares not being eligible to be voted by proxy during the Annual Meeting. Your vote is very important.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 w:name="page3"/>
    <w:bookmarkEnd w:id="2"/>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Coghlin,</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Counsel</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New York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2024</w:t>
      </w:r>
    </w:p>
    <w:p>
      <w:pPr>
        <w:spacing w:after="0" w:line="21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virtual Annual Meeting, we urge you to vote your shares at your earliest convenience. This will ensure the presence of a quorum at the Annual Meeting. Promptly voting your shares will save the Company the expenses and extra work of additional solicitation. Submitting your proxy now will not prevent you from voting your shares at the Annual Meeting if you desire to do so, as your proxy is revocable at your option. Your vote is important, so please act today!</w:t>
      </w:r>
    </w:p>
    <w:p>
      <w:pPr>
        <w:spacing w:after="0" w:line="200" w:lineRule="exact"/>
        <w:rPr>
          <w:sz w:val="20"/>
          <w:szCs w:val="20"/>
          <w:color w:val="auto"/>
        </w:rPr>
      </w:pPr>
    </w:p>
    <w:p>
      <w:pPr>
        <w:spacing w:after="0" w:line="258" w:lineRule="exact"/>
        <w:rPr>
          <w:sz w:val="20"/>
          <w:szCs w:val="20"/>
          <w:color w:val="auto"/>
        </w:rPr>
      </w:pPr>
    </w:p>
    <w:p>
      <w:pPr>
        <w:ind w:left="1600"/>
        <w:spacing w:after="0"/>
        <w:rPr>
          <w:sz w:val="20"/>
          <w:szCs w:val="20"/>
          <w:color w:val="auto"/>
        </w:rPr>
      </w:pPr>
      <w:r>
        <w:rPr>
          <w:rFonts w:ascii="Arial" w:cs="Arial" w:eastAsia="Arial" w:hAnsi="Arial"/>
          <w:sz w:val="22"/>
          <w:szCs w:val="22"/>
          <w:b w:val="1"/>
          <w:bCs w:val="1"/>
          <w:color w:val="auto"/>
        </w:rPr>
        <w:t>___________________________________________________________________</w:t>
      </w:r>
    </w:p>
    <w:p>
      <w:pPr>
        <w:spacing w:after="0" w:line="239"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JUNE 18,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official Notice of Annual Meeting of Stockholders, Proxy Statement, Form of Proxy Card and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Annual Report to Stockholders are available at:</w:t>
      </w:r>
    </w:p>
    <w:p>
      <w:pPr>
        <w:spacing w:after="0" w:line="21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https://www.cstproxy.com/opalfuels/2024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80" w:type="dxa"/>
            <w:vAlign w:val="bottom"/>
            <w:tcBorders>
              <w:bottom w:val="single" w:sz="8" w:color="auto"/>
            </w:tcBorders>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9"/>
        </w:trPr>
        <w:tc>
          <w:tcPr>
            <w:tcW w:w="20" w:type="dxa"/>
            <w:vAlign w:val="bottom"/>
          </w:tcPr>
          <w:p>
            <w:pPr>
              <w:spacing w:after="0"/>
              <w:rPr>
                <w:sz w:val="14"/>
                <w:szCs w:val="14"/>
                <w:color w:val="auto"/>
              </w:rPr>
            </w:pPr>
          </w:p>
        </w:tc>
        <w:tc>
          <w:tcPr>
            <w:tcW w:w="6140" w:type="dxa"/>
            <w:vAlign w:val="bottom"/>
            <w:tcBorders>
              <w:bottom w:val="single" w:sz="8" w:color="0000FF"/>
            </w:tcBorders>
            <w:gridSpan w:val="13"/>
          </w:tcPr>
          <w:p>
            <w:pPr>
              <w:spacing w:after="0" w:line="149" w:lineRule="exact"/>
              <w:rPr>
                <w:sz w:val="20"/>
                <w:szCs w:val="20"/>
                <w:color w:val="auto"/>
              </w:rPr>
            </w:pPr>
            <w:r>
              <w:rPr>
                <w:rFonts w:ascii="Times New Roman" w:cs="Times New Roman" w:eastAsia="Times New Roman" w:hAnsi="Times New Roman"/>
                <w:sz w:val="17"/>
                <w:szCs w:val="17"/>
                <w:color w:val="0000FF"/>
              </w:rPr>
              <w:t>PROPOSALS FOR STOCKHOLDER VOTE AND APPROVAL REQUIREMENTS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left="650"/>
              <w:spacing w:after="0" w:line="169" w:lineRule="exact"/>
              <w:rPr>
                <w:sz w:val="20"/>
                <w:szCs w:val="20"/>
                <w:color w:val="auto"/>
              </w:rPr>
            </w:pPr>
            <w:r>
              <w:rPr>
                <w:rFonts w:ascii="Times New Roman" w:cs="Times New Roman" w:eastAsia="Times New Roman" w:hAnsi="Times New Roman"/>
                <w:sz w:val="18"/>
                <w:szCs w:val="18"/>
                <w:color w:val="0000FF"/>
                <w:w w:val="88"/>
              </w:rPr>
              <w:t>6</w:t>
            </w:r>
          </w:p>
        </w:tc>
        <w:tc>
          <w:tcPr>
            <w:tcW w:w="740" w:type="dxa"/>
            <w:vAlign w:val="bottom"/>
          </w:tcPr>
          <w:p>
            <w:pPr>
              <w:spacing w:after="0"/>
              <w:rPr>
                <w:sz w:val="14"/>
                <w:szCs w:val="14"/>
                <w:color w:val="auto"/>
              </w:rPr>
            </w:pPr>
          </w:p>
        </w:tc>
      </w:tr>
      <w:tr>
        <w:trPr>
          <w:trHeight w:val="24"/>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740" w:type="dxa"/>
            <w:vAlign w:val="bottom"/>
          </w:tcPr>
          <w:p>
            <w:pPr>
              <w:spacing w:after="0"/>
              <w:rPr>
                <w:sz w:val="2"/>
                <w:szCs w:val="2"/>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5100" w:type="dxa"/>
            <w:vAlign w:val="bottom"/>
            <w:tcBorders>
              <w:bottom w:val="single" w:sz="8" w:color="0000FF"/>
            </w:tcBorders>
            <w:gridSpan w:val="11"/>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0000FF"/>
                <w:w w:val="99"/>
              </w:rPr>
              <w:t>OTHER MATTERS TO COME BEFORE THE ANNUAL MEETING</w:t>
            </w: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right w:val="single" w:sz="8" w:color="CCEEFF"/>
            </w:tcBorders>
            <w:gridSpan w:val="2"/>
            <w:shd w:val="clear" w:color="auto" w:fill="CCEEFF"/>
          </w:tcPr>
          <w:p>
            <w:pPr>
              <w:jc w:val="center"/>
              <w:ind w:left="650"/>
              <w:spacing w:after="0" w:line="186" w:lineRule="exact"/>
              <w:rPr>
                <w:sz w:val="20"/>
                <w:szCs w:val="20"/>
                <w:color w:val="auto"/>
              </w:rPr>
            </w:pPr>
            <w:r>
              <w:rPr>
                <w:rFonts w:ascii="Times New Roman" w:cs="Times New Roman" w:eastAsia="Times New Roman" w:hAnsi="Times New Roman"/>
                <w:sz w:val="18"/>
                <w:szCs w:val="18"/>
                <w:color w:val="0000FF"/>
                <w:w w:val="88"/>
              </w:rPr>
              <w:t>7</w:t>
            </w:r>
          </w:p>
        </w:tc>
        <w:tc>
          <w:tcPr>
            <w:tcW w:w="740" w:type="dxa"/>
            <w:vAlign w:val="bottom"/>
            <w:tcBorders>
              <w:bottom w:val="single" w:sz="8" w:color="CCEEFF"/>
            </w:tcBorders>
            <w:shd w:val="clear" w:color="auto" w:fill="CCEEFF"/>
          </w:tcPr>
          <w:p>
            <w:pPr>
              <w:spacing w:after="0"/>
              <w:rPr>
                <w:sz w:val="18"/>
                <w:szCs w:val="18"/>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0000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240" w:type="dxa"/>
            <w:vAlign w:val="bottom"/>
            <w:tcBorders>
              <w:bottom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w w:val="99"/>
              </w:rPr>
              <w:t>QUESTIONS AND ANSWERS ABOUT THIS PROXY MATERIAL AND VOTING</w:t>
            </w:r>
          </w:p>
        </w:tc>
        <w:tc>
          <w:tcPr>
            <w:tcW w:w="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left="650"/>
              <w:spacing w:after="0" w:line="182" w:lineRule="exact"/>
              <w:rPr>
                <w:sz w:val="20"/>
                <w:szCs w:val="20"/>
                <w:color w:val="auto"/>
              </w:rPr>
            </w:pPr>
            <w:r>
              <w:rPr>
                <w:rFonts w:ascii="Times New Roman" w:cs="Times New Roman" w:eastAsia="Times New Roman" w:hAnsi="Times New Roman"/>
                <w:sz w:val="18"/>
                <w:szCs w:val="18"/>
                <w:color w:val="0000FF"/>
                <w:w w:val="88"/>
              </w:rPr>
              <w:t>8</w:t>
            </w:r>
          </w:p>
        </w:tc>
        <w:tc>
          <w:tcPr>
            <w:tcW w:w="74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740" w:type="dxa"/>
            <w:vAlign w:val="bottom"/>
          </w:tcPr>
          <w:p>
            <w:pPr>
              <w:spacing w:after="0"/>
              <w:rPr>
                <w:sz w:val="2"/>
                <w:szCs w:val="2"/>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3400" w:type="dxa"/>
            <w:vAlign w:val="bottom"/>
            <w:tcBorders>
              <w:bottom w:val="single" w:sz="8" w:color="0000FF"/>
            </w:tcBorders>
            <w:gridSpan w:val="9"/>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0000FF"/>
                <w:w w:val="99"/>
              </w:rPr>
              <w:t>PROPOSAL 1 - ELECTION OF DIRECTORS</w:t>
            </w:r>
          </w:p>
        </w:tc>
        <w:tc>
          <w:tcPr>
            <w:tcW w:w="9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spacing w:after="0"/>
              <w:rPr>
                <w:sz w:val="18"/>
                <w:szCs w:val="18"/>
                <w:color w:val="auto"/>
              </w:rPr>
            </w:pPr>
          </w:p>
        </w:tc>
        <w:tc>
          <w:tcPr>
            <w:tcW w:w="1260" w:type="dxa"/>
            <w:vAlign w:val="bottom"/>
            <w:tcBorders>
              <w:bottom w:val="single" w:sz="8" w:color="CCEEFF"/>
            </w:tcBorders>
            <w:gridSpan w:val="3"/>
            <w:shd w:val="clear" w:color="auto" w:fill="CCEEFF"/>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right w:val="single" w:sz="8" w:color="CCEEFF"/>
            </w:tcBorders>
            <w:gridSpan w:val="2"/>
            <w:shd w:val="clear" w:color="auto" w:fill="CCEEFF"/>
          </w:tcPr>
          <w:p>
            <w:pPr>
              <w:jc w:val="center"/>
              <w:ind w:left="650"/>
              <w:spacing w:after="0" w:line="186" w:lineRule="exact"/>
              <w:rPr>
                <w:sz w:val="20"/>
                <w:szCs w:val="20"/>
                <w:color w:val="auto"/>
              </w:rPr>
            </w:pPr>
            <w:r>
              <w:rPr>
                <w:rFonts w:ascii="Times New Roman" w:cs="Times New Roman" w:eastAsia="Times New Roman" w:hAnsi="Times New Roman"/>
                <w:sz w:val="18"/>
                <w:szCs w:val="18"/>
                <w:color w:val="0000FF"/>
                <w:w w:val="88"/>
              </w:rPr>
              <w:t>11</w:t>
            </w:r>
          </w:p>
        </w:tc>
        <w:tc>
          <w:tcPr>
            <w:tcW w:w="740" w:type="dxa"/>
            <w:vAlign w:val="bottom"/>
            <w:tcBorders>
              <w:bottom w:val="single" w:sz="8" w:color="CCEEFF"/>
            </w:tcBorders>
            <w:shd w:val="clear" w:color="auto" w:fill="CCEEFF"/>
          </w:tcPr>
          <w:p>
            <w:pPr>
              <w:spacing w:after="0"/>
              <w:rPr>
                <w:sz w:val="18"/>
                <w:szCs w:val="18"/>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right w:val="single" w:sz="8" w:color="0000FF"/>
            </w:tcBorders>
            <w:shd w:val="clear" w:color="auto" w:fill="CCEEFF"/>
          </w:tcPr>
          <w:p>
            <w:pPr>
              <w:spacing w:after="0"/>
              <w:rPr>
                <w:sz w:val="2"/>
                <w:szCs w:val="2"/>
                <w:color w:val="auto"/>
              </w:rPr>
            </w:pPr>
          </w:p>
        </w:tc>
        <w:tc>
          <w:tcPr>
            <w:tcW w:w="140" w:type="dxa"/>
            <w:vAlign w:val="bottom"/>
            <w:tcBorders>
              <w:top w:val="single" w:sz="8" w:color="CCEEFF"/>
              <w:right w:val="single" w:sz="8" w:color="0000FF"/>
            </w:tcBorders>
            <w:shd w:val="clear" w:color="auto" w:fill="0000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234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8"/>
              </w:rPr>
              <w:t>DIRECTOR COMPENSATION</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1120" w:type="dxa"/>
            <w:vAlign w:val="bottom"/>
            <w:gridSpan w:val="2"/>
          </w:tcPr>
          <w:p>
            <w:pPr>
              <w:spacing w:after="0"/>
              <w:rPr>
                <w:sz w:val="16"/>
                <w:szCs w:val="16"/>
                <w:color w:val="auto"/>
              </w:rPr>
            </w:pPr>
          </w:p>
        </w:tc>
        <w:tc>
          <w:tcPr>
            <w:tcW w:w="1260" w:type="dxa"/>
            <w:vAlign w:val="bottom"/>
            <w:gridSpan w:val="3"/>
          </w:tcPr>
          <w:p>
            <w:pPr>
              <w:spacing w:after="0"/>
              <w:rPr>
                <w:sz w:val="16"/>
                <w:szCs w:val="16"/>
                <w:color w:val="auto"/>
              </w:rPr>
            </w:pPr>
          </w:p>
        </w:tc>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left="670"/>
              <w:spacing w:after="0" w:line="182" w:lineRule="exact"/>
              <w:rPr>
                <w:sz w:val="20"/>
                <w:szCs w:val="20"/>
                <w:color w:val="auto"/>
              </w:rPr>
            </w:pPr>
            <w:r>
              <w:rPr>
                <w:rFonts w:ascii="Times New Roman" w:cs="Times New Roman" w:eastAsia="Times New Roman" w:hAnsi="Times New Roman"/>
                <w:sz w:val="18"/>
                <w:szCs w:val="18"/>
                <w:color w:val="0000FF"/>
                <w:w w:val="99"/>
              </w:rPr>
              <w:t>32</w:t>
            </w:r>
          </w:p>
        </w:tc>
        <w:tc>
          <w:tcPr>
            <w:tcW w:w="74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740" w:type="dxa"/>
            <w:vAlign w:val="bottom"/>
          </w:tcPr>
          <w:p>
            <w:pPr>
              <w:spacing w:after="0"/>
              <w:rPr>
                <w:sz w:val="2"/>
                <w:szCs w:val="2"/>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0000FF"/>
            </w:tcBorders>
            <w:gridSpan w:val="8"/>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0000FF"/>
                <w:w w:val="99"/>
              </w:rPr>
              <w:t>BOARD MEETINGS AND COMMITTEES</w:t>
            </w:r>
          </w:p>
        </w:tc>
        <w:tc>
          <w:tcPr>
            <w:tcW w:w="1120" w:type="dxa"/>
            <w:vAlign w:val="bottom"/>
            <w:tcBorders>
              <w:bottom w:val="single" w:sz="8" w:color="CCEEFF"/>
            </w:tcBorders>
            <w:gridSpan w:val="2"/>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spacing w:after="0"/>
              <w:rPr>
                <w:sz w:val="20"/>
                <w:szCs w:val="20"/>
                <w:color w:val="auto"/>
              </w:rPr>
            </w:pPr>
          </w:p>
        </w:tc>
        <w:tc>
          <w:tcPr>
            <w:tcW w:w="2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CCEEFF"/>
            </w:tcBorders>
            <w:gridSpan w:val="2"/>
            <w:shd w:val="clear" w:color="auto" w:fill="CCEEFF"/>
          </w:tcPr>
          <w:p>
            <w:pPr>
              <w:jc w:val="center"/>
              <w:ind w:left="670"/>
              <w:spacing w:after="0" w:line="186" w:lineRule="exact"/>
              <w:rPr>
                <w:sz w:val="20"/>
                <w:szCs w:val="20"/>
                <w:color w:val="auto"/>
              </w:rPr>
            </w:pPr>
            <w:r>
              <w:rPr>
                <w:rFonts w:ascii="Times New Roman" w:cs="Times New Roman" w:eastAsia="Times New Roman" w:hAnsi="Times New Roman"/>
                <w:sz w:val="18"/>
                <w:szCs w:val="18"/>
                <w:color w:val="0000FF"/>
                <w:w w:val="99"/>
              </w:rPr>
              <w:t>13</w:t>
            </w:r>
          </w:p>
        </w:tc>
        <w:tc>
          <w:tcPr>
            <w:tcW w:w="740" w:type="dxa"/>
            <w:vAlign w:val="bottom"/>
            <w:tcBorders>
              <w:bottom w:val="single" w:sz="8" w:color="CCEEFF"/>
            </w:tcBorders>
            <w:shd w:val="clear" w:color="auto" w:fill="CCEEFF"/>
          </w:tcPr>
          <w:p>
            <w:pPr>
              <w:spacing w:after="0"/>
              <w:rPr>
                <w:sz w:val="20"/>
                <w:szCs w:val="20"/>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9540" w:type="dxa"/>
            <w:vAlign w:val="bottom"/>
            <w:tcBorders>
              <w:top w:val="single" w:sz="8" w:color="CCEE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PROPOSAL 2 - RATIFICATION OF THE APPOINTMENT OF BDO USA, P.C. AS OUR INDEPENDENT REGISTERED</w:t>
            </w:r>
          </w:p>
        </w:tc>
        <w:tc>
          <w:tcPr>
            <w:tcW w:w="800" w:type="dxa"/>
            <w:vAlign w:val="bottom"/>
            <w:tcBorders>
              <w:top w:val="single" w:sz="8" w:color="CCEE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36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9"/>
              </w:rPr>
              <w:t>PUBLIC ACCOUNTING FIRM FOR FISCAL YEAR 2024</w:t>
            </w:r>
          </w:p>
        </w:tc>
        <w:tc>
          <w:tcPr>
            <w:tcW w:w="1120" w:type="dxa"/>
            <w:vAlign w:val="bottom"/>
            <w:tcBorders>
              <w:top w:val="single" w:sz="8" w:color="0000FF"/>
              <w:bottom w:val="single" w:sz="8" w:color="0000FF"/>
            </w:tcBorders>
            <w:gridSpan w:val="2"/>
          </w:tcPr>
          <w:p>
            <w:pPr>
              <w:spacing w:after="0"/>
              <w:rPr>
                <w:sz w:val="15"/>
                <w:szCs w:val="15"/>
                <w:color w:val="auto"/>
              </w:rPr>
            </w:pPr>
          </w:p>
        </w:tc>
        <w:tc>
          <w:tcPr>
            <w:tcW w:w="1260" w:type="dxa"/>
            <w:vAlign w:val="bottom"/>
            <w:tcBorders>
              <w:top w:val="single" w:sz="8" w:color="0000FF"/>
              <w:bottom w:val="single" w:sz="8" w:color="0000FF"/>
            </w:tcBorders>
            <w:gridSpan w:val="3"/>
          </w:tcPr>
          <w:p>
            <w:pPr>
              <w:spacing w:after="0"/>
              <w:rPr>
                <w:sz w:val="15"/>
                <w:szCs w:val="15"/>
                <w:color w:val="auto"/>
              </w:rPr>
            </w:pPr>
          </w:p>
        </w:tc>
        <w:tc>
          <w:tcPr>
            <w:tcW w:w="2640" w:type="dxa"/>
            <w:vAlign w:val="bottom"/>
            <w:tcBorders>
              <w:top w:val="single" w:sz="8" w:color="0000FF"/>
              <w:bottom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left="670"/>
              <w:spacing w:after="0" w:line="182" w:lineRule="exact"/>
              <w:rPr>
                <w:sz w:val="20"/>
                <w:szCs w:val="20"/>
                <w:color w:val="auto"/>
              </w:rPr>
            </w:pPr>
            <w:r>
              <w:rPr>
                <w:rFonts w:ascii="Times New Roman" w:cs="Times New Roman" w:eastAsia="Times New Roman" w:hAnsi="Times New Roman"/>
                <w:sz w:val="18"/>
                <w:szCs w:val="18"/>
                <w:color w:val="0000FF"/>
                <w:w w:val="99"/>
              </w:rPr>
              <w:t>19</w:t>
            </w:r>
          </w:p>
        </w:tc>
        <w:tc>
          <w:tcPr>
            <w:tcW w:w="740" w:type="dxa"/>
            <w:vAlign w:val="bottom"/>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740" w:type="dxa"/>
            <w:vAlign w:val="bottom"/>
          </w:tcPr>
          <w:p>
            <w:pPr>
              <w:spacing w:after="0"/>
              <w:rPr>
                <w:sz w:val="2"/>
                <w:szCs w:val="2"/>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0000FF"/>
            </w:tcBorders>
            <w:gridSpan w:val="6"/>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0000FF"/>
                <w:w w:val="99"/>
              </w:rPr>
              <w:t>REPORT OF THE AUDIT COMMITTEE</w:t>
            </w:r>
          </w:p>
        </w:tc>
        <w:tc>
          <w:tcPr>
            <w:tcW w:w="1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gridSpan w:val="5"/>
            <w:shd w:val="clear" w:color="auto" w:fill="CCEEFF"/>
          </w:tcPr>
          <w:p>
            <w:pPr>
              <w:spacing w:after="0"/>
              <w:rPr>
                <w:sz w:val="18"/>
                <w:szCs w:val="18"/>
                <w:color w:val="auto"/>
              </w:rPr>
            </w:pPr>
          </w:p>
        </w:tc>
        <w:tc>
          <w:tcPr>
            <w:tcW w:w="1260" w:type="dxa"/>
            <w:vAlign w:val="bottom"/>
            <w:tcBorders>
              <w:bottom w:val="single" w:sz="8" w:color="CCEEFF"/>
            </w:tcBorders>
            <w:gridSpan w:val="3"/>
            <w:shd w:val="clear" w:color="auto" w:fill="CCEEFF"/>
          </w:tcPr>
          <w:p>
            <w:pPr>
              <w:spacing w:after="0"/>
              <w:rPr>
                <w:sz w:val="18"/>
                <w:szCs w:val="18"/>
                <w:color w:val="auto"/>
              </w:rPr>
            </w:pPr>
          </w:p>
        </w:tc>
        <w:tc>
          <w:tcPr>
            <w:tcW w:w="2800" w:type="dxa"/>
            <w:vAlign w:val="bottom"/>
            <w:tcBorders>
              <w:bottom w:val="single" w:sz="8" w:color="CCEEFF"/>
            </w:tcBorders>
            <w:gridSpan w:val="2"/>
            <w:shd w:val="clear" w:color="auto" w:fill="CCEEFF"/>
          </w:tcPr>
          <w:p>
            <w:pPr>
              <w:spacing w:after="0"/>
              <w:rPr>
                <w:sz w:val="18"/>
                <w:szCs w:val="18"/>
                <w:color w:val="auto"/>
              </w:rPr>
            </w:pPr>
          </w:p>
        </w:tc>
        <w:tc>
          <w:tcPr>
            <w:tcW w:w="940" w:type="dxa"/>
            <w:vAlign w:val="bottom"/>
            <w:tcBorders>
              <w:bottom w:val="single" w:sz="8" w:color="CCEEFF"/>
              <w:right w:val="single" w:sz="8" w:color="CCEEFF"/>
            </w:tcBorders>
            <w:gridSpan w:val="2"/>
            <w:shd w:val="clear" w:color="auto" w:fill="CCEEFF"/>
          </w:tcPr>
          <w:p>
            <w:pPr>
              <w:jc w:val="center"/>
              <w:ind w:left="670"/>
              <w:spacing w:after="0" w:line="186" w:lineRule="exact"/>
              <w:rPr>
                <w:sz w:val="20"/>
                <w:szCs w:val="20"/>
                <w:color w:val="auto"/>
              </w:rPr>
            </w:pPr>
            <w:r>
              <w:rPr>
                <w:rFonts w:ascii="Times New Roman" w:cs="Times New Roman" w:eastAsia="Times New Roman" w:hAnsi="Times New Roman"/>
                <w:sz w:val="18"/>
                <w:szCs w:val="18"/>
                <w:color w:val="0000FF"/>
                <w:w w:val="99"/>
              </w:rPr>
              <w:t>20</w:t>
            </w:r>
          </w:p>
        </w:tc>
        <w:tc>
          <w:tcPr>
            <w:tcW w:w="740" w:type="dxa"/>
            <w:vAlign w:val="bottom"/>
            <w:tcBorders>
              <w:bottom w:val="single" w:sz="8" w:color="CCEEFF"/>
            </w:tcBorders>
            <w:shd w:val="clear" w:color="auto" w:fill="CCEEFF"/>
          </w:tcPr>
          <w:p>
            <w:pPr>
              <w:spacing w:after="0"/>
              <w:rPr>
                <w:sz w:val="18"/>
                <w:szCs w:val="18"/>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right w:val="single" w:sz="8" w:color="0000FF"/>
            </w:tcBorders>
            <w:shd w:val="clear" w:color="auto" w:fill="CCEEFF"/>
          </w:tcPr>
          <w:p>
            <w:pPr>
              <w:spacing w:after="0"/>
              <w:rPr>
                <w:sz w:val="2"/>
                <w:szCs w:val="2"/>
                <w:color w:val="auto"/>
              </w:rPr>
            </w:pPr>
          </w:p>
        </w:tc>
        <w:tc>
          <w:tcPr>
            <w:tcW w:w="140" w:type="dxa"/>
            <w:vAlign w:val="bottom"/>
            <w:tcBorders>
              <w:top w:val="single" w:sz="8" w:color="CCEEFF"/>
              <w:right w:val="single" w:sz="8" w:color="0000FF"/>
            </w:tcBorders>
            <w:shd w:val="clear" w:color="auto" w:fill="0000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90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EXECUTIVE OFFICERS</w:t>
            </w:r>
          </w:p>
        </w:tc>
        <w:tc>
          <w:tcPr>
            <w:tcW w:w="540" w:type="dxa"/>
            <w:vAlign w:val="bottom"/>
            <w:gridSpan w:val="2"/>
          </w:tcPr>
          <w:p>
            <w:pPr>
              <w:spacing w:after="0"/>
              <w:rPr>
                <w:sz w:val="16"/>
                <w:szCs w:val="16"/>
                <w:color w:val="auto"/>
              </w:rPr>
            </w:pPr>
          </w:p>
        </w:tc>
        <w:tc>
          <w:tcPr>
            <w:tcW w:w="760" w:type="dxa"/>
            <w:vAlign w:val="bottom"/>
            <w:gridSpan w:val="2"/>
          </w:tcPr>
          <w:p>
            <w:pPr>
              <w:spacing w:after="0"/>
              <w:rPr>
                <w:sz w:val="16"/>
                <w:szCs w:val="16"/>
                <w:color w:val="auto"/>
              </w:rPr>
            </w:pPr>
          </w:p>
        </w:tc>
        <w:tc>
          <w:tcPr>
            <w:tcW w:w="2280" w:type="dxa"/>
            <w:vAlign w:val="bottom"/>
            <w:gridSpan w:val="5"/>
          </w:tcPr>
          <w:p>
            <w:pPr>
              <w:spacing w:after="0"/>
              <w:rPr>
                <w:sz w:val="16"/>
                <w:szCs w:val="16"/>
                <w:color w:val="auto"/>
              </w:rPr>
            </w:pPr>
          </w:p>
        </w:tc>
        <w:tc>
          <w:tcPr>
            <w:tcW w:w="1260" w:type="dxa"/>
            <w:vAlign w:val="bottom"/>
            <w:gridSpan w:val="3"/>
          </w:tcPr>
          <w:p>
            <w:pPr>
              <w:spacing w:after="0"/>
              <w:rPr>
                <w:sz w:val="16"/>
                <w:szCs w:val="16"/>
                <w:color w:val="auto"/>
              </w:rPr>
            </w:pPr>
          </w:p>
        </w:tc>
        <w:tc>
          <w:tcPr>
            <w:tcW w:w="2800" w:type="dxa"/>
            <w:vAlign w:val="bottom"/>
            <w:gridSpan w:val="2"/>
          </w:tcPr>
          <w:p>
            <w:pPr>
              <w:spacing w:after="0"/>
              <w:rPr>
                <w:sz w:val="16"/>
                <w:szCs w:val="16"/>
                <w:color w:val="auto"/>
              </w:rPr>
            </w:pPr>
          </w:p>
        </w:tc>
        <w:tc>
          <w:tcPr>
            <w:tcW w:w="940" w:type="dxa"/>
            <w:vAlign w:val="bottom"/>
            <w:gridSpan w:val="2"/>
          </w:tcPr>
          <w:p>
            <w:pPr>
              <w:jc w:val="center"/>
              <w:ind w:left="670"/>
              <w:spacing w:after="0" w:line="182" w:lineRule="exact"/>
              <w:rPr>
                <w:sz w:val="20"/>
                <w:szCs w:val="20"/>
                <w:color w:val="auto"/>
              </w:rPr>
            </w:pPr>
            <w:r>
              <w:rPr>
                <w:rFonts w:ascii="Times New Roman" w:cs="Times New Roman" w:eastAsia="Times New Roman" w:hAnsi="Times New Roman"/>
                <w:sz w:val="18"/>
                <w:szCs w:val="18"/>
                <w:color w:val="0000FF"/>
                <w:w w:val="99"/>
              </w:rPr>
              <w:t>21</w:t>
            </w:r>
          </w:p>
        </w:tc>
        <w:tc>
          <w:tcPr>
            <w:tcW w:w="74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740" w:type="dxa"/>
            <w:vAlign w:val="bottom"/>
          </w:tcPr>
          <w:p>
            <w:pPr>
              <w:spacing w:after="0"/>
              <w:rPr>
                <w:sz w:val="2"/>
                <w:szCs w:val="2"/>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2440" w:type="dxa"/>
            <w:vAlign w:val="bottom"/>
            <w:tcBorders>
              <w:bottom w:val="single" w:sz="8" w:color="0000FF"/>
            </w:tcBorders>
            <w:gridSpan w:val="5"/>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760" w:type="dxa"/>
            <w:vAlign w:val="bottom"/>
            <w:tcBorders>
              <w:bottom w:val="single" w:sz="8" w:color="CCEEFF"/>
            </w:tcBorders>
            <w:gridSpan w:val="2"/>
            <w:shd w:val="clear" w:color="auto" w:fill="CCEEFF"/>
          </w:tcPr>
          <w:p>
            <w:pPr>
              <w:spacing w:after="0"/>
              <w:rPr>
                <w:sz w:val="18"/>
                <w:szCs w:val="18"/>
                <w:color w:val="auto"/>
              </w:rPr>
            </w:pPr>
          </w:p>
        </w:tc>
        <w:tc>
          <w:tcPr>
            <w:tcW w:w="2280" w:type="dxa"/>
            <w:vAlign w:val="bottom"/>
            <w:tcBorders>
              <w:bottom w:val="single" w:sz="8" w:color="CCEEFF"/>
            </w:tcBorders>
            <w:gridSpan w:val="5"/>
            <w:shd w:val="clear" w:color="auto" w:fill="CCEEFF"/>
          </w:tcPr>
          <w:p>
            <w:pPr>
              <w:spacing w:after="0"/>
              <w:rPr>
                <w:sz w:val="18"/>
                <w:szCs w:val="18"/>
                <w:color w:val="auto"/>
              </w:rPr>
            </w:pPr>
          </w:p>
        </w:tc>
        <w:tc>
          <w:tcPr>
            <w:tcW w:w="1260" w:type="dxa"/>
            <w:vAlign w:val="bottom"/>
            <w:tcBorders>
              <w:bottom w:val="single" w:sz="8" w:color="CCEEFF"/>
            </w:tcBorders>
            <w:gridSpan w:val="3"/>
            <w:shd w:val="clear" w:color="auto" w:fill="CCEEFF"/>
          </w:tcPr>
          <w:p>
            <w:pPr>
              <w:spacing w:after="0"/>
              <w:rPr>
                <w:sz w:val="18"/>
                <w:szCs w:val="18"/>
                <w:color w:val="auto"/>
              </w:rPr>
            </w:pPr>
          </w:p>
        </w:tc>
        <w:tc>
          <w:tcPr>
            <w:tcW w:w="2800" w:type="dxa"/>
            <w:vAlign w:val="bottom"/>
            <w:tcBorders>
              <w:bottom w:val="single" w:sz="8" w:color="CCEEFF"/>
            </w:tcBorders>
            <w:gridSpan w:val="2"/>
            <w:shd w:val="clear" w:color="auto" w:fill="CCEEFF"/>
          </w:tcPr>
          <w:p>
            <w:pPr>
              <w:spacing w:after="0"/>
              <w:rPr>
                <w:sz w:val="18"/>
                <w:szCs w:val="18"/>
                <w:color w:val="auto"/>
              </w:rPr>
            </w:pPr>
          </w:p>
        </w:tc>
        <w:tc>
          <w:tcPr>
            <w:tcW w:w="940" w:type="dxa"/>
            <w:vAlign w:val="bottom"/>
            <w:tcBorders>
              <w:bottom w:val="single" w:sz="8" w:color="CCEEFF"/>
              <w:right w:val="single" w:sz="8" w:color="CCEEFF"/>
            </w:tcBorders>
            <w:gridSpan w:val="2"/>
            <w:shd w:val="clear" w:color="auto" w:fill="CCEEFF"/>
          </w:tcPr>
          <w:p>
            <w:pPr>
              <w:jc w:val="center"/>
              <w:ind w:left="670"/>
              <w:spacing w:after="0" w:line="186" w:lineRule="exact"/>
              <w:rPr>
                <w:sz w:val="20"/>
                <w:szCs w:val="20"/>
                <w:color w:val="auto"/>
              </w:rPr>
            </w:pPr>
            <w:r>
              <w:rPr>
                <w:rFonts w:ascii="Times New Roman" w:cs="Times New Roman" w:eastAsia="Times New Roman" w:hAnsi="Times New Roman"/>
                <w:sz w:val="18"/>
                <w:szCs w:val="18"/>
                <w:color w:val="0000FF"/>
                <w:w w:val="99"/>
              </w:rPr>
              <w:t>24</w:t>
            </w:r>
          </w:p>
        </w:tc>
        <w:tc>
          <w:tcPr>
            <w:tcW w:w="740" w:type="dxa"/>
            <w:vAlign w:val="bottom"/>
            <w:tcBorders>
              <w:bottom w:val="single" w:sz="8" w:color="CCEEFF"/>
            </w:tcBorders>
            <w:shd w:val="clear" w:color="auto" w:fill="CCEEFF"/>
          </w:tcPr>
          <w:p>
            <w:pPr>
              <w:spacing w:after="0"/>
              <w:rPr>
                <w:sz w:val="18"/>
                <w:szCs w:val="18"/>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right w:val="single" w:sz="8" w:color="0000FF"/>
            </w:tcBorders>
            <w:shd w:val="clear" w:color="auto" w:fill="CCEEFF"/>
          </w:tcPr>
          <w:p>
            <w:pPr>
              <w:spacing w:after="0"/>
              <w:rPr>
                <w:sz w:val="2"/>
                <w:szCs w:val="2"/>
                <w:color w:val="auto"/>
              </w:rPr>
            </w:pPr>
          </w:p>
        </w:tc>
        <w:tc>
          <w:tcPr>
            <w:tcW w:w="140" w:type="dxa"/>
            <w:vAlign w:val="bottom"/>
            <w:tcBorders>
              <w:top w:val="single" w:sz="8" w:color="CCEEFF"/>
              <w:right w:val="single" w:sz="8" w:color="0000FF"/>
            </w:tcBorders>
            <w:shd w:val="clear" w:color="auto" w:fill="0000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740" w:type="dxa"/>
            <w:vAlign w:val="bottom"/>
            <w:tcBorders>
              <w:bottom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2800" w:type="dxa"/>
            <w:vAlign w:val="bottom"/>
            <w:gridSpan w:val="2"/>
          </w:tcPr>
          <w:p>
            <w:pPr>
              <w:spacing w:after="0"/>
              <w:rPr>
                <w:sz w:val="16"/>
                <w:szCs w:val="16"/>
                <w:color w:val="auto"/>
              </w:rPr>
            </w:pPr>
          </w:p>
        </w:tc>
        <w:tc>
          <w:tcPr>
            <w:tcW w:w="940" w:type="dxa"/>
            <w:vAlign w:val="bottom"/>
            <w:gridSpan w:val="2"/>
          </w:tcPr>
          <w:p>
            <w:pPr>
              <w:jc w:val="center"/>
              <w:ind w:left="670"/>
              <w:spacing w:after="0" w:line="182" w:lineRule="exact"/>
              <w:rPr>
                <w:sz w:val="20"/>
                <w:szCs w:val="20"/>
                <w:color w:val="auto"/>
              </w:rPr>
            </w:pPr>
            <w:r>
              <w:rPr>
                <w:rFonts w:ascii="Times New Roman" w:cs="Times New Roman" w:eastAsia="Times New Roman" w:hAnsi="Times New Roman"/>
                <w:sz w:val="18"/>
                <w:szCs w:val="18"/>
                <w:color w:val="0000FF"/>
                <w:w w:val="99"/>
              </w:rPr>
              <w:t>33</w:t>
            </w:r>
          </w:p>
        </w:tc>
        <w:tc>
          <w:tcPr>
            <w:tcW w:w="74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740" w:type="dxa"/>
            <w:vAlign w:val="bottom"/>
          </w:tcPr>
          <w:p>
            <w:pPr>
              <w:spacing w:after="0"/>
              <w:rPr>
                <w:sz w:val="2"/>
                <w:szCs w:val="2"/>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0000FF"/>
            </w:tcBorders>
            <w:gridSpan w:val="7"/>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0000FF"/>
                <w:w w:val="98"/>
              </w:rPr>
              <w:t>DELINQUENT SECTION 16(a) REPORTS</w:t>
            </w:r>
          </w:p>
        </w:tc>
        <w:tc>
          <w:tcPr>
            <w:tcW w:w="2280" w:type="dxa"/>
            <w:vAlign w:val="bottom"/>
            <w:tcBorders>
              <w:bottom w:val="single" w:sz="8" w:color="CCEEFF"/>
            </w:tcBorders>
            <w:gridSpan w:val="5"/>
            <w:shd w:val="clear" w:color="auto" w:fill="CCEEFF"/>
          </w:tcPr>
          <w:p>
            <w:pPr>
              <w:spacing w:after="0"/>
              <w:rPr>
                <w:sz w:val="18"/>
                <w:szCs w:val="18"/>
                <w:color w:val="auto"/>
              </w:rPr>
            </w:pPr>
          </w:p>
        </w:tc>
        <w:tc>
          <w:tcPr>
            <w:tcW w:w="4060" w:type="dxa"/>
            <w:vAlign w:val="bottom"/>
            <w:tcBorders>
              <w:bottom w:val="single" w:sz="8" w:color="CCEEFF"/>
            </w:tcBorders>
            <w:gridSpan w:val="5"/>
            <w:shd w:val="clear" w:color="auto" w:fill="CCEEFF"/>
          </w:tcPr>
          <w:p>
            <w:pPr>
              <w:spacing w:after="0"/>
              <w:rPr>
                <w:sz w:val="18"/>
                <w:szCs w:val="18"/>
                <w:color w:val="auto"/>
              </w:rPr>
            </w:pPr>
          </w:p>
        </w:tc>
        <w:tc>
          <w:tcPr>
            <w:tcW w:w="940" w:type="dxa"/>
            <w:vAlign w:val="bottom"/>
            <w:tcBorders>
              <w:bottom w:val="single" w:sz="8" w:color="CCEEFF"/>
              <w:right w:val="single" w:sz="8" w:color="CCEEFF"/>
            </w:tcBorders>
            <w:gridSpan w:val="2"/>
            <w:shd w:val="clear" w:color="auto" w:fill="CCEEFF"/>
          </w:tcPr>
          <w:p>
            <w:pPr>
              <w:jc w:val="center"/>
              <w:ind w:left="670"/>
              <w:spacing w:after="0" w:line="193" w:lineRule="exact"/>
              <w:rPr>
                <w:sz w:val="20"/>
                <w:szCs w:val="20"/>
                <w:color w:val="auto"/>
              </w:rPr>
            </w:pPr>
            <w:r>
              <w:rPr>
                <w:rFonts w:ascii="Times New Roman" w:cs="Times New Roman" w:eastAsia="Times New Roman" w:hAnsi="Times New Roman"/>
                <w:sz w:val="18"/>
                <w:szCs w:val="18"/>
                <w:color w:val="0000FF"/>
                <w:w w:val="99"/>
              </w:rPr>
              <w:t>37</w:t>
            </w:r>
          </w:p>
        </w:tc>
        <w:tc>
          <w:tcPr>
            <w:tcW w:w="740" w:type="dxa"/>
            <w:vAlign w:val="bottom"/>
            <w:tcBorders>
              <w:bottom w:val="single" w:sz="8" w:color="CCEEFF"/>
            </w:tcBorders>
            <w:shd w:val="clear" w:color="auto" w:fill="CCEEFF"/>
          </w:tcPr>
          <w:p>
            <w:pPr>
              <w:spacing w:after="0"/>
              <w:rPr>
                <w:sz w:val="18"/>
                <w:szCs w:val="18"/>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right w:val="single" w:sz="8" w:color="0000FF"/>
            </w:tcBorders>
            <w:shd w:val="clear" w:color="auto" w:fill="CCEEFF"/>
          </w:tcPr>
          <w:p>
            <w:pPr>
              <w:spacing w:after="0"/>
              <w:rPr>
                <w:sz w:val="2"/>
                <w:szCs w:val="2"/>
                <w:color w:val="auto"/>
              </w:rPr>
            </w:pPr>
          </w:p>
        </w:tc>
        <w:tc>
          <w:tcPr>
            <w:tcW w:w="140" w:type="dxa"/>
            <w:vAlign w:val="bottom"/>
            <w:tcBorders>
              <w:top w:val="single" w:sz="8" w:color="CCEEFF"/>
              <w:right w:val="single" w:sz="8" w:color="0000FF"/>
            </w:tcBorders>
            <w:shd w:val="clear" w:color="auto" w:fill="0000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480" w:type="dxa"/>
            <w:vAlign w:val="bottom"/>
            <w:tcBorders>
              <w:bottom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4060" w:type="dxa"/>
            <w:vAlign w:val="bottom"/>
            <w:gridSpan w:val="5"/>
          </w:tcPr>
          <w:p>
            <w:pPr>
              <w:spacing w:after="0"/>
              <w:rPr>
                <w:sz w:val="16"/>
                <w:szCs w:val="16"/>
                <w:color w:val="auto"/>
              </w:rPr>
            </w:pPr>
          </w:p>
        </w:tc>
        <w:tc>
          <w:tcPr>
            <w:tcW w:w="940" w:type="dxa"/>
            <w:vAlign w:val="bottom"/>
            <w:gridSpan w:val="2"/>
          </w:tcPr>
          <w:p>
            <w:pPr>
              <w:jc w:val="center"/>
              <w:ind w:left="670"/>
              <w:spacing w:after="0" w:line="182" w:lineRule="exact"/>
              <w:rPr>
                <w:sz w:val="20"/>
                <w:szCs w:val="20"/>
                <w:color w:val="auto"/>
              </w:rPr>
            </w:pPr>
            <w:r>
              <w:rPr>
                <w:rFonts w:ascii="Times New Roman" w:cs="Times New Roman" w:eastAsia="Times New Roman" w:hAnsi="Times New Roman"/>
                <w:sz w:val="18"/>
                <w:szCs w:val="18"/>
                <w:color w:val="0000FF"/>
                <w:w w:val="99"/>
              </w:rPr>
              <w:t>38</w:t>
            </w:r>
          </w:p>
        </w:tc>
        <w:tc>
          <w:tcPr>
            <w:tcW w:w="74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740" w:type="dxa"/>
            <w:vAlign w:val="bottom"/>
          </w:tcPr>
          <w:p>
            <w:pPr>
              <w:spacing w:after="0"/>
              <w:rPr>
                <w:sz w:val="2"/>
                <w:szCs w:val="2"/>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0000FF"/>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0000FF"/>
                <w:w w:val="98"/>
              </w:rPr>
              <w:t>HOUSEHOLDING</w:t>
            </w:r>
          </w:p>
        </w:tc>
        <w:tc>
          <w:tcPr>
            <w:tcW w:w="60" w:type="dxa"/>
            <w:vAlign w:val="bottom"/>
            <w:tcBorders>
              <w:bottom w:val="single" w:sz="8" w:color="CCEEFF"/>
            </w:tcBorders>
            <w:shd w:val="clear" w:color="auto" w:fill="CCEEFF"/>
          </w:tcPr>
          <w:p>
            <w:pPr>
              <w:spacing w:after="0"/>
              <w:rPr>
                <w:sz w:val="18"/>
                <w:szCs w:val="18"/>
                <w:color w:val="auto"/>
              </w:rPr>
            </w:pPr>
          </w:p>
        </w:tc>
        <w:tc>
          <w:tcPr>
            <w:tcW w:w="8060" w:type="dxa"/>
            <w:vAlign w:val="bottom"/>
            <w:tcBorders>
              <w:bottom w:val="single" w:sz="8" w:color="CCEEFF"/>
            </w:tcBorders>
            <w:gridSpan w:val="15"/>
            <w:shd w:val="clear" w:color="auto" w:fill="CCEEFF"/>
          </w:tcPr>
          <w:p>
            <w:pPr>
              <w:spacing w:after="0"/>
              <w:rPr>
                <w:sz w:val="18"/>
                <w:szCs w:val="18"/>
                <w:color w:val="auto"/>
              </w:rPr>
            </w:pPr>
          </w:p>
        </w:tc>
        <w:tc>
          <w:tcPr>
            <w:tcW w:w="940" w:type="dxa"/>
            <w:vAlign w:val="bottom"/>
            <w:tcBorders>
              <w:bottom w:val="single" w:sz="8" w:color="CCEEFF"/>
              <w:right w:val="single" w:sz="8" w:color="CCEEFF"/>
            </w:tcBorders>
            <w:gridSpan w:val="2"/>
            <w:shd w:val="clear" w:color="auto" w:fill="CCEEFF"/>
          </w:tcPr>
          <w:p>
            <w:pPr>
              <w:jc w:val="center"/>
              <w:ind w:left="670"/>
              <w:spacing w:after="0" w:line="186" w:lineRule="exact"/>
              <w:rPr>
                <w:sz w:val="20"/>
                <w:szCs w:val="20"/>
                <w:color w:val="auto"/>
              </w:rPr>
            </w:pPr>
            <w:r>
              <w:rPr>
                <w:rFonts w:ascii="Times New Roman" w:cs="Times New Roman" w:eastAsia="Times New Roman" w:hAnsi="Times New Roman"/>
                <w:sz w:val="18"/>
                <w:szCs w:val="18"/>
                <w:color w:val="0000FF"/>
                <w:w w:val="99"/>
              </w:rPr>
              <w:t>43</w:t>
            </w:r>
          </w:p>
        </w:tc>
        <w:tc>
          <w:tcPr>
            <w:tcW w:w="740" w:type="dxa"/>
            <w:vAlign w:val="bottom"/>
            <w:tcBorders>
              <w:bottom w:val="single" w:sz="8" w:color="CCEEFF"/>
            </w:tcBorders>
            <w:shd w:val="clear" w:color="auto" w:fill="CCEEFF"/>
          </w:tcPr>
          <w:p>
            <w:pPr>
              <w:spacing w:after="0"/>
              <w:rPr>
                <w:sz w:val="18"/>
                <w:szCs w:val="18"/>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right w:val="single" w:sz="8" w:color="0000FF"/>
            </w:tcBorders>
            <w:shd w:val="clear" w:color="auto" w:fill="CCEEFF"/>
          </w:tcPr>
          <w:p>
            <w:pPr>
              <w:spacing w:after="0"/>
              <w:rPr>
                <w:sz w:val="2"/>
                <w:szCs w:val="2"/>
                <w:color w:val="auto"/>
              </w:rPr>
            </w:pPr>
          </w:p>
        </w:tc>
        <w:tc>
          <w:tcPr>
            <w:tcW w:w="140" w:type="dxa"/>
            <w:vAlign w:val="bottom"/>
            <w:tcBorders>
              <w:top w:val="single" w:sz="8" w:color="CCEEFF"/>
              <w:right w:val="single" w:sz="8" w:color="0000FF"/>
            </w:tcBorders>
            <w:shd w:val="clear" w:color="auto" w:fill="0000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480" w:type="dxa"/>
            <w:vAlign w:val="bottom"/>
            <w:tcBorders>
              <w:bottom w:val="single" w:sz="8" w:color="3051F2"/>
            </w:tcBorders>
            <w:gridSpan w:val="2"/>
          </w:tcPr>
          <w:p>
            <w:pPr>
              <w:spacing w:after="0" w:line="169" w:lineRule="exact"/>
              <w:rPr>
                <w:sz w:val="20"/>
                <w:szCs w:val="20"/>
                <w:color w:val="auto"/>
              </w:rPr>
            </w:pPr>
            <w:r>
              <w:rPr>
                <w:rFonts w:ascii="Times New Roman" w:cs="Times New Roman" w:eastAsia="Times New Roman" w:hAnsi="Times New Roman"/>
                <w:sz w:val="18"/>
                <w:szCs w:val="18"/>
                <w:color w:val="3051F2"/>
                <w:w w:val="98"/>
              </w:rPr>
              <w:t>OTHER MATTERS</w:t>
            </w:r>
          </w:p>
        </w:tc>
        <w:tc>
          <w:tcPr>
            <w:tcW w:w="8060" w:type="dxa"/>
            <w:vAlign w:val="bottom"/>
            <w:gridSpan w:val="15"/>
          </w:tcPr>
          <w:p>
            <w:pPr>
              <w:spacing w:after="0"/>
              <w:rPr>
                <w:sz w:val="16"/>
                <w:szCs w:val="16"/>
                <w:color w:val="auto"/>
              </w:rPr>
            </w:pPr>
          </w:p>
        </w:tc>
        <w:tc>
          <w:tcPr>
            <w:tcW w:w="940" w:type="dxa"/>
            <w:vAlign w:val="bottom"/>
            <w:gridSpan w:val="2"/>
          </w:tcPr>
          <w:p>
            <w:pPr>
              <w:jc w:val="center"/>
              <w:ind w:left="670"/>
              <w:spacing w:after="0" w:line="182" w:lineRule="exact"/>
              <w:rPr>
                <w:sz w:val="20"/>
                <w:szCs w:val="20"/>
                <w:color w:val="auto"/>
              </w:rPr>
            </w:pPr>
            <w:r>
              <w:rPr>
                <w:rFonts w:ascii="Times New Roman" w:cs="Times New Roman" w:eastAsia="Times New Roman" w:hAnsi="Times New Roman"/>
                <w:sz w:val="18"/>
                <w:szCs w:val="18"/>
                <w:color w:val="0000FF"/>
                <w:w w:val="99"/>
              </w:rPr>
              <w:t>43</w:t>
            </w:r>
          </w:p>
        </w:tc>
        <w:tc>
          <w:tcPr>
            <w:tcW w:w="7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North Lexington Avenue, Suite 1450</w:t>
      </w:r>
    </w:p>
    <w:p>
      <w:pPr>
        <w:jc w:val="center"/>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18,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are providing these proxy materials in connection with the solicitation by the Board of Directors (the “Board” or “Board of Directors”) of OPAL Fuels Inc. of the proxies to be voted at our 2024 Annual Meeting of Stockholders (the “Meeting” or “Annual Meeting”) and at any and all postponements or adjournments thereof. The Meeting will be held on Wednesday, June 18, 2024, at 10:00 am, Eastern Time. </w:t>
      </w:r>
      <w:r>
        <w:rPr>
          <w:rFonts w:ascii="Times New Roman" w:cs="Times New Roman" w:eastAsia="Times New Roman" w:hAnsi="Times New Roman"/>
          <w:sz w:val="18"/>
          <w:szCs w:val="18"/>
          <w:b w:val="1"/>
          <w:bCs w:val="1"/>
          <w:color w:val="auto"/>
        </w:rPr>
        <w:t>The Meeting will be held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virtually via live webcast, which you may attend by visiting </w:t>
      </w:r>
      <w:r>
        <w:rPr>
          <w:rFonts w:ascii="Times New Roman" w:cs="Times New Roman" w:eastAsia="Times New Roman" w:hAnsi="Times New Roman"/>
          <w:sz w:val="18"/>
          <w:szCs w:val="18"/>
          <w:i w:val="1"/>
          <w:iCs w:val="1"/>
          <w:color w:val="auto"/>
        </w:rPr>
        <w:t>https://www.cstproxy.com/opalfuels/2024</w:t>
      </w:r>
      <w:r>
        <w:rPr>
          <w:rFonts w:ascii="Times New Roman" w:cs="Times New Roman" w:eastAsia="Times New Roman" w:hAnsi="Times New Roman"/>
          <w:sz w:val="18"/>
          <w:szCs w:val="18"/>
          <w:color w:val="auto"/>
        </w:rPr>
        <w:t>. The Notice of Internet Availability of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proxy statement and form of proxy are being distributed and made available on the internet or about April 22, 2024 to all stockholders of record entitled to vote at the Annual Meeting. Only stockholders who owned our common stock on April 19, 2024 are entitled to vote at the Annual Meeting. In this proxy statement, OPAL Fuels Inc. is referred to as “OPAL,” the “Company,” “we,” “our,” or “us.”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Meeting will be conducted as a virtual meeting of stockholders by means of a live webcast. As we believe that hosting our Annual Meeting virtually would be in the best interests of our stockholders and employees and enable improved communication and greater stockholder attendance and participation from any location, the Annual Meeting will be held in a virtual meeting format only. There will not be a physical meeting location and you will not be able to attend in person.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you are a registered stockholder or beneficial owner of the Company’s Class A common stock, Class B common stock or Class D common stock holding shares at the close of business on the Record Date, you may attend the Annual Meeting by visiting </w:t>
      </w:r>
      <w:r>
        <w:rPr>
          <w:rFonts w:ascii="Times New Roman" w:cs="Times New Roman" w:eastAsia="Times New Roman" w:hAnsi="Times New Roman"/>
          <w:sz w:val="18"/>
          <w:szCs w:val="18"/>
          <w:i w:val="1"/>
          <w:iCs w:val="1"/>
          <w:color w:val="auto"/>
        </w:rPr>
        <w:t>https://www.cstproxy.com/opalfuels/2024</w:t>
      </w:r>
      <w:r>
        <w:rPr>
          <w:rFonts w:ascii="Times New Roman" w:cs="Times New Roman" w:eastAsia="Times New Roman" w:hAnsi="Times New Roman"/>
          <w:sz w:val="18"/>
          <w:szCs w:val="18"/>
          <w:color w:val="auto"/>
        </w:rPr>
        <w:t xml:space="preserve"> and logging in by entering the 16-digit control number found on your proxy card, voter instruction form, or other materials provided to you, as applicable. If you have lost your 16-digit control number or are not a stockholder, you will be able to attend the Meeting by visiting </w:t>
      </w:r>
      <w:r>
        <w:rPr>
          <w:rFonts w:ascii="Times New Roman" w:cs="Times New Roman" w:eastAsia="Times New Roman" w:hAnsi="Times New Roman"/>
          <w:sz w:val="18"/>
          <w:szCs w:val="18"/>
          <w:i w:val="1"/>
          <w:iCs w:val="1"/>
          <w:color w:val="auto"/>
        </w:rPr>
        <w:t xml:space="preserve">https://www.cstproxy.com/opalfuels/2024 </w:t>
      </w:r>
      <w:r>
        <w:rPr>
          <w:rFonts w:ascii="Times New Roman" w:cs="Times New Roman" w:eastAsia="Times New Roman" w:hAnsi="Times New Roman"/>
          <w:sz w:val="18"/>
          <w:szCs w:val="18"/>
          <w:color w:val="auto"/>
        </w:rPr>
        <w:t>and registering as a guest. If you enter the Meeting as a guest, you will not be able to vote your shares or submit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during the Meeting.</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invite you to virtually attend the Annual Meeting and request that you vote on the proposals described in this proxy statement. However, you do not need to attend the virtual Meeting to vote your shares. Instead, you may vote by proxy, via the Internet, or by mail by following the instructions provided on the proxy card. We encourage you to vote before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Annual Meeting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0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 the Meeting, our stockholders will consider and vote upon the following matters:</w:t>
            </w:r>
          </w:p>
        </w:tc>
      </w:tr>
      <w:tr>
        <w:trPr>
          <w:trHeight w:val="468"/>
        </w:trPr>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(1)</w:t>
            </w:r>
          </w:p>
        </w:tc>
        <w:tc>
          <w:tcPr>
            <w:tcW w:w="107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 election of seven (7) directors to serve for a one-year term until the 2025 Annual Meeting of Stockholders or until their</w:t>
            </w:r>
          </w:p>
        </w:tc>
      </w:tr>
      <w:tr>
        <w:trPr>
          <w:trHeight w:val="234"/>
        </w:trPr>
        <w:tc>
          <w:tcPr>
            <w:tcW w:w="420" w:type="dxa"/>
            <w:vAlign w:val="bottom"/>
          </w:tcPr>
          <w:p>
            <w:pPr>
              <w:spacing w:after="0"/>
              <w:rPr>
                <w:sz w:val="20"/>
                <w:szCs w:val="20"/>
                <w:color w:val="auto"/>
              </w:rPr>
            </w:pPr>
          </w:p>
        </w:tc>
        <w:tc>
          <w:tcPr>
            <w:tcW w:w="107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successors are duly elected and qualified;</w:t>
            </w:r>
          </w:p>
        </w:tc>
      </w:tr>
      <w:tr>
        <w:trPr>
          <w:trHeight w:val="495"/>
        </w:trPr>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(2)</w:t>
            </w:r>
          </w:p>
        </w:tc>
        <w:tc>
          <w:tcPr>
            <w:tcW w:w="107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The ratification of the appointment of BDO USA, P.C. as the Company’s independent registered public accounting firm for the year</w:t>
            </w:r>
          </w:p>
        </w:tc>
      </w:tr>
      <w:tr>
        <w:trPr>
          <w:trHeight w:val="234"/>
        </w:trPr>
        <w:tc>
          <w:tcPr>
            <w:tcW w:w="420" w:type="dxa"/>
            <w:vAlign w:val="bottom"/>
          </w:tcPr>
          <w:p>
            <w:pPr>
              <w:spacing w:after="0"/>
              <w:rPr>
                <w:sz w:val="20"/>
                <w:szCs w:val="20"/>
                <w:color w:val="auto"/>
              </w:rPr>
            </w:pPr>
          </w:p>
        </w:tc>
        <w:tc>
          <w:tcPr>
            <w:tcW w:w="107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ending December 31, 2024; 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5" w:name="page6"/>
    <w:bookmarkEnd w:id="5"/>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w:t>
            </w:r>
          </w:p>
        </w:tc>
        <w:tc>
          <w:tcPr>
            <w:tcW w:w="10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transaction of such other business as may properly come before the Meeting or any adjournment or postponement of the</w:t>
            </w:r>
          </w:p>
        </w:tc>
      </w:tr>
      <w:tr>
        <w:trPr>
          <w:trHeight w:val="234"/>
        </w:trPr>
        <w:tc>
          <w:tcPr>
            <w:tcW w:w="940" w:type="dxa"/>
            <w:vAlign w:val="bottom"/>
          </w:tcPr>
          <w:p>
            <w:pPr>
              <w:spacing w:after="0"/>
              <w:rPr>
                <w:sz w:val="20"/>
                <w:szCs w:val="20"/>
                <w:color w:val="auto"/>
              </w:rPr>
            </w:pPr>
          </w:p>
        </w:tc>
        <w:tc>
          <w:tcPr>
            <w:tcW w:w="10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Meeting.</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Securities and Voting Rights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Only holders of record of the Company’s Class A common stock, Class B common stock and Class D common stock at the close of business on the Record Date for the Meeting, are entitled to notice of, and to vote at, the Meeting. As of April 19, 2024, we had 28,386,505 shares of Class A common stock outstanding, representing 28,386,505 votes, 71,500,000 shares of Class B common stock outstanding, representing 71,500,000 votes and 72,899,037 shares of Class D common stock outstanding, representing 364,495,185 votes. Each share of Class A common stock and Class B common stock is entitled to one vote at the Meeting. Each share of Class D common stock is entitled to five votes at the Meeting. If your shares are registered in your name, you are a stockholder of record. If your shares are held in the name of your broker, bank or another holder of record, these shares are held in “street name.”</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voting power of all the issued and outstanding shares of common stock present at the Meeting, either in person or by proxy, and entitled to vote, constitute a quorum for the transaction of business. Abstentions will be included in determining the presence of a quorum at the Meeting.</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must instruct the organization who holds your shares how to vote your shares. If you sign your proxy card but do not provide instructions on how your broker should vote on “routine” proposals, your broker may vote your shares as recommended by the Board. If you do not provide voting instructions, your shares will not be voted on any “non-routine” proposals. This vote is called a “broker non-vote.”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Proposal 1 (election of directors), a nominee for director will be elected to the Board if there is a plurality of the votes cast for such nominee’s election. This means that the nominees receiving the highest number of affirmative votes will be elected as directors. Proposal 2 (auditor ratification) will be determined by a majority of votes cast affirmatively or negatively. Abstentions and broker non-votes will have no effect on the proposals.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FOR STOCKHOLDER VOTE AND APPROVAL REQUIREMENTS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 hold your shares in street name and the organization that holds your shares does not receive instructions from you on how to vote your shares on a non-routine matter, that organization will inform the inspector of election that it does not have the authority to vote on the matter with respect to your shares. This is generally referred to as a “broker non-vote.” In connection with Proposal No. 1, the election of a director will require that the candidate receive a plurality of the votes cast at the Annual Meeting virtually or by proxy. A “plurality” vote means the candidate who receives the largest number of votes cast (even if they receive less than a majority) will be elected as a director. Because abstentions and broker non-votes are not treated as shares voted, any abstentions and broker non-votes would have no impact on Proposal No.1. Broker non-votes are not expected in connection with Proposal No. 2 as it is a routine matter. Shares that constitute broker non-votes will be counted as present for purposes of establishing a quorum, but will not be counted as having voting power to vote on the proposal in question. Accordingly, shareholders are urged to forward their voting instructions promptly.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b w:val="1"/>
          <w:bCs w:val="1"/>
          <w:u w:val="single" w:color="auto"/>
          <w:color w:val="auto"/>
        </w:rPr>
        <w:t>ELECTION OF DIRECTORS</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BOARD IS SUBJECT TO ANNUAL ELECTION BY THE STOCKHOLDERS. 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FOLLOWING 7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6" w:name="page7"/>
    <w:bookmarkEnd w:id="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6020" w:type="dxa"/>
            <w:vAlign w:val="bottom"/>
            <w:tcBorders>
              <w:top w:val="single" w:sz="8" w:color="auto"/>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 Comora, Chairman</w:t>
            </w:r>
          </w:p>
        </w:tc>
        <w:tc>
          <w:tcPr>
            <w:tcW w:w="5240" w:type="dxa"/>
            <w:vAlign w:val="bottom"/>
            <w:tcBorders>
              <w:top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Martell</w:t>
            </w:r>
          </w:p>
        </w:tc>
      </w:tr>
      <w:tr>
        <w:trPr>
          <w:trHeight w:val="228"/>
        </w:trPr>
        <w:tc>
          <w:tcPr>
            <w:tcW w:w="602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Betsy L. Battle</w:t>
            </w:r>
          </w:p>
        </w:tc>
        <w:tc>
          <w:tcPr>
            <w:tcW w:w="52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Nadeem Nisar</w:t>
            </w:r>
          </w:p>
        </w:tc>
      </w:tr>
      <w:tr>
        <w:trPr>
          <w:trHeight w:val="22"/>
        </w:trPr>
        <w:tc>
          <w:tcPr>
            <w:tcW w:w="6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6020" w:type="dxa"/>
            <w:vAlign w:val="bottom"/>
            <w:tcBorders>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Scott Dols</w:t>
            </w:r>
          </w:p>
        </w:tc>
        <w:tc>
          <w:tcPr>
            <w:tcW w:w="5240" w:type="dxa"/>
            <w:vAlign w:val="bottom"/>
            <w:tcBorders>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Ashok Vemuri</w:t>
            </w:r>
          </w:p>
        </w:tc>
      </w:tr>
      <w:tr>
        <w:trPr>
          <w:trHeight w:val="228"/>
        </w:trPr>
        <w:tc>
          <w:tcPr>
            <w:tcW w:w="602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Kevin M. Fogarty</w:t>
            </w:r>
          </w:p>
        </w:tc>
        <w:tc>
          <w:tcPr>
            <w:tcW w:w="5240" w:type="dxa"/>
            <w:vAlign w:val="bottom"/>
            <w:tcBorders>
              <w:top w:val="single" w:sz="8" w:color="auto"/>
              <w:right w:val="single" w:sz="8" w:color="auto"/>
            </w:tcBorders>
          </w:tcPr>
          <w:p>
            <w:pPr>
              <w:spacing w:after="0"/>
              <w:rPr>
                <w:sz w:val="19"/>
                <w:szCs w:val="19"/>
                <w:color w:val="auto"/>
              </w:rPr>
            </w:pPr>
          </w:p>
        </w:tc>
      </w:tr>
      <w:tr>
        <w:trPr>
          <w:trHeight w:val="22"/>
        </w:trPr>
        <w:tc>
          <w:tcPr>
            <w:tcW w:w="6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You can find information about the director nominees, our Board of Directors, its committees, and other related matters in the section entitled, “Proposal 1 - Election of Directors” of this proxy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law and our By-Laws (“By-Laws”) govern the vote on Proposal 1, on which you may:</w:t>
      </w:r>
    </w:p>
    <w:p>
      <w:pPr>
        <w:spacing w:after="0" w:line="221"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of the direct nominees;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all of the director nominees;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specific director nominees; or</w:t>
      </w:r>
    </w:p>
    <w:p>
      <w:pPr>
        <w:spacing w:after="0" w:line="24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for all or specific director nominees.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By-Laws and assuming a quorum is present, directors will be elected by a plurality of the votes cast and entitled to vote thereon.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b w:val="1"/>
          <w:bCs w:val="1"/>
          <w:u w:val="single" w:color="auto"/>
          <w:color w:val="auto"/>
        </w:rPr>
        <w:t>RATIFICATION OF APPOINTMENT OF INDEPENDENT REGISTERED PUBLIC ACCOUNTING FIRM</w:t>
      </w:r>
    </w:p>
    <w:p>
      <w:pPr>
        <w:spacing w:after="0" w:line="23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BDO USA, P.C. AS OUR INDEPENDENT REGISTERED PUBLIC ACCOUNTING FIRM FOR THE FISCAL YEAR ENDING DECEMBER 31, 2024.</w:t>
      </w:r>
    </w:p>
    <w:p>
      <w:pPr>
        <w:spacing w:after="0" w:line="18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You can find information about our relationship with BDO USA, P.C. in the section entitled, “Proposal 2 - Ratification of the Appointment of BDO USA, P.C. as our Independent Registered Public Accounting Firm for Fiscal Year 2024” of this proxy statement. Delaware law and our By-Laws govern the vote on Proposal 2, on which you may:</w:t>
      </w:r>
    </w:p>
    <w:p>
      <w:pPr>
        <w:sectPr>
          <w:pgSz w:w="11900" w:h="16838" w:orient="portrait"/>
          <w:cols w:equalWidth="0" w:num="1">
            <w:col w:w="11260"/>
          </w:cols>
          <w:pgMar w:left="320" w:top="1440" w:right="319" w:bottom="1440" w:gutter="0" w:footer="0" w:header="0"/>
        </w:sect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Proposal 2;</w:t>
      </w:r>
    </w:p>
    <w:p>
      <w:pPr>
        <w:spacing w:after="0" w:line="169" w:lineRule="exact"/>
        <w:rPr>
          <w:sz w:val="20"/>
          <w:szCs w:val="20"/>
          <w:color w:val="auto"/>
        </w:rPr>
      </w:pPr>
    </w:p>
    <w:p>
      <w:pPr>
        <w:sectPr>
          <w:pgSz w:w="11900" w:h="16838" w:orient="portrait"/>
          <w:cols w:equalWidth="0" w:num="2">
            <w:col w:w="980" w:space="720"/>
            <w:col w:w="9560"/>
          </w:cols>
          <w:pgMar w:left="320" w:top="1440" w:right="319" w:bottom="1440" w:gutter="0" w:footer="0" w:header="0"/>
          <w:type w:val="continuous"/>
        </w:sectPr>
      </w:pP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Vote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Proposal 2; or</w:t>
      </w:r>
    </w:p>
    <w:p>
      <w:pPr>
        <w:spacing w:after="0" w:line="187" w:lineRule="exact"/>
        <w:rPr>
          <w:sz w:val="20"/>
          <w:szCs w:val="20"/>
          <w:color w:val="auto"/>
        </w:rPr>
      </w:pPr>
    </w:p>
    <w:p>
      <w:pPr>
        <w:sectPr>
          <w:pgSz w:w="11900" w:h="16838" w:orient="portrait"/>
          <w:cols w:equalWidth="0" w:num="2">
            <w:col w:w="980" w:space="720"/>
            <w:col w:w="9560"/>
          </w:cols>
          <w:pgMar w:left="320" w:top="1440"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Abstain from voting on Proposal 2.</w:t>
      </w:r>
    </w:p>
    <w:p>
      <w:pPr>
        <w:spacing w:after="0" w:line="200" w:lineRule="exact"/>
        <w:rPr>
          <w:sz w:val="20"/>
          <w:szCs w:val="20"/>
          <w:color w:val="auto"/>
        </w:rPr>
      </w:pPr>
    </w:p>
    <w:p>
      <w:pPr>
        <w:sectPr>
          <w:pgSz w:w="11900" w:h="16838" w:orient="portrait"/>
          <w:cols w:equalWidth="0" w:num="2">
            <w:col w:w="980" w:space="720"/>
            <w:col w:w="9560"/>
          </w:cols>
          <w:pgMar w:left="320" w:top="1440" w:right="319" w:bottom="1440" w:gutter="0" w:footer="0" w:header="0"/>
          <w:type w:val="continuous"/>
        </w:sectPr>
      </w:pPr>
    </w:p>
    <w:p>
      <w:pPr>
        <w:spacing w:after="0" w:line="17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Assuming a quorum is present, Proposal 2 will pass if it receives an affirmative vote of a majority of the votes cast at the Annual Meeting. Abstentions will not be taken into account in determining whether the proposal has received the requisite number of affirmative votes, consistent with Delaware law and the SEC’s proxy rules. Proposal 2 is considered a “routine” matter on which brokers may cast a vote.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 TO COME BEFORE THE ANNUAL MEETING</w:t>
      </w:r>
    </w:p>
    <w:p>
      <w:pPr>
        <w:spacing w:after="0" w:line="297" w:lineRule="exact"/>
        <w:rPr>
          <w:sz w:val="20"/>
          <w:szCs w:val="20"/>
          <w:color w:val="auto"/>
        </w:rPr>
      </w:pPr>
    </w:p>
    <w:p>
      <w:pPr>
        <w:jc w:val="both"/>
        <w:ind w:right="20" w:firstLine="216"/>
        <w:spacing w:after="0" w:line="266" w:lineRule="auto"/>
        <w:rPr>
          <w:sz w:val="20"/>
          <w:szCs w:val="20"/>
          <w:color w:val="auto"/>
        </w:rPr>
      </w:pPr>
      <w:r>
        <w:rPr>
          <w:rFonts w:ascii="Times New Roman" w:cs="Times New Roman" w:eastAsia="Times New Roman" w:hAnsi="Times New Roman"/>
          <w:sz w:val="18"/>
          <w:szCs w:val="18"/>
          <w:color w:val="auto"/>
        </w:rPr>
        <w:t>The Board of Directors is unaware of any other business to be presented for a vote at the Annual Meeting. If any other matters are properly presented for a vote, the individuals named as proxies will have discretionary authority to vote on such matters according to their best judgment to the extent permitted by applicable law and the rules and regulations of the Nasdaq Stock Market (“Nasdaq”) and U.S.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320" w:top="1440" w:right="319" w:bottom="1440" w:gutter="0" w:footer="0" w:header="0"/>
          <w:type w:val="continuous"/>
        </w:sectPr>
      </w:pPr>
    </w:p>
    <w:bookmarkStart w:id="7" w:name="page8"/>
    <w:bookmarkEnd w:id="7"/>
    <w:p>
      <w:pPr>
        <w:spacing w:after="0" w:line="18"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The Chairperson of the Annual Meeting may refuse to allow the presentation of a proposal or nominee for the Board of Directors if the proposal or nominee is not properly submitted. The requirements for submitting proposals and nominations for this year’s Annual Meeting are detailed in our By-Laws.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Website addresses referenced in this proxy statement are provided for convenience only, and the content on the referenced websites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QUESTIONS AND ANSWERS ABOUT THIS PROXY MATERIAL AND VOTING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DO I ATTEND THE ANNUAL MEETING?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Annual Meeting will be held on June 18, 2024 at 10:00 am Eastern Time virtually at </w:t>
      </w:r>
      <w:r>
        <w:rPr>
          <w:rFonts w:ascii="Times New Roman" w:cs="Times New Roman" w:eastAsia="Times New Roman" w:hAnsi="Times New Roman"/>
          <w:sz w:val="18"/>
          <w:szCs w:val="18"/>
          <w:i w:val="1"/>
          <w:iCs w:val="1"/>
          <w:color w:val="auto"/>
        </w:rPr>
        <w:t>https://www.cstproxy.com/opalfuels/2024</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DO I VOTE?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the record holder of your shares, you can vote four ways:</w:t>
      </w:r>
    </w:p>
    <w:p>
      <w:pPr>
        <w:spacing w:after="0" w:line="50" w:lineRule="exact"/>
        <w:rPr>
          <w:sz w:val="20"/>
          <w:szCs w:val="20"/>
          <w:color w:val="auto"/>
        </w:rPr>
      </w:pPr>
    </w:p>
    <w:p>
      <w:pPr>
        <w:ind w:left="1380" w:hanging="1354"/>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xml:space="preserve"> (PROXY CARD MUST BE RECEIVED BEFORE THE ANNUAL MEETING):</w:t>
      </w:r>
    </w:p>
    <w:p>
      <w:pPr>
        <w:spacing w:after="0" w:line="157" w:lineRule="exact"/>
        <w:rPr>
          <w:rFonts w:ascii="Times New Roman" w:cs="Times New Roman" w:eastAsia="Times New Roman" w:hAnsi="Times New Roman"/>
          <w:sz w:val="18"/>
          <w:szCs w:val="18"/>
          <w:color w:val="auto"/>
        </w:rPr>
      </w:pPr>
    </w:p>
    <w:p>
      <w:pPr>
        <w:ind w:left="1680" w:hanging="93"/>
        <w:spacing w:after="0"/>
        <w:tabs>
          <w:tab w:leader="none" w:pos="1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your voting instructions on your proxy card;</w:t>
      </w:r>
    </w:p>
    <w:p>
      <w:pPr>
        <w:spacing w:after="0" w:line="171" w:lineRule="exact"/>
        <w:rPr>
          <w:rFonts w:ascii="Times New Roman" w:cs="Times New Roman" w:eastAsia="Times New Roman" w:hAnsi="Times New Roman"/>
          <w:sz w:val="18"/>
          <w:szCs w:val="18"/>
          <w:color w:val="auto"/>
        </w:rPr>
      </w:pPr>
    </w:p>
    <w:p>
      <w:pPr>
        <w:ind w:left="1700" w:hanging="100"/>
        <w:spacing w:after="0"/>
        <w:tabs>
          <w:tab w:leader="none" w:pos="17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your name exactly as it appears on your proxy card;</w:t>
      </w:r>
    </w:p>
    <w:p>
      <w:pPr>
        <w:spacing w:after="0" w:line="171" w:lineRule="exact"/>
        <w:rPr>
          <w:rFonts w:ascii="Times New Roman" w:cs="Times New Roman" w:eastAsia="Times New Roman" w:hAnsi="Times New Roman"/>
          <w:sz w:val="18"/>
          <w:szCs w:val="18"/>
          <w:color w:val="auto"/>
        </w:rPr>
      </w:pPr>
    </w:p>
    <w:p>
      <w:pPr>
        <w:ind w:left="1700" w:hanging="100"/>
        <w:spacing w:after="0"/>
        <w:tabs>
          <w:tab w:leader="none" w:pos="17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your proxy card; and</w:t>
      </w:r>
    </w:p>
    <w:p>
      <w:pPr>
        <w:spacing w:after="0" w:line="157" w:lineRule="exact"/>
        <w:rPr>
          <w:rFonts w:ascii="Times New Roman" w:cs="Times New Roman" w:eastAsia="Times New Roman" w:hAnsi="Times New Roman"/>
          <w:sz w:val="18"/>
          <w:szCs w:val="18"/>
          <w:color w:val="auto"/>
        </w:rPr>
      </w:pPr>
    </w:p>
    <w:p>
      <w:pPr>
        <w:ind w:left="1680" w:hanging="93"/>
        <w:spacing w:after="0"/>
        <w:tabs>
          <w:tab w:leader="none" w:pos="1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your proxy card to us in the provided postage-paid envelope.</w:t>
      </w:r>
    </w:p>
    <w:p>
      <w:pPr>
        <w:spacing w:after="0" w:line="3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Timing is important, so please mail your proxy card promptly. We must receive it before the beginning of the Annual Meeting. If you do not give voting instructions on your signed and mailed proxy card, the named proxies will vote your shares “FOR” each of the director nominees, and “FOR” Proposal 2. If any other matters requiring a vote arise during the Annual Meeting, the named proxies will exercise their discretion using their best judgment to the extent permitted by applicable law and Nasdaq and SEC rules and regulations.</w:t>
      </w:r>
    </w:p>
    <w:p>
      <w:pPr>
        <w:spacing w:after="0" w:line="262" w:lineRule="exact"/>
        <w:rPr>
          <w:sz w:val="20"/>
          <w:szCs w:val="20"/>
          <w:color w:val="auto"/>
        </w:rPr>
      </w:pPr>
    </w:p>
    <w:p>
      <w:pPr>
        <w:ind w:left="20"/>
        <w:spacing w:after="0"/>
        <w:tabs>
          <w:tab w:leader="none" w:pos="168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u w:val="single" w:color="auto"/>
          <w:color w:val="auto"/>
        </w:rPr>
        <w:t>BY TELEPHONE</w:t>
      </w:r>
      <w:r>
        <w:rPr>
          <w:rFonts w:ascii="Times New Roman" w:cs="Times New Roman" w:eastAsia="Times New Roman" w:hAnsi="Times New Roman"/>
          <w:sz w:val="18"/>
          <w:szCs w:val="18"/>
          <w:color w:val="auto"/>
        </w:rPr>
        <w:t xml:space="preserve"> (MAY BE DONE AT ANY TIME UNTIL JUNE 17, 2024 AT 11:59 PM EASTERN TIME):</w:t>
      </w:r>
    </w:p>
    <w:p>
      <w:pPr>
        <w:spacing w:after="0" w:line="158" w:lineRule="exact"/>
        <w:rPr>
          <w:sz w:val="20"/>
          <w:szCs w:val="20"/>
          <w:color w:val="auto"/>
        </w:rPr>
      </w:pPr>
    </w:p>
    <w:p>
      <w:pPr>
        <w:ind w:left="1680" w:hanging="93"/>
        <w:spacing w:after="0"/>
        <w:tabs>
          <w:tab w:leader="none" w:pos="1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the toll-free number on your proxy card; and</w:t>
      </w:r>
    </w:p>
    <w:p>
      <w:pPr>
        <w:spacing w:after="0" w:line="171" w:lineRule="exact"/>
        <w:rPr>
          <w:rFonts w:ascii="Times New Roman" w:cs="Times New Roman" w:eastAsia="Times New Roman" w:hAnsi="Times New Roman"/>
          <w:sz w:val="18"/>
          <w:szCs w:val="18"/>
          <w:color w:val="auto"/>
        </w:rPr>
      </w:pPr>
    </w:p>
    <w:p>
      <w:pPr>
        <w:ind w:left="1700" w:hanging="100"/>
        <w:spacing w:after="0"/>
        <w:tabs>
          <w:tab w:leader="none" w:pos="1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 the instructions on your proxy card and the voice prompts.</w:t>
      </w:r>
    </w:p>
    <w:p>
      <w:pPr>
        <w:spacing w:after="0" w:line="171" w:lineRule="exact"/>
        <w:rPr>
          <w:rFonts w:ascii="Times New Roman" w:cs="Times New Roman" w:eastAsia="Times New Roman" w:hAnsi="Times New Roman"/>
          <w:sz w:val="18"/>
          <w:szCs w:val="18"/>
          <w:color w:val="auto"/>
        </w:rPr>
      </w:pPr>
    </w:p>
    <w:p>
      <w:pPr>
        <w:ind w:left="1680" w:hanging="93"/>
        <w:spacing w:after="0"/>
        <w:tabs>
          <w:tab w:leader="none" w:pos="1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TELEPHONE, YOU DO NOT NEED TO RETURN YOUR PROXY CARD.</w:t>
      </w:r>
    </w:p>
    <w:p>
      <w:pPr>
        <w:spacing w:after="0" w:line="158" w:lineRule="exact"/>
        <w:rPr>
          <w:sz w:val="20"/>
          <w:szCs w:val="20"/>
          <w:color w:val="auto"/>
        </w:rPr>
      </w:pPr>
    </w:p>
    <w:p>
      <w:pPr>
        <w:ind w:left="20"/>
        <w:spacing w:after="0"/>
        <w:tabs>
          <w:tab w:leader="none" w:pos="168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u w:val="single" w:color="auto"/>
          <w:color w:val="auto"/>
        </w:rPr>
        <w:t>BY INTERNET</w:t>
      </w:r>
      <w:r>
        <w:rPr>
          <w:rFonts w:ascii="Times New Roman" w:cs="Times New Roman" w:eastAsia="Times New Roman" w:hAnsi="Times New Roman"/>
          <w:sz w:val="18"/>
          <w:szCs w:val="18"/>
          <w:color w:val="auto"/>
        </w:rPr>
        <w:t xml:space="preserve"> (MAY BE DONE AT ANY TIME UNTIL JUNE 17, 2024 AT 11:59 PM EASTERN TIME):</w:t>
      </w:r>
    </w:p>
    <w:p>
      <w:pPr>
        <w:spacing w:after="0" w:line="171" w:lineRule="exact"/>
        <w:rPr>
          <w:sz w:val="20"/>
          <w:szCs w:val="20"/>
          <w:color w:val="auto"/>
        </w:rPr>
      </w:pPr>
    </w:p>
    <w:p>
      <w:pPr>
        <w:ind w:left="1700" w:hanging="100"/>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to the website listed on your proxy card; and</w:t>
      </w:r>
    </w:p>
    <w:p>
      <w:pPr>
        <w:spacing w:after="0" w:line="157" w:lineRule="exact"/>
        <w:rPr>
          <w:rFonts w:ascii="Times New Roman" w:cs="Times New Roman" w:eastAsia="Times New Roman" w:hAnsi="Times New Roman"/>
          <w:sz w:val="18"/>
          <w:szCs w:val="18"/>
          <w:color w:val="auto"/>
        </w:rPr>
      </w:pPr>
    </w:p>
    <w:p>
      <w:pPr>
        <w:ind w:left="1700" w:hanging="100"/>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 the instructions on your proxy card and the website.</w:t>
      </w:r>
    </w:p>
    <w:p>
      <w:pPr>
        <w:spacing w:after="0" w:line="171" w:lineRule="exact"/>
        <w:rPr>
          <w:rFonts w:ascii="Times New Roman" w:cs="Times New Roman" w:eastAsia="Times New Roman" w:hAnsi="Times New Roman"/>
          <w:sz w:val="18"/>
          <w:szCs w:val="18"/>
          <w:color w:val="auto"/>
        </w:rPr>
      </w:pPr>
    </w:p>
    <w:p>
      <w:pPr>
        <w:ind w:left="1700" w:hanging="100"/>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INTERNET, YOU DO NOT NEED TO RETURN YOUR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8" w:name="page9"/>
    <w:bookmarkEnd w:id="8"/>
    <w:p>
      <w:pPr>
        <w:spacing w:after="0" w:line="18"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u w:val="single" w:color="auto"/>
          <w:color w:val="auto"/>
        </w:rPr>
        <w:t>BY VIRTUAL PARTICIPATION</w:t>
      </w:r>
      <w:r>
        <w:rPr>
          <w:rFonts w:ascii="Times New Roman" w:cs="Times New Roman" w:eastAsia="Times New Roman" w:hAnsi="Times New Roman"/>
          <w:sz w:val="18"/>
          <w:szCs w:val="18"/>
          <w:color w:val="auto"/>
        </w:rPr>
        <w:t xml:space="preserve"> (MAY ONLY BE DONE ON JUNE 18, 2024, DURING THE ANNUAL MEETING):</w:t>
      </w:r>
    </w:p>
    <w:p>
      <w:pPr>
        <w:spacing w:after="0" w:line="17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 Virtually attend the Annual Meeting and vote online during the audiocast.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DO I REVOKE MY PROXY OR CHANGE MY VOTING INSTRUCTIONS?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at any time before the proxy is exercised at the Annual Meeting by:</w:t>
      </w:r>
    </w:p>
    <w:p>
      <w:pPr>
        <w:spacing w:after="0" w:line="293" w:lineRule="exact"/>
        <w:rPr>
          <w:sz w:val="20"/>
          <w:szCs w:val="20"/>
          <w:color w:val="auto"/>
        </w:rPr>
      </w:pPr>
    </w:p>
    <w:p>
      <w:pPr>
        <w:jc w:val="both"/>
        <w:ind w:left="1700" w:right="420" w:hanging="100"/>
        <w:spacing w:after="0" w:line="242" w:lineRule="auto"/>
        <w:tabs>
          <w:tab w:leader="none" w:pos="1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new vote by telephone, via the Internet, or by returning a properly executed new proxy card bearing a later date. Any subsequent timely and valid vote by any voting method will change your prior vote. For example, if you voted by telephone, a subsequent Internet vote will change your vote. The vote counted will be the last vote received before 11:59 PM Eastern Time on June 17, 2024 (if you are the record holder of your shares) - unless you change your vote by virtually attending the Annual Meeting and voting online during the Annual Meeting.</w:t>
      </w:r>
    </w:p>
    <w:p>
      <w:pPr>
        <w:spacing w:after="0" w:line="144" w:lineRule="exact"/>
        <w:rPr>
          <w:rFonts w:ascii="Times New Roman" w:cs="Times New Roman" w:eastAsia="Times New Roman" w:hAnsi="Times New Roman"/>
          <w:sz w:val="18"/>
          <w:szCs w:val="18"/>
          <w:color w:val="auto"/>
        </w:rPr>
      </w:pPr>
    </w:p>
    <w:p>
      <w:pPr>
        <w:ind w:left="1680" w:right="320" w:hanging="93"/>
        <w:spacing w:after="0" w:line="266" w:lineRule="auto"/>
        <w:tabs>
          <w:tab w:leader="none" w:pos="1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to OPAL’s Corporate Secretary, John Coghlin at, One North Lexington Avenue, Suite 1450, White Plains, New York 10601 (such revocation must be received before the Annual Meeting).</w:t>
      </w:r>
    </w:p>
    <w:p>
      <w:pPr>
        <w:spacing w:after="0" w:line="108" w:lineRule="exact"/>
        <w:rPr>
          <w:rFonts w:ascii="Times New Roman" w:cs="Times New Roman" w:eastAsia="Times New Roman" w:hAnsi="Times New Roman"/>
          <w:sz w:val="18"/>
          <w:szCs w:val="18"/>
          <w:color w:val="auto"/>
        </w:rPr>
      </w:pPr>
    </w:p>
    <w:p>
      <w:pPr>
        <w:ind w:left="1680" w:hanging="93"/>
        <w:spacing w:after="0"/>
        <w:tabs>
          <w:tab w:leader="none" w:pos="1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attending the Annual Meeting and voting online during the audiocast.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WILL PROXIES BE VOTED IF I GIVE MY AUTHORIZATION?</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(i) properly execute your proxy card and return it to us, or (ii) submit your proxy by telephone or via the Internet and do not subsequently revoke your proxy, your shares of common stock will be voted at the Annual Meeting according to your instructions.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absence of voting instructions, the named proxies will vote your shares “FOR” each of the director nominees and “FOR” Proposal 2. If other matters properly come before the Annual Meeting, the named proxies will vote on such matters using their best judgment to the extent permitted by applicable law and Nasdaq and SEC rules and regulations.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WHAT IF MY SHARES ARE NOT REGISTERED IN MY NAME?</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If the OPAL stock you own is held in the name of a bank, broker, or other nominee (commonly referred to as holding shares in “street name”), your bank, broker, or other nominee should have provided you access to these proxy materials by mail or e-mail with information on how to submit your voting instructions. Unless you provide voting instructions to your bank, broker, or other nominee, your shares will not be voted on Proposal 1 (the election of directors). In contrast, brokers may, at their discretion, vote uninstructed shares on Proposal 2 (auditor ratification), which is a “routine” proposal. Broker non-votes count toward a quorum, but otherwise do not affect the outcome of any proposal.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WILL VOTES, ABSTENTIONS, AND BROKER NON-VOTES BE COUNTED?</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inspector of election appointed for the Annual Meeting by the Board of Directors will separately tabulate affirmative and negative votes, abstentions, and broker non-votes. Shares represented by proxies that reflect abstentions and broker non-votes are counted for determining whether there is a quorum.</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With respect to Proposal 1, the election of a director will require that the candidate receive a plurality of the votes cast at the Annual Meeting virtually or by proxy. A “plurality” vote means the candidate who receives the largest number of votes cast (even if they receive less than a majority) will be elected as a director. Because abstentions and broker non-votes are not treated as shares voted, any abstentions and broker non-votes would have no impact on Proposal No.1. Approval of Proposal 2 requires the affirmative vote of a majority of votes cast at the Annual Meeting. For Proposal 1, abstentions and broker non-votes will not be considered in determining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director nominees have received more “for” votes than “against” votes. Abstentions and broker non-votes are not considered votes cast for the foregoing purpose and therefore do not affect Proposal 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WHAT DOES IT MEAN IF I RECEIVE MORE THAN ONE NOTICE?</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for each set of proxy materials to ensure that all of your shares are voted.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 MY VOTE CONFIDENTIAL?</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Yes, your vote is confidential. Only the inspector of elections, individuals who help with processing and counting your votes and persons who need access for legal reasons will have access to your vote. This information will not be disclosed, except as required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WHAT CONSTITUTES A QUORUM?</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carry on business at the Annual Meeting, we must have a quorum. A quorum is present when the holders of a majority of the aggregate voting power of the Company’s Class A common stock, Class B common stock and Class D common stock entitled to vote as of the Record Date, are represented in person or by proxy. Thus, because each share of Class A common stock and Class B common stock is entitled to one vote per share, and each share of Class D common stock is entitled to five votes per share, the holders of shares entitled to an aggregate of 232,190,845 votes must be represented in person or by proxy to have a quorum at the Annual Meeting. Your shares will be counted towards the quorum only if you submit a valid proxy (or one is submitted on your behalf by your broker, bank or other nominee) or if you vote in person at the Annual Meeting. Abstentions and broker non-votes will be counted towards the quorum requirement. Shares owned by us are not considered outstanding or considered to be present at the Annual Meeting. If there is not a quorum at the Annual Meeting, the stockholders present or represented at the Annual Meeting may adjourn the Annual Meeting.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WHO IS PAYING FOR THE EXPENSES INVOLVED IN PREPARING AND MAILING THIS PROXY STATEMENT?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expenses involved in preparing, assembling and mailing the proxy materials and all the costs of soliciting proxies will be paid by us. In addition to the solicitation by mail, proxies may be solicited by our officers and other employees by telephone or in person. Such persons will receive no compensation for their services other than their regular salaries. Arrangements will also be made with brokerage houses and other custodians, nominees and fiduciaries to forward solicitation materials to the beneficial owners of the shares held of record by such persons, and we may reimburse such persons for reasonable out of pocket expenses incurred by them in forwarding solicitation materials.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CAN I FIND OUT THE RESULTS OF THE VOTING AT THE ANNUAL MEETING?</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disclosed in a Current Report on Form 8-K that we expect to file with the SEC within four business days after the Annual Meeting. If final voting results are not available to us in time to file a Form 8-K with the SEC within four business days after the Annual Meeting, we intend to file a Form 8-K to publish preliminary results and, within four business days after the final results are known to us, file an additional Form 8-K to publish the final results.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DO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OFFICERS AND DIRECTORS HAVE AN INTEREST IN ANY OF THE MATTERS TO BE ACTED UPON AT THE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directors and director nominees have an interest in Proposal 1 (election of directors). Our directors, executive officers, director nominees and affiliates of such persons do not have any interest in Proposal 2 (ratification of the appointment of our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 xml:space="preserve">This Proxy Statement and our 2023 Annual Report on Form 10-K are also available on our Internet website at </w:t>
      </w:r>
      <w:r>
        <w:rPr>
          <w:rFonts w:ascii="Times New Roman" w:cs="Times New Roman" w:eastAsia="Times New Roman" w:hAnsi="Times New Roman"/>
          <w:sz w:val="18"/>
          <w:szCs w:val="18"/>
          <w:i w:val="1"/>
          <w:iCs w:val="1"/>
          <w:color w:val="auto"/>
        </w:rPr>
        <w:t>https://investors.opalfuels.com/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Meeting, we will be electing seven directors. Each director will hold office until the 2025 Annual Meeting of Stockholders or until a successor is elected and qualified to serve on the Board or until such director’s earlier death, resignation or removal. Proxies cannot be voted for a greater number of persons than the number of nominees named.</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nominated the seven individuals listed below (each a “Nominee,” and together the “Nominees”). All of the Nominees are current directors. Each Nominee has consented to being named in this proxy statement and has agreed to serve as a director if elected. If any Nominee should become unavailable for election, the proxy may be voted for a substitute nominee selected by the persons named in the proxy or the Board may determine to reduce the size of the Board accordingly. The Board is not aware of any existing circumstances likely to render any Nominee unavailable.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640" w:type="dxa"/>
            <w:vAlign w:val="bottom"/>
            <w:gridSpan w:val="2"/>
            <w:shd w:val="clear" w:color="auto" w:fill="CCEEFF"/>
          </w:tcPr>
          <w:p>
            <w:pPr>
              <w:ind w:left="30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r>
      <w:tr>
        <w:trPr>
          <w:trHeight w:val="228"/>
        </w:trPr>
        <w:tc>
          <w:tcPr>
            <w:tcW w:w="6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 Comora, Chairman</w:t>
            </w:r>
          </w:p>
        </w:tc>
        <w:tc>
          <w:tcPr>
            <w:tcW w:w="8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10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Chairman</w:t>
            </w:r>
          </w:p>
        </w:tc>
      </w:tr>
      <w:tr>
        <w:trPr>
          <w:trHeight w:val="22"/>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Betsy L. Battle</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Dols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M. Fogarty</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Martell</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Nadeem Nisar</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Ashok Vemuri</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biography of each director nominee:</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S. Comora </w:t>
      </w:r>
      <w:r>
        <w:rPr>
          <w:rFonts w:ascii="Times New Roman" w:cs="Times New Roman" w:eastAsia="Times New Roman" w:hAnsi="Times New Roman"/>
          <w:sz w:val="18"/>
          <w:szCs w:val="18"/>
          <w:color w:val="auto"/>
        </w:rPr>
        <w:t>has served as a Chairman of the Board of Directors of the Company since December 2020. Mr. Comora is the Founder and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Fortistar LLC (“Fortistar”). Since founding Fortistar in 1993, Mr. Comora has led Fortistar’s growth in the decarbonization of power generation, transportation fuels, and industrial processes. Mr. Comora is the chairman of Fortistar’s management and investment committees. Additionally, Mr. Comora currently serves as a member of the Board of Managers at Braven Environmental, LLC (“Braven Environmental”). Mr. Comora is an Officer and Member of the Board of the American Museum of Fly Fishing, the former Chairman of the Board of Directors of Fortistar Sustainable Solutions Corp.,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 our Co-Chief Executive Officer.</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Betsy L. Battle </w:t>
      </w:r>
      <w:r>
        <w:rPr>
          <w:rFonts w:ascii="Times New Roman" w:cs="Times New Roman" w:eastAsia="Times New Roman" w:hAnsi="Times New Roman"/>
          <w:sz w:val="18"/>
          <w:szCs w:val="18"/>
          <w:color w:val="auto"/>
        </w:rPr>
        <w:t>has served as a director of the Company since July 2022. Ms. Battle has served since 2009 as Founding Partner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Officer of Lone Peak Partners Management, LP, an investment firm registered with the SEC and NFA. 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5"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(term expires in June 2024), and the International Advisory Board of Carolina Performing Arts. Ms. Battle also serves as Treasurer and member of the Board of Directors of the Breast Cancer Research Foundation, as well as a Fellow with the Keenan Institute of Private Enterprise, and a member of the President’s Council of the Peconic Land Trust. Ms. Battle received a BA from the University of North Carolina at Chapel Hill in 1976.</w:t>
      </w:r>
    </w:p>
    <w:p>
      <w:pPr>
        <w:spacing w:after="0" w:line="19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Dols </w:t>
      </w:r>
      <w:r>
        <w:rPr>
          <w:rFonts w:ascii="Times New Roman" w:cs="Times New Roman" w:eastAsia="Times New Roman" w:hAnsi="Times New Roman"/>
          <w:sz w:val="18"/>
          <w:szCs w:val="18"/>
          <w:color w:val="auto"/>
        </w:rPr>
        <w:t>has served as a director of the Company since July 2022. Mr. Dols is the CEO of several waste-related companies. Mr. Dols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Founder and, since 2002, has served as CEO of Big Truck Rental, which is a provider of new 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 Mr. Dols received a BA from the University of Minnesota at Minneapolis in 1983.</w:t>
      </w:r>
    </w:p>
    <w:p>
      <w:pPr>
        <w:spacing w:after="0" w:line="2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M. Fogarty </w:t>
      </w:r>
      <w:r>
        <w:rPr>
          <w:rFonts w:ascii="Times New Roman" w:cs="Times New Roman" w:eastAsia="Times New Roman" w:hAnsi="Times New Roman"/>
          <w:sz w:val="18"/>
          <w:szCs w:val="18"/>
          <w:color w:val="auto"/>
        </w:rPr>
        <w:t>has served as a director of the Company since July 2022. In 2022, Mr. Fogarty retired from Kraton Corporation,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(“Kraton”), where, since 2008, he served as President, Chief Executive Officer and Director, upon 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joined the Board of Directors at Ecovyst Inc. (NYSE:ECVT), a leading integrated global provider of specialty catalysts and services, in April 2022 and currently serves as non-executive Chairperson of the Board. Since 2012, Mr. Fogarty has served on the Board of Directors of Glatfelter Corporation (NYSE:GLT), a leading global supplier of sustainable, cellulosic-based engineered materials. He currently serves as non-executive Chairperson of the Board and previously served as lead independent director from 2018 through 2021. Mr. Fogarty previously served on the Board of Directors of the American Chemistry Council from 2017 through 2022. Mr. Fogarty graduated from Dalhousie University, in Halifax, Nova Scotia with a Bachelor of Engineering in 1990.</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Martell </w:t>
      </w:r>
      <w:r>
        <w:rPr>
          <w:rFonts w:ascii="Times New Roman" w:cs="Times New Roman" w:eastAsia="Times New Roman" w:hAnsi="Times New Roman"/>
          <w:sz w:val="18"/>
          <w:szCs w:val="18"/>
          <w:color w:val="auto"/>
        </w:rPr>
        <w:t>has served as a director of the Company since June 2023. Mr. Martell served as Chairman and Chief Executive Officer of Express-1, the predecessor company of XPO Logistics, Inc., a company engaged in freight logistics. Mr. Martell served on the XPO Board until 2016. He joined Express-1 after serving as Chief Executive Officer of SmartMail, which was acquired by DHL International GmbH, from 1999 to 2006. Before that, Mr. Martell was a founding senior executive of UTi Worldwide, a global transportation and logistics company, which he managed from 1995 to 2000. Prior to UTi Worldwide, he spent nearly 14 years in various management positions at FedEx and UPS. Mr. Martell has served on the Boards of multiple private logistics and transportation companies and previously served on the Boards of publicly traded companies Stericycle, Inc. from 2020 to 2022, and Mobile Mini, Inc. from 2010 to 2020. Mr. Martell received an engineering degree from Michigan Tech University in 1972.</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Nadeem Nisar </w:t>
      </w:r>
      <w:r>
        <w:rPr>
          <w:rFonts w:ascii="Times New Roman" w:cs="Times New Roman" w:eastAsia="Times New Roman" w:hAnsi="Times New Roman"/>
          <w:sz w:val="18"/>
          <w:szCs w:val="18"/>
          <w:color w:val="auto"/>
        </w:rPr>
        <w:t>has served as a director the Company since December 2020. Since July 2008, Mr. Nisar has served as a Managing Director of Fortistar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Fortistar’s investment team. Mr. Nisar is a member of Fortistar’s management and investment committees which oversee the operations of Fortistar’s portfolio companies. Mr. Nisar serves on the board of directors of several of Fortistar’s portfolio companies, including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spacing w:after="0" w:line="21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Ashok Vemuri </w:t>
      </w:r>
      <w:r>
        <w:rPr>
          <w:rFonts w:ascii="Times New Roman" w:cs="Times New Roman" w:eastAsia="Times New Roman" w:hAnsi="Times New Roman"/>
          <w:sz w:val="18"/>
          <w:szCs w:val="18"/>
          <w:color w:val="auto"/>
        </w:rPr>
        <w:t>has served as a director of the Company since July 2022. Since January 2023, Mr. Vemuri has also served on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Version 1. From July 2020 to September 2022, Mr.Vemuri served as the Chairman of the board of directors of OSG Billing. He also served as Chief Executive Officer and a Director of Conduent Incorporated, a global digital interactions company, from the company’s inception as a result of the spin-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7"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co-Chief Executive Officer, Adam Comora, is the son of our Chairman, Mark Comora.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not aware of any of our directors or officers being involved in any legal proceedings in the past ten years required to be disclosed pursuant to Item 401(f) of Regulation S-K.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proceedings to which any director, executive officer or affiliate of the Company, any owner of record or beneficially of more than 5% of any class of voting securities of the Company, or any associate of any such director, executive officer, affiliate of the Company, or security holder is a party adverse to the Company or any of its subsidiaries or has a material interest adverse to the Company or any of its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Officers and Directors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with another person pursuant to which any of our executive officers or directors were selected as an executive officer or director.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also no known arrangements, including any pledge by any person of our securities, the operation of which may result in a change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our By-Laws, a nominee for director will be elected to the Board by a plurality of the votes cast. A “plurality” vote means the candidate who receives the largest number of votes cast (even if they receive less than a majority) will be elected as a director.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Nominee for director.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held twelve meetings in 2023. Each Director attended at least 75% of the aggregate meetings of the Board of Directors, and meetings held by all committees on which such Director served, during the period for which such Director served. The Board of Directors met in executive session five times during 2023. Directors are invited and anticipated to attend the Company’s Annual Meeting of the Stockholders. 5 of our directors attended last year’s Annual Meeting of Stockholders.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type w:val="continuous"/>
        </w:sectPr>
      </w:pPr>
    </w:p>
    <w:bookmarkStart w:id="13" w:name="page14"/>
    <w:bookmarkEnd w:id="13"/>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Martell, Mr. Fogarty and Mr. Vemuri are “independent” as that term is defined under the applicable rules and regulations of the SEC and the listing requirements and rules of Nasdaq.</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Comora, through his control of OPAL Holdco LLC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the board in order to achieve such compliance within the applicable transition periods.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Enterprise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Board’s role in the risk oversight process includes receiving regular reports from members of senior management on areas of material risk to the Company, including operational, financial, legal, and regulatory, cybersecurity and strategic and reputational risks. In connection with its reviews of the operations of the Company’s business and its corporate functions, the Board considers and addresses the primary risks associated with these operations and functions. Our full Board regularly engages in discussions of the most significant risks that the Company is facing and how these risks are being managed.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each of the Board’s committees, and particularly the Audit Committee, plays a key role in overseeing risk management issues that fall within such committee’s areas of responsibility. Senior management reports on at least a quarterly basis to the Audit Committee on the most significant risks facing the Company from a financial reporting perspective and highlights any new risks that may have arisen since the Audit Committee last met. The Audit Committee also meets in executive sessions with the Company’s independent registered public accounting firm and reports any findings or issues to the full Board. In performing its functions, the Audit Committee and the Compensation Committee have full access to management, as well as the ability to engage advisors. The Board receives regular reports from each of its standing committees regarding each committee’s particularized areas of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board maintains a standing audit committee (the “Audit Committee”) and compensation committee (the “Compensation Committee”). The respective members and functions of the committees are described below. A current charter describing the nature and scope of the responsibilities of the Audit Committee is posted on the Company’s website at </w:t>
      </w:r>
      <w:r>
        <w:rPr>
          <w:rFonts w:ascii="Times New Roman" w:cs="Times New Roman" w:eastAsia="Times New Roman" w:hAnsi="Times New Roman"/>
          <w:sz w:val="18"/>
          <w:szCs w:val="18"/>
          <w:i w:val="1"/>
          <w:iCs w:val="1"/>
          <w:color w:val="auto"/>
        </w:rPr>
        <w:t>https://investors.opalfuels.com/corporate-governance/documents-charters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2023 meetings: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2023 actions by written consent: 0</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Responsibilities:</w:t>
      </w:r>
    </w:p>
    <w:p>
      <w:pPr>
        <w:spacing w:after="0" w:line="279" w:lineRule="exact"/>
        <w:rPr>
          <w:sz w:val="20"/>
          <w:szCs w:val="20"/>
          <w:color w:val="auto"/>
        </w:rPr>
      </w:pPr>
    </w:p>
    <w:p>
      <w:pPr>
        <w:ind w:left="660" w:right="180" w:hanging="328"/>
        <w:spacing w:after="0" w:line="227"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Retaining our independent registered public accounting firm, reviewing its independence, and reviewing and approving the planned scope of our annual audit;</w:t>
      </w:r>
    </w:p>
    <w:p>
      <w:pPr>
        <w:spacing w:after="0" w:line="253" w:lineRule="exact"/>
        <w:rPr>
          <w:rFonts w:ascii="Arial" w:cs="Arial" w:eastAsia="Arial" w:hAnsi="Arial"/>
          <w:sz w:val="22"/>
          <w:szCs w:val="22"/>
          <w:color w:val="auto"/>
        </w:rPr>
      </w:pPr>
    </w:p>
    <w:p>
      <w:pPr>
        <w:ind w:left="660" w:right="120" w:hanging="328"/>
        <w:spacing w:after="0" w:line="220"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approving any fee arrangements with our independent registered public accounting firm, overseeing its audit work, reviewing and pre-approving any non-audit services that may be performed by our independent registered public accounting firm;</w:t>
      </w:r>
    </w:p>
    <w:p>
      <w:pPr>
        <w:spacing w:after="0" w:line="23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the adequacy of accounting and financial controls and reviewing our critical accounting policies; and</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approving any related party transactions.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Independent</w:t>
            </w:r>
          </w:p>
        </w:tc>
      </w:tr>
      <w:tr>
        <w:trPr>
          <w:trHeight w:val="234"/>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Ashok Vemuri (Chairman; “audit committee financial expert,” as such term is defined in Item 407(d)(5) of Regulation S-K)</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
        </w:trPr>
        <w:tc>
          <w:tcPr>
            <w:tcW w:w="9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36"/>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M. Fogarty</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312"/>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James Martell </w:t>
            </w:r>
            <w:r>
              <w:rPr>
                <w:rFonts w:ascii="Times New Roman" w:cs="Times New Roman" w:eastAsia="Times New Roman" w:hAnsi="Times New Roman"/>
                <w:sz w:val="23"/>
                <w:szCs w:val="23"/>
                <w:color w:val="auto"/>
                <w:vertAlign w:val="superscript"/>
              </w:rPr>
              <w:t>(1)</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264" w:lineRule="exact"/>
        <w:rPr>
          <w:sz w:val="20"/>
          <w:szCs w:val="20"/>
          <w:color w:val="auto"/>
        </w:rPr>
      </w:pPr>
    </w:p>
    <w:p>
      <w:pPr>
        <w:ind w:firstLine="8"/>
        <w:spacing w:after="0" w:line="269" w:lineRule="auto"/>
        <w:tabs>
          <w:tab w:leader="none" w:pos="16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Mr. Martell joined as a Director effective June 28, 2023 and was a member of the Audit Committee for the period between June 28, 2023 and December 31, 2023. Mr. Gatti was a member of the Audit Committee for the period between January 1, 2023 and June 28, 2023.</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2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2023 meetings: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2023 actions by written consent: 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Responsibilities:</w:t>
      </w:r>
    </w:p>
    <w:p>
      <w:pPr>
        <w:spacing w:after="0" w:line="24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recommending to the Board of Directors the Company’s general compensation strategy;</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approving the selection of the Company's peer companies for executive and Board compensation assessment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approving corporate goals and objectives, and evaluating the Company’s performance on an annual basis;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and recommending to the Board all forms of compensation (including any awards granted under compensatory plans);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Evaluating and recommending to the Board, the compensation of the Company’s Co-Chief Executive Officers and other executive officers;</w:t>
      </w:r>
    </w:p>
    <w:p>
      <w:pPr>
        <w:spacing w:after="0" w:line="251"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Evaluating and recommending, for approval by the Board, the appropriate level of compensation and fees for Board Committee service by non-employee directors; and</w:t>
      </w:r>
    </w:p>
    <w:p>
      <w:pPr>
        <w:spacing w:after="0" w:line="253" w:lineRule="exact"/>
        <w:rPr>
          <w:rFonts w:ascii="Arial" w:cs="Arial" w:eastAsia="Arial" w:hAnsi="Arial"/>
          <w:sz w:val="22"/>
          <w:szCs w:val="22"/>
          <w:color w:val="auto"/>
        </w:rPr>
      </w:pPr>
    </w:p>
    <w:p>
      <w:pPr>
        <w:ind w:left="660" w:right="60" w:hanging="328"/>
        <w:spacing w:after="0" w:line="227"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Reviewing, recommending, approving and administering matters related to the Company’s equity-based and non-equity-based incentive plans and agreements thereunder.</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4120" w:type="dxa"/>
            <w:vAlign w:val="bottom"/>
            <w:shd w:val="clear" w:color="auto" w:fill="CCEEFF"/>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8"/>
              </w:rPr>
              <w:t>Independent</w:t>
            </w:r>
          </w:p>
        </w:tc>
      </w:tr>
      <w:tr>
        <w:trPr>
          <w:trHeight w:val="23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Comora</w:t>
            </w:r>
          </w:p>
        </w:tc>
        <w:tc>
          <w:tcPr>
            <w:tcW w:w="412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9"/>
              </w:rPr>
              <w:t>No</w:t>
            </w:r>
          </w:p>
        </w:tc>
      </w:tr>
      <w:tr>
        <w:trPr>
          <w:trHeight w:val="22"/>
        </w:trPr>
        <w:tc>
          <w:tcPr>
            <w:tcW w:w="7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3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M. Fogarty</w:t>
            </w:r>
          </w:p>
        </w:tc>
        <w:tc>
          <w:tcPr>
            <w:tcW w:w="4120" w:type="dxa"/>
            <w:vAlign w:val="bottom"/>
            <w:tcBorders>
              <w:bottom w:val="single" w:sz="8" w:color="CCEEFF"/>
            </w:tcBorders>
            <w:shd w:val="clear" w:color="auto" w:fill="CCEEFF"/>
          </w:tcPr>
          <w:p>
            <w:pPr>
              <w:jc w:val="center"/>
              <w:ind w:left="217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Nadeem Nisar</w:t>
            </w:r>
          </w:p>
        </w:tc>
        <w:tc>
          <w:tcPr>
            <w:tcW w:w="412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9"/>
              </w:rPr>
              <w:t>No</w:t>
            </w:r>
          </w:p>
        </w:tc>
      </w:tr>
      <w:tr>
        <w:trPr>
          <w:trHeight w:val="22"/>
        </w:trPr>
        <w:tc>
          <w:tcPr>
            <w:tcW w:w="7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37"/>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Ashok Vemuri</w:t>
            </w:r>
          </w:p>
        </w:tc>
        <w:tc>
          <w:tcPr>
            <w:tcW w:w="4120" w:type="dxa"/>
            <w:vAlign w:val="bottom"/>
            <w:tcBorders>
              <w:bottom w:val="single" w:sz="8" w:color="CCEEFF"/>
            </w:tcBorders>
            <w:shd w:val="clear" w:color="auto" w:fill="CCEEFF"/>
          </w:tcPr>
          <w:p>
            <w:pPr>
              <w:jc w:val="center"/>
              <w:ind w:left="2170"/>
              <w:spacing w:after="0"/>
              <w:rPr>
                <w:sz w:val="20"/>
                <w:szCs w:val="20"/>
                <w:color w:val="auto"/>
              </w:rPr>
            </w:pPr>
            <w:r>
              <w:rPr>
                <w:rFonts w:ascii="Times New Roman" w:cs="Times New Roman" w:eastAsia="Times New Roman" w:hAnsi="Times New Roman"/>
                <w:sz w:val="18"/>
                <w:szCs w:val="18"/>
                <w:color w:val="auto"/>
                <w:w w:val="92"/>
              </w:rPr>
              <w:t>Yes</w:t>
            </w:r>
          </w:p>
        </w:tc>
      </w:tr>
      <w:tr>
        <w:trPr>
          <w:trHeight w:val="54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How Our Compensation Decisions Are Made</w:t>
            </w:r>
          </w:p>
        </w:tc>
        <w:tc>
          <w:tcPr>
            <w:tcW w:w="4120" w:type="dxa"/>
            <w:vAlign w:val="bottom"/>
          </w:tcPr>
          <w:p>
            <w:pPr>
              <w:spacing w:after="0"/>
              <w:rPr>
                <w:sz w:val="24"/>
                <w:szCs w:val="24"/>
                <w:color w:val="auto"/>
              </w:rPr>
            </w:pPr>
          </w:p>
        </w:tc>
      </w:tr>
      <w:tr>
        <w:trPr>
          <w:trHeight w:val="459"/>
        </w:trPr>
        <w:tc>
          <w:tcPr>
            <w:tcW w:w="7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Role of the Board of Directors and Compensation Committee</w:t>
            </w:r>
          </w:p>
        </w:tc>
        <w:tc>
          <w:tcPr>
            <w:tcW w:w="4120" w:type="dxa"/>
            <w:vAlign w:val="bottom"/>
          </w:tcPr>
          <w:p>
            <w:pPr>
              <w:spacing w:after="0"/>
              <w:rPr>
                <w:sz w:val="24"/>
                <w:szCs w:val="24"/>
                <w:color w:val="auto"/>
              </w:rPr>
            </w:pPr>
          </w:p>
        </w:tc>
      </w:tr>
    </w:tbl>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is responsible for establishing and administering our executive compensation and equity incentive programs. This duty of the Board has been delegated to the Compensation Committee in accordance with the Compensation Committee’s charter. The Compensation Committee reviews executive performance to establish compensation and approves appropriate modifications to the named executive officers’ compensation. The Compensation Committee evaluates and recommends, for approval by the Board, the annual compensation of the non-employee directors and oversees the equity compensation plans. The Compensation Committee has further delegated to our Co-Chief Executive Officers the authority to determine the recipients and terms of certain equity incentive awards granted to newly-hired service providers (other than executive officers)(the “Delegated Authority Grants”)under our 2022 Omnibus Equity Incentive Plan (the “Equity Incentive Plan”).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compensation consultant</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last fiscal year, the Compensation Committee retained Korn Ferry to act as its compensation consultant to assist in its evaluation of executive and director compensation. Specifically, Korn Ferry (i) reviewed the Company’s existing compensation programs; (ii) performed market assessment of base salaries, annual bonuses and long-term incentives for the Company’s executive leadership team; (iii) developed a long-term incentive plan for the Company’s executive leadership team; (iv) reviewed director compensation programs; and (v) provided an overview of U.S. compensation practices and market practices.</w:t>
      </w:r>
    </w:p>
    <w:p>
      <w:pPr>
        <w:spacing w:after="0" w:line="21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reviewed the independence of Korn Ferry from management and determined that the compensation consultant was independent.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16" w:name="page17"/>
    <w:bookmarkEnd w:id="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has sole authority to establish annual compensation for the Company’s named executive officers, other than with respect to the Co-Chief Executive Officers and the Delegated Authority Grants, and none of the named executive officers determines his or her own pay.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 Process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as a whole is responsible for recommending candidates to serve on the Board and its committees. In considering whether to recommend any particular candidate to serve on the Board or its committees or for inclusion in the Board’s slate of recommended director nominees for election at the Annual Meeting, the Board may take into account many factors, including, but not limited to, personal and professional integrity, experience relevant to the Company’s industry, diversity of background and experience including, but not limited to, with respect to gender and ethnicity and any other relevant qualifications, attributes or skills.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considers stockholder nominees made in accordance with our By-Laws, and evaluates candidates recommended by stockholders in the same manner as all other candidates brought to the attention of the Board. Stockholder recommendations may be submitted to the Board in care of the Corporate Secretary at the address set forth under “Communications with our Board of Directors.”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consider diversity a meaningful factor in identifying director nominees, but do not have a formal diversity policy. The Board evaluates each individual in the context of the Board as a whole, with the objective of assembling a group that has the necessary tools to perform its oversight function effectively in light of the Company’s business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6763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21, 2024)</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r>
      <w:tr>
        <w:trPr>
          <w:trHeight w:val="194"/>
        </w:trPr>
        <w:tc>
          <w:tcPr>
            <w:tcW w:w="5620" w:type="dxa"/>
            <w:vAlign w:val="bottom"/>
          </w:tcPr>
          <w:p>
            <w:pPr>
              <w:spacing w:after="0"/>
              <w:rPr>
                <w:sz w:val="16"/>
                <w:szCs w:val="16"/>
                <w:color w:val="auto"/>
              </w:rPr>
            </w:pPr>
          </w:p>
        </w:tc>
        <w:tc>
          <w:tcPr>
            <w:tcW w:w="860" w:type="dxa"/>
            <w:vAlign w:val="bottom"/>
            <w:tcBorders>
              <w:top w:val="single" w:sz="8" w:color="auto"/>
            </w:tcBorders>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Female</w:t>
            </w: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Male</w:t>
            </w:r>
          </w:p>
        </w:tc>
        <w:tc>
          <w:tcPr>
            <w:tcW w:w="1520" w:type="dxa"/>
            <w:vAlign w:val="bottom"/>
            <w:tcBorders>
              <w:top w:val="single" w:sz="8" w:color="auto"/>
            </w:tcBorders>
            <w:gridSpan w:val="2"/>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Non-Binary</w:t>
            </w:r>
          </w:p>
        </w:tc>
        <w:tc>
          <w:tcPr>
            <w:tcW w:w="14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Did Not Disclose</w:t>
            </w:r>
          </w:p>
        </w:tc>
      </w:tr>
      <w:tr>
        <w:trPr>
          <w:trHeight w:val="238"/>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Gender</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57"/>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2"/>
                <w:szCs w:val="22"/>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6"/>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Asian</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Hispanic or Latinx</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White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LGBTQ+</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17" w:name="page18"/>
    <w:bookmarkEnd w:id="17"/>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6763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ind w:left="6460"/>
        <w:spacing w:after="0"/>
        <w:rPr>
          <w:sz w:val="20"/>
          <w:szCs w:val="20"/>
          <w:color w:val="auto"/>
        </w:rPr>
      </w:pPr>
      <w:r>
        <w:rPr>
          <w:rFonts w:ascii="Times New Roman" w:cs="Times New Roman" w:eastAsia="Times New Roman" w:hAnsi="Times New Roman"/>
          <w:sz w:val="18"/>
          <w:szCs w:val="18"/>
          <w:b w:val="1"/>
          <w:bCs w:val="1"/>
          <w:color w:val="auto"/>
        </w:rPr>
        <w:t>Board Diversity Matrix (As of May 8, 2023)</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r>
      <w:tr>
        <w:trPr>
          <w:trHeight w:val="194"/>
        </w:trPr>
        <w:tc>
          <w:tcPr>
            <w:tcW w:w="5620" w:type="dxa"/>
            <w:vAlign w:val="bottom"/>
          </w:tcPr>
          <w:p>
            <w:pPr>
              <w:spacing w:after="0"/>
              <w:rPr>
                <w:sz w:val="16"/>
                <w:szCs w:val="16"/>
                <w:color w:val="auto"/>
              </w:rPr>
            </w:pPr>
          </w:p>
        </w:tc>
        <w:tc>
          <w:tcPr>
            <w:tcW w:w="860" w:type="dxa"/>
            <w:vAlign w:val="bottom"/>
            <w:tcBorders>
              <w:top w:val="single" w:sz="8" w:color="auto"/>
            </w:tcBorders>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Female</w:t>
            </w: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Male</w:t>
            </w:r>
          </w:p>
        </w:tc>
        <w:tc>
          <w:tcPr>
            <w:tcW w:w="1520" w:type="dxa"/>
            <w:vAlign w:val="bottom"/>
            <w:tcBorders>
              <w:top w:val="single" w:sz="8" w:color="auto"/>
            </w:tcBorders>
            <w:gridSpan w:val="2"/>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Non-Binary</w:t>
            </w:r>
          </w:p>
        </w:tc>
        <w:tc>
          <w:tcPr>
            <w:tcW w:w="14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Did Not Disclose</w:t>
            </w:r>
          </w:p>
        </w:tc>
      </w:tr>
      <w:tr>
        <w:trPr>
          <w:trHeight w:val="238"/>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Gender</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57"/>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2"/>
                <w:szCs w:val="22"/>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7"/>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Asian</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Hispanic or Latinx</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White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LGBTQ+</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which is applicable to the Company’s directors, officers and employees, including the Company’s co-principal executive officers and principal financial officer. The Code of Business Conduct and Ethics is published on the Company’s website at </w:t>
      </w:r>
      <w:r>
        <w:rPr>
          <w:rFonts w:ascii="Times New Roman" w:cs="Times New Roman" w:eastAsia="Times New Roman" w:hAnsi="Times New Roman"/>
          <w:sz w:val="18"/>
          <w:szCs w:val="18"/>
          <w:i w:val="1"/>
          <w:iCs w:val="1"/>
          <w:color w:val="auto"/>
        </w:rPr>
        <w:t>https://investors.opalfuels.com/corporate-governance/documents-charters</w:t>
      </w:r>
      <w:r>
        <w:rPr>
          <w:rFonts w:ascii="Times New Roman" w:cs="Times New Roman" w:eastAsia="Times New Roman" w:hAnsi="Times New Roman"/>
          <w:sz w:val="18"/>
          <w:szCs w:val="18"/>
          <w:color w:val="auto"/>
        </w:rPr>
        <w:t>. We will disclose amendments to or waivers from our Code of Business Conduct and Ethics on our website in accordance with all applicable laws and regulations.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Anti-hedging/Anti-pledging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prohibit short sales, hedging, and transactions in derivatives of our securities for all directors, officers, and employees. In addition, we prohibit pledging of our stock as collateral by directors and executive officers. We allow for certain portfolio diversification transactions, such as investments in exchange funds.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positions of Co-Chief Executive Officer and Chairman of our Board of Directors are held by three different individuals (Adam Comora and Jonathan Maurer and Mark Comora, respectively). This structure allows our Co-Chief Executive Officers to focus on our day-to-day business while our Chairman leads our Board of Directors in its fundamental role of providing advice to and independent oversight of management. Our Board of Directors believes such separation is appropriate, as it enhances the accountability of the Co-Chief Executive Officers to the Board of Directors and strengthens the independence of the Board of Directors from management.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stockholder who wishes to send a communication to our Board should address the communication either to the Board or to the individual director in care of the Corporate Secretary of OPAL Fuels, Inc. at One North Lexington Ave, White Plains, New York 10601. The Corporate Secretary will forward the communication either to all of the directors, if the communication is addressed to the Board, or to the individual director, if the communication is addressed to a specific director. The Corporate Secretary will forward to the directors all communications that, in his judgment, are appropriate for consideration by the directors. Examples of communications that would not be appropriate for consideration by the directors include commercial solicitations and matters not relevant to the stockholders, to the functioning of the Board, or to the affairs of OPAL.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Nominees for Director and Other Stockholder Proposals for the 2025 Annual Meeting of Stockholders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Proposals for Inclusion in the 2025 Proxy</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stockholders present proposals that may be proper subjects for inclusion in the proxy statement and for consideration at an annual meeting. Under SEC rules, in order to be included in the proxy statement for the 2025 Annual Meeting of Stockholders, stockholder proposals submitted under Rule 14a-8 of the Securities and Exchange Act of 1934, as amended (the “Exchange Act”), must be received by our Corporate Secretary at One North Lexington Ave, White Plains, New York 10601 not later than December 23, 2024. Proposals we receive after that date will not be included in the Company’s proxy statement for the 2025 Annual Meeting of Stockholders. In the event the date of the 2025 Annual Meeting of Stockholders has been changed by more than 30 days from the date of the 2024 Annual Meeting, stockholders who intend to have a proposal considered for inclusion in our proxy materials for presentation at our 2025 Annual Meeting of Stockholders must submit the proposal to us at our office with a reasonable time before we begin to print and send our proxy materials for our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Proposals and Nominations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By-Laws require that a stockholder who otherwise intends to: (i) present a proposal outside of Rule 14a-8 under the Exchange Act; or (ii) nominate a director for our 2025 Annual Meeting of Stockholders, must deliver notice to our Corporate Secretary, in proper written form and in accordance with the requirements of the By-Laws, on or after February 18, 2025 but no later than March 20, 2025; provided, however, in the event that the date of the 2025 Annual Meeting of Stockholders is more than 30 days before or more than 60 days after the anniversary date of the 2024 Annual Meeting, notice by the stockholder must be delivered not earlier than the close of business on the 120th day prior to the date of the 2025 Annual Meeting of Stockholders and not later than the close of business on the later of (i) the 90th day prior to the date of the 2025 Annual Meeting of Stockholders or (ii) the 10th day following the day on which public announcement of the date of the 2025 Annual Meeting of Stockholders is first made by us.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deadline for providing notice to the Company under Rule 14a-19, the SEC’s universal proxy rule, of a shareholder’s intent to solicit proxies in support of nominees submitted under the Company’s advance notice bylaw for our 2025 Annual Meeting is April 19, 2025. Shareholders intending to provide such a notice must comply with all requirements of Rule 14a-19 in addition to all requirements under our By-Laws, including the timing of notice requirements described above.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39" w:lineRule="exact"/>
        <w:rPr>
          <w:sz w:val="20"/>
          <w:szCs w:val="20"/>
          <w:color w:val="auto"/>
        </w:rPr>
      </w:pPr>
    </w:p>
    <w:p>
      <w:pPr>
        <w:jc w:val="center"/>
        <w:ind w:left="340" w:right="200"/>
        <w:spacing w:after="0" w:line="271" w:lineRule="auto"/>
        <w:rPr>
          <w:sz w:val="20"/>
          <w:szCs w:val="20"/>
          <w:color w:val="auto"/>
        </w:rPr>
      </w:pPr>
      <w:r>
        <w:rPr>
          <w:rFonts w:ascii="Times New Roman" w:cs="Times New Roman" w:eastAsia="Times New Roman" w:hAnsi="Times New Roman"/>
          <w:sz w:val="18"/>
          <w:szCs w:val="18"/>
          <w:b w:val="1"/>
          <w:bCs w:val="1"/>
          <w:color w:val="auto"/>
        </w:rPr>
        <w:t>RATIFICATION OF THE APPOINTMENT OF BDO USA, P.C. AS OUR INDEPENDENT REGISTERED PUBLIC ACCOUNTING FIRM FOR FISCAL YEAR 2024</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BDO USA, P.C. (“BDO”) currently serves as the Company’s independent registered public accounting firm and has done so since its appointment in 2016. A representative of BDO is expected to be present at the Meeting, with the opportunity to make a statement if the representative desires to do so and is expected to be available to respond to appropriate questions.</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asking our stockholders to ratify the appointment of BDO as our independent registered public accounting firm for the year ending December 31, 2024. Although ratification is not required by our By-Laws or otherwise, our Board is submitting the appointment of BDO to our stockholders for ratification as a matter of good corporate governance. If our stockholders fail to ratify the appointment of BDO, the Audit Committee will consider whether it is appropriate and advisable to appoint a different independent registered public accounting firm. Even if our stockholders ratify the appointment of BDO, the Audit Committee in its discretion may appoint a different registered public accounting firm at any time if it determines that such a change would be in the best interests of our Company and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Auditor Fees and Services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billed to the Company by the Company’s independent registered public accountants, BDO, for the year ended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54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Twelve Months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20" w:type="dxa"/>
            <w:vAlign w:val="bottom"/>
            <w:tcBorders>
              <w:bottom w:val="single" w:sz="8" w:color="auto"/>
            </w:tcBorders>
          </w:tcPr>
          <w:p>
            <w:pPr>
              <w:spacing w:after="0"/>
              <w:rPr>
                <w:sz w:val="19"/>
                <w:szCs w:val="19"/>
                <w:color w:val="auto"/>
              </w:rPr>
            </w:pPr>
          </w:p>
        </w:tc>
      </w:tr>
      <w:tr>
        <w:trPr>
          <w:trHeight w:val="250"/>
        </w:trPr>
        <w:tc>
          <w:tcPr>
            <w:tcW w:w="43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2100" w:type="dxa"/>
            <w:vAlign w:val="bottom"/>
            <w:shd w:val="clear" w:color="auto" w:fill="CCEEFF"/>
          </w:tcPr>
          <w:p>
            <w:pPr>
              <w:jc w:val="right"/>
              <w:ind w:right="19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1,518,666</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2,377,079</w:t>
            </w: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2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4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2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43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CCEEFF"/>
            </w:tcBorders>
            <w:shd w:val="clear" w:color="auto" w:fill="CCEEFF"/>
          </w:tcPr>
          <w:p>
            <w:pPr>
              <w:jc w:val="right"/>
              <w:ind w:right="19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1,518,666</w:t>
            </w:r>
          </w:p>
        </w:tc>
        <w:tc>
          <w:tcPr>
            <w:tcW w:w="1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2,377,079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8"/>
        <w:spacing w:after="0" w:line="235" w:lineRule="auto"/>
        <w:tabs>
          <w:tab w:leader="none" w:pos="192"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Audit Fees consist of fees billed for professional services rendered in connection with the audit of our annual financial statements and internal control over financial reporting, quarterly review of interim consolidated financial statements and audit services in connection with other statutory and regulatory filings.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 for Audit and Permitted Non-Audit Services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is responsible for pre-approving all auditing services and permitted non-audit services (including the fees for such services and terms thereof) to be performed for the Company by its independent registered public accounting firm. The Audit Committee is also responsible for considering whether the independent registered public accounting firm’s performance of permissible non-audit services is compatible with its independence. The Audit Committee chairman has authority to grant pre-approvals of audit and permissible non-audit services by the independent registered public accounting firm provided that all pre-approvals by the chairman must be presented to the full Audit Committee at its next scheduled meeting. Consistent with these policies and procedures, the Audit Committee approved all of the services rendered by the applicable auditors for the year ending December 31, 2023, as described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Proposal 2 requires the affirmative vote of the holders of a majority in voting power of the stock which are present in person or by proxy at the Meeting and entitled to vote.</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BDO as our independent registered public accounting firm for the year ending December 31, 2024.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reviews the Company’s financial reporting process on behalf of the Board. Management has the primary responsibility for establishing and maintaining adequate internal control over financial reporting, for preparing the financial statements and for the report process. The Audit Committee members do not serve as professional accountants or auditors, and their functions are not intended to duplicate or to certify the activities of management or the independent registered public accounting firm. The Company has engaged BDO USA, P.C. (“BDO”) as its independent registered public accounting firm to report on the conformity of the Company’s financial statements to accounting principles generally accepted in the United States. In this context, the Audit Committee hereby reports as follows:</w:t>
      </w:r>
    </w:p>
    <w:p>
      <w:pPr>
        <w:spacing w:after="0" w:line="1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 The Audit Committee has reviewed and discussed the audited financial statements with management of the Company.</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3" w:right="339" w:bottom="1440" w:gutter="0" w:footer="0" w:header="0"/>
          <w:type w:val="continuous"/>
        </w:sectPr>
      </w:pPr>
    </w:p>
    <w:bookmarkStart w:id="20" w:name="page21"/>
    <w:bookmarkEnd w:id="20"/>
    <w:p>
      <w:pPr>
        <w:spacing w:after="0" w:line="18" w:lineRule="exact"/>
        <w:rPr>
          <w:sz w:val="20"/>
          <w:szCs w:val="20"/>
          <w:color w:val="auto"/>
        </w:rPr>
      </w:pPr>
    </w:p>
    <w:p>
      <w:pPr>
        <w:ind w:left="1700" w:right="20" w:hanging="125"/>
        <w:spacing w:after="0" w:line="266" w:lineRule="auto"/>
        <w:rPr>
          <w:sz w:val="20"/>
          <w:szCs w:val="20"/>
          <w:color w:val="auto"/>
        </w:rPr>
      </w:pPr>
      <w:r>
        <w:rPr>
          <w:rFonts w:ascii="Times New Roman" w:cs="Times New Roman" w:eastAsia="Times New Roman" w:hAnsi="Times New Roman"/>
          <w:sz w:val="18"/>
          <w:szCs w:val="18"/>
          <w:color w:val="auto"/>
        </w:rPr>
        <w:t>2 The Audit Committee also discussed with BDO matters required to be discussed by the Public Company Accounting Oversight Board (the “PCAOB”) and the SEC.</w:t>
      </w:r>
    </w:p>
    <w:p>
      <w:pPr>
        <w:spacing w:after="0" w:line="122" w:lineRule="exact"/>
        <w:rPr>
          <w:sz w:val="20"/>
          <w:szCs w:val="20"/>
          <w:color w:val="auto"/>
        </w:rPr>
      </w:pPr>
    </w:p>
    <w:p>
      <w:pPr>
        <w:jc w:val="both"/>
        <w:ind w:left="1700" w:right="60" w:hanging="125"/>
        <w:spacing w:after="0" w:line="250" w:lineRule="auto"/>
        <w:rPr>
          <w:sz w:val="20"/>
          <w:szCs w:val="20"/>
          <w:color w:val="auto"/>
        </w:rPr>
      </w:pPr>
      <w:r>
        <w:rPr>
          <w:rFonts w:ascii="Times New Roman" w:cs="Times New Roman" w:eastAsia="Times New Roman" w:hAnsi="Times New Roman"/>
          <w:sz w:val="18"/>
          <w:szCs w:val="18"/>
          <w:color w:val="auto"/>
        </w:rPr>
        <w:t>3 The Audit Committee has also received the written disclosures and the letter from BDO required by applicable requirements of the PCAOB regarding the independent accountant’s communications with the Audit Committee concerning independence and the Audit Committee has discussed the independence of BDO with that firm.</w:t>
      </w:r>
    </w:p>
    <w:p>
      <w:pPr>
        <w:spacing w:after="0" w:line="123" w:lineRule="exact"/>
        <w:rPr>
          <w:sz w:val="20"/>
          <w:szCs w:val="20"/>
          <w:color w:val="auto"/>
        </w:rPr>
      </w:pPr>
    </w:p>
    <w:p>
      <w:pPr>
        <w:jc w:val="both"/>
        <w:ind w:left="1700" w:right="20" w:hanging="125"/>
        <w:spacing w:after="0" w:line="250" w:lineRule="auto"/>
        <w:rPr>
          <w:sz w:val="20"/>
          <w:szCs w:val="20"/>
          <w:color w:val="auto"/>
        </w:rPr>
      </w:pPr>
      <w:r>
        <w:rPr>
          <w:rFonts w:ascii="Times New Roman" w:cs="Times New Roman" w:eastAsia="Times New Roman" w:hAnsi="Times New Roman"/>
          <w:sz w:val="18"/>
          <w:szCs w:val="18"/>
          <w:color w:val="auto"/>
        </w:rPr>
        <w:t>4 Based on the reviews and discussions referred to above, the Audit Committee recommended to the Board and the Board approved the inclusion of the audited financial statements for the year ended December 31, 2023 in the Company’s Annual Report on Form 10-K for the year ended December 31, 2023 filed with the SEC on March 15, 2024.</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has been furnished by the Audit Committee:</w:t>
      </w:r>
    </w:p>
    <w:p>
      <w:pPr>
        <w:spacing w:after="0" w:line="23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Ashok Vemuri (Chairman)</w:t>
      </w:r>
    </w:p>
    <w:p>
      <w:pPr>
        <w:spacing w:after="0" w:line="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James Martell</w:t>
      </w:r>
    </w:p>
    <w:p>
      <w:pPr>
        <w:ind w:left="1040"/>
        <w:spacing w:after="0"/>
        <w:rPr>
          <w:sz w:val="20"/>
          <w:szCs w:val="20"/>
          <w:color w:val="auto"/>
        </w:rPr>
      </w:pPr>
      <w:r>
        <w:rPr>
          <w:rFonts w:ascii="Times New Roman" w:cs="Times New Roman" w:eastAsia="Times New Roman" w:hAnsi="Times New Roman"/>
          <w:sz w:val="18"/>
          <w:szCs w:val="18"/>
          <w:i w:val="1"/>
          <w:iCs w:val="1"/>
          <w:color w:val="auto"/>
        </w:rPr>
        <w:t>Kevin M. Fogarty</w:t>
      </w:r>
    </w:p>
    <w:p>
      <w:pPr>
        <w:spacing w:after="0" w:line="2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“Audit Committee Report” is not “Soliciting Material,” and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680" w:type="dxa"/>
            <w:vAlign w:val="bottom"/>
          </w:tcPr>
          <w:p>
            <w:pPr>
              <w:spacing w:after="0"/>
              <w:rPr>
                <w:sz w:val="20"/>
                <w:szCs w:val="20"/>
                <w:color w:val="auto"/>
              </w:rPr>
            </w:pPr>
          </w:p>
        </w:tc>
      </w:tr>
      <w:tr>
        <w:trPr>
          <w:trHeight w:val="445"/>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executive officers are:</w:t>
            </w: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0"/>
        </w:trPr>
        <w:tc>
          <w:tcPr>
            <w:tcW w:w="35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r>
      <w:tr>
        <w:trPr>
          <w:trHeight w:val="223"/>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shd w:val="clear" w:color="auto" w:fill="CCEEFF"/>
          </w:tcPr>
          <w:p>
            <w:pPr>
              <w:spacing w:after="0"/>
              <w:rPr>
                <w:sz w:val="19"/>
                <w:szCs w:val="19"/>
                <w:color w:val="auto"/>
              </w:rPr>
            </w:pPr>
          </w:p>
        </w:tc>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Position with OPAL</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Comora</w:t>
            </w:r>
          </w:p>
        </w:tc>
        <w:tc>
          <w:tcPr>
            <w:tcW w:w="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Jonathan Maurer</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Coghlin</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30"/>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Scott Contino </w:t>
            </w:r>
            <w:r>
              <w:rPr>
                <w:rFonts w:ascii="Times New Roman" w:cs="Times New Roman" w:eastAsia="Times New Roman" w:hAnsi="Times New Roman"/>
                <w:sz w:val="23"/>
                <w:szCs w:val="23"/>
                <w:color w:val="auto"/>
                <w:vertAlign w:val="superscript"/>
              </w:rPr>
              <w:t>(1)</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Edelbach</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Falbo</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Unger</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bl>
    <w:p>
      <w:pPr>
        <w:spacing w:after="0" w:line="296"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Mr.Contino was appointed as Interim Chief Financial Officer effective November 15, 2023.</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Comora </w:t>
      </w:r>
      <w:r>
        <w:rPr>
          <w:rFonts w:ascii="Times New Roman" w:cs="Times New Roman" w:eastAsia="Times New Roman" w:hAnsi="Times New Roman"/>
          <w:sz w:val="18"/>
          <w:szCs w:val="18"/>
          <w:color w:val="auto"/>
        </w:rPr>
        <w:t>has served as Co-Chief Executive Officer of the Company since it was formed in December 2020. From February 2011 until January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Mr. Comora was with Fortistar, a privately-owned investment firm that provides capital to build, grow and manage companies that address complex sustainability challenges, where among other positions he served as President and Chief Executive Officer of TruStar Energy (now the dispensing and monetization segment of OPAL Fuels). Prior to joining Fortistar, Mr. Comora was a partner at EnTrust Capital, an asset management firm based in New York City from 1998 to 2011 where he was an integral part of the investment team managing long only equities, a long/short strategy, and a fund of funds. While at EnTrust, assets under management grew from $1 billion to $6 billion. Prior to EnTrust, Mr. Comora was an Analyst and Associate at JP Morgan Investment Bank from 1994 to 1998. Mr. Comora received his Bachelor of Arts in Economics and Government from Cornell University.</w:t>
      </w:r>
    </w:p>
    <w:p>
      <w:pPr>
        <w:spacing w:after="0" w:line="21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Maurer </w:t>
      </w:r>
      <w:r>
        <w:rPr>
          <w:rFonts w:ascii="Times New Roman" w:cs="Times New Roman" w:eastAsia="Times New Roman" w:hAnsi="Times New Roman"/>
          <w:sz w:val="18"/>
          <w:szCs w:val="18"/>
          <w:color w:val="auto"/>
        </w:rPr>
        <w:t>has served as the Co-Chief Executive Officer of the Company since it was formed in December 2020. Previously, Mr. Maurer worked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over thirty years at our parent company, Fortistar, a privately-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owned investment firm that provides capital to build, grow and manage companies that address complex sustainability challenges. There he was Managing Director and Co-Head of Fortistar’s Investment Team and led all management and investment activities associated with Fortistar’s renewable natural gas, landfill gas to power, and biomass energy investments. Mr. Maurer also served as a member of Fortistar’s management and investment committees. Prior to Fortistar, Mr. Maurer was a commercial banker with JP Morgan Chase &amp; Co. Mr. Maurer has an MBA from Columbia Business School and a Bachelor of Arts from St. Lawrence University.</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Coghlin </w:t>
      </w:r>
      <w:r>
        <w:rPr>
          <w:rFonts w:ascii="Times New Roman" w:cs="Times New Roman" w:eastAsia="Times New Roman" w:hAnsi="Times New Roman"/>
          <w:sz w:val="18"/>
          <w:szCs w:val="18"/>
          <w:color w:val="auto"/>
        </w:rPr>
        <w:t>has served as General Counsel of the Company since June 2021. From 2014 until May 2021, Mr. Coghlin served as Senior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General Counsel of Colt Defense LLC, a manufacturing firm based in West Hartford, Connecticut. From 2007 to 2014, he served as the Chief Operating Officer and General Counsel at Healthcor Group, a global registered investment advisor. Prior to Healthcor, Mr. Coghlin served as Senior Vice President and General Counsel of the Operations Division of Citizens Financial Group. He began his career as an associate with the law firm of Rogers &amp; Wells (currently known as Clifford Chance). Mr. Coghlin received his Juris Doctorate from Boston College School of Law and his Bachelor of Arts from Tufts University.</w:t>
      </w:r>
    </w:p>
    <w:p>
      <w:pPr>
        <w:spacing w:after="0" w:line="20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Contino </w:t>
      </w:r>
      <w:r>
        <w:rPr>
          <w:rFonts w:ascii="Times New Roman" w:cs="Times New Roman" w:eastAsia="Times New Roman" w:hAnsi="Times New Roman"/>
          <w:sz w:val="18"/>
          <w:szCs w:val="18"/>
          <w:color w:val="auto"/>
        </w:rPr>
        <w:t>has served as the interim Chief Financial Officer of the Company since November 2023. Mr. Contino has been part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businesses since their respective inceptions. Prior to his appointment as Interim Chief Financial Officer, Mr. Contino worked for more than twenty-five years at Fortistar, a privately-owned investment firm that provides capital to build, grow and manage companies that address complex sustainability challenges. He served for eighteen years as CFO, where his principal responsibilities included company-wide accounting, tax, treasury, and insurance matters. Mr. Contino received an MBA from INSEAD and a bachelor’s degree from Georgetown University.</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Edelbach </w:t>
      </w:r>
      <w:r>
        <w:rPr>
          <w:rFonts w:ascii="Times New Roman" w:cs="Times New Roman" w:eastAsia="Times New Roman" w:hAnsi="Times New Roman"/>
          <w:sz w:val="18"/>
          <w:szCs w:val="18"/>
          <w:color w:val="auto"/>
        </w:rPr>
        <w:t>has served as Executive Vice President of the Company since December 2020. Mr. Edelbach was a founder of TruStar Energy which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formed in 2009. Prior to joining TruStar Energy, Mr. Edelbach worked at Oshkosh Truck Corporation for 18 years where his last position was Vice President of the Refuse Division. At Oshkosh Truck Corporation, Mr. Edelbach led the company to become the first major original equipment manufacturer in the U.S. to build and integrate natural gas fuel systems into large class 8 trucks. He was part of the development teams creating heavy duty electric hybrid chassis and utility bodies, such as garbage trucks and concrete mixers, that were to be used for commercial application nationally and in European markets. Mr. Edelbach received his Bachelor’s in Business Management from Southwestern University.</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Falbo </w:t>
      </w:r>
      <w:r>
        <w:rPr>
          <w:rFonts w:ascii="Times New Roman" w:cs="Times New Roman" w:eastAsia="Times New Roman" w:hAnsi="Times New Roman"/>
          <w:sz w:val="18"/>
          <w:szCs w:val="18"/>
          <w:color w:val="auto"/>
        </w:rPr>
        <w:t>has served as Chief Operating Officer of the Company since April 2021. From 2006 until April 2021, Mr. Falbo served in a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capacity as Senior Vice President at Fortistar. He has over 36 years of experience working in the energy sector, both in the management of operating energy facilities as well as in construction management. During his time at Fortistar, Mr. Falbo participated in the acquisition of over 30 landfill gas-to-energy power projects and developed a best-in-class operating team. Prior to joining Fortistar, from 1991 to 2006, he served as an electrical power generation Supervisor for NAES Corporation. From 1985 to 1991, Mr. Falbo worked in the U.S. Navy Nuclear Power Program onboard submarines. Mr. Falbo received his Bachelor of Science from State University of New York Empire State College, where he continues his Master level coursework.</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Unger </w:t>
      </w:r>
      <w:r>
        <w:rPr>
          <w:rFonts w:ascii="Times New Roman" w:cs="Times New Roman" w:eastAsia="Times New Roman" w:hAnsi="Times New Roman"/>
          <w:sz w:val="18"/>
          <w:szCs w:val="18"/>
          <w:color w:val="auto"/>
        </w:rPr>
        <w:t>has served as Executive Vice President of the Company since December 2020. Mr. Unger served at Fortistar from February 2018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1, 2022, where he served as a Senior Vice President. Mr. Unger previously worked for Waste Management, Inc. for 23 years and developed their renewable natural gas (RNG) and compressed natural gas (CNG) monetization lines of business. Mr. Unger has developed over 70 renewable energy facilities, including RNG, landfill gas (LFG) to electricity, and solar. Mr. Unger managed Waste Management’s California CNG truck assets, monetizing both internally produced RNG and third-party sourced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executive officers are elected annually and serve at the discretion of the Board of Directors. Except as described elsewhere in this proxy statement, there are no family relationships among any of our executive officers and directors. There have been no material proceedings to which any director, executive officer or affiliate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7" w:right="339" w:bottom="1440" w:gutter="0" w:footer="0" w:header="0"/>
        </w:sectPr>
      </w:pPr>
    </w:p>
    <w:bookmarkStart w:id="22" w:name="page23"/>
    <w:bookmarkEnd w:id="22"/>
    <w:p>
      <w:pPr>
        <w:jc w:val="both"/>
        <w:spacing w:after="0" w:line="242" w:lineRule="auto"/>
        <w:rPr>
          <w:sz w:val="20"/>
          <w:szCs w:val="20"/>
          <w:color w:val="auto"/>
        </w:rPr>
      </w:pPr>
      <w:r>
        <w:rPr>
          <w:rFonts w:ascii="Times New Roman" w:cs="Times New Roman" w:eastAsia="Times New Roman" w:hAnsi="Times New Roman"/>
          <w:sz w:val="18"/>
          <w:szCs w:val="18"/>
          <w:color w:val="auto"/>
        </w:rPr>
        <w:t>Company, any owner of record or beneficially of more than five percent of any class of voting securities of the Company, or any associate of any such director, executive officer, affiliate of the Company, or security holder is a party adverse to the Company or any of its subsidiaries or has a material interest adverse to the Company or any of its subsidiaries. There are no arrangements or understandings with another person pursuant to which any of our executive officers or directors were selected as an executive officer or director. None of our current directors or executive officers have been, during the past 10 years, involved in any legal proceedings required to be disclosed pursuant to Item 401(f)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04" w:right="339" w:bottom="1440" w:gutter="0" w:footer="0" w:header="0"/>
        </w:sectPr>
      </w:pPr>
    </w:p>
    <w:bookmarkStart w:id="23" w:name="page24"/>
    <w:bookmarkEnd w:id="23"/>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following section describes our compensation program for 2023 and the compensation of our Co-Chief Executive Officers and other two most highly compensated executive officers (collectively, the “</w:t>
      </w:r>
      <w:r>
        <w:rPr>
          <w:rFonts w:ascii="Times New Roman" w:cs="Times New Roman" w:eastAsia="Times New Roman" w:hAnsi="Times New Roman"/>
          <w:sz w:val="18"/>
          <w:szCs w:val="18"/>
          <w:b w:val="1"/>
          <w:bCs w:val="1"/>
          <w:i w:val="1"/>
          <w:iCs w:val="1"/>
          <w:color w:val="auto"/>
        </w:rPr>
        <w:t>Named Executive Officers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NEOs</w:t>
      </w:r>
      <w:r>
        <w:rPr>
          <w:rFonts w:ascii="Times New Roman" w:cs="Times New Roman" w:eastAsia="Times New Roman" w:hAnsi="Times New Roman"/>
          <w:sz w:val="18"/>
          <w:szCs w:val="18"/>
          <w:color w:val="auto"/>
        </w:rPr>
        <w:t>”) during 2023. For 2023, the following individuals were our Named Executive Officers (each a “</w:t>
      </w:r>
      <w:r>
        <w:rPr>
          <w:rFonts w:ascii="Times New Roman" w:cs="Times New Roman" w:eastAsia="Times New Roman" w:hAnsi="Times New Roman"/>
          <w:sz w:val="18"/>
          <w:szCs w:val="18"/>
          <w:b w:val="1"/>
          <w:bCs w:val="1"/>
          <w:i w:val="1"/>
          <w:iCs w:val="1"/>
          <w:color w:val="auto"/>
        </w:rPr>
        <w:t>Named Executive Officer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NEO</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Comora, Co-Chief Executive Officer</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Maurer, Co-Chief Executive Officer</w:t>
      </w:r>
    </w:p>
    <w:p>
      <w:pPr>
        <w:ind w:left="640" w:hanging="308"/>
        <w:spacing w:after="0" w:line="219"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Coghlin, General Counsel</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Unger, Executive Vice President</w:t>
      </w:r>
    </w:p>
    <w:p>
      <w:pPr>
        <w:spacing w:after="0" w:line="21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information on the compensation for our NEOs is presented in the following tables and accompanying narrative.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4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5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Non equity</w:t>
            </w: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6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20" w:type="dxa"/>
            <w:vAlign w:val="bottom"/>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20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6"/>
              </w:rPr>
              <w:t>deferred</w:t>
            </w:r>
          </w:p>
        </w:tc>
        <w:tc>
          <w:tcPr>
            <w:tcW w:w="1620" w:type="dxa"/>
            <w:vAlign w:val="bottom"/>
            <w:gridSpan w:val="2"/>
            <w:vMerge w:val="continue"/>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2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7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Salary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204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Bonus ($)   Awards ($)</w:t>
            </w:r>
          </w:p>
        </w:tc>
        <w:tc>
          <w:tcPr>
            <w:tcW w:w="104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Awards ($)</w:t>
            </w:r>
          </w:p>
        </w:tc>
        <w:tc>
          <w:tcPr>
            <w:tcW w:w="154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incentive plan</w:t>
            </w:r>
          </w:p>
        </w:tc>
        <w:tc>
          <w:tcPr>
            <w:tcW w:w="12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62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compensation ($)</w:t>
            </w:r>
          </w:p>
        </w:tc>
        <w:tc>
          <w:tcPr>
            <w:tcW w:w="9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30"/>
        </w:trPr>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76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 (3)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compensation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earnings ($)</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04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Adam</w:t>
            </w: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Comora, Co-</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568,269</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422,000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1,200,011</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300,004</w:t>
            </w:r>
          </w:p>
        </w:tc>
        <w:tc>
          <w:tcPr>
            <w:tcW w:w="8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2,490,284</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506,731</w:t>
            </w: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595,500</w:t>
            </w: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1,752,231</w:t>
            </w:r>
          </w:p>
        </w:tc>
        <w:tc>
          <w:tcPr>
            <w:tcW w:w="0" w:type="dxa"/>
            <w:vAlign w:val="bottom"/>
          </w:tcPr>
          <w:p>
            <w:pPr>
              <w:spacing w:after="0"/>
              <w:rPr>
                <w:sz w:val="1"/>
                <w:szCs w:val="1"/>
                <w:color w:val="auto"/>
              </w:rPr>
            </w:pPr>
          </w:p>
        </w:tc>
      </w:tr>
      <w:tr>
        <w:trPr>
          <w:trHeight w:val="164"/>
        </w:trPr>
        <w:tc>
          <w:tcPr>
            <w:tcW w:w="112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Jonathan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Maurer, Co-</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568,269</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422,000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1,200,011</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300,004</w:t>
            </w:r>
          </w:p>
        </w:tc>
        <w:tc>
          <w:tcPr>
            <w:tcW w:w="8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26,971</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2,517,255</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595,500</w:t>
            </w: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25,596</w:t>
            </w: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1,771,096</w:t>
            </w:r>
          </w:p>
        </w:tc>
        <w:tc>
          <w:tcPr>
            <w:tcW w:w="0" w:type="dxa"/>
            <w:vAlign w:val="bottom"/>
          </w:tcPr>
          <w:p>
            <w:pPr>
              <w:spacing w:after="0"/>
              <w:rPr>
                <w:sz w:val="1"/>
                <w:szCs w:val="1"/>
                <w:color w:val="auto"/>
              </w:rPr>
            </w:pPr>
          </w:p>
        </w:tc>
      </w:tr>
      <w:tr>
        <w:trPr>
          <w:trHeight w:val="164"/>
        </w:trPr>
        <w:tc>
          <w:tcPr>
            <w:tcW w:w="112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David Unger,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Vice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367,502</w:t>
            </w: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1,800,016</w:t>
            </w: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75,002</w:t>
            </w:r>
          </w:p>
        </w:tc>
        <w:tc>
          <w:tcPr>
            <w:tcW w:w="80" w:type="dxa"/>
            <w:vAlign w:val="bottom"/>
          </w:tcPr>
          <w:p>
            <w:pPr>
              <w:spacing w:after="0"/>
              <w:rPr>
                <w:sz w:val="15"/>
                <w:szCs w:val="15"/>
                <w:color w:val="auto"/>
              </w:rPr>
            </w:pP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2,428,220</w:t>
            </w:r>
          </w:p>
        </w:tc>
        <w:tc>
          <w:tcPr>
            <w:tcW w:w="0" w:type="dxa"/>
            <w:vAlign w:val="bottom"/>
          </w:tcPr>
          <w:p>
            <w:pPr>
              <w:spacing w:after="0"/>
              <w:rPr>
                <w:sz w:val="1"/>
                <w:szCs w:val="1"/>
                <w:color w:val="auto"/>
              </w:rPr>
            </w:pPr>
          </w:p>
        </w:tc>
      </w:tr>
      <w:tr>
        <w:trPr>
          <w:trHeight w:val="22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330,019</w:t>
            </w: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79,400</w:t>
            </w: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21,635</w:t>
            </w: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656,054</w:t>
            </w:r>
          </w:p>
        </w:tc>
        <w:tc>
          <w:tcPr>
            <w:tcW w:w="0" w:type="dxa"/>
            <w:vAlign w:val="bottom"/>
          </w:tcPr>
          <w:p>
            <w:pPr>
              <w:spacing w:after="0"/>
              <w:rPr>
                <w:sz w:val="1"/>
                <w:szCs w:val="1"/>
                <w:color w:val="auto"/>
              </w:rPr>
            </w:pPr>
          </w:p>
        </w:tc>
      </w:tr>
      <w:tr>
        <w:trPr>
          <w:trHeight w:val="164"/>
        </w:trPr>
        <w:tc>
          <w:tcPr>
            <w:tcW w:w="112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John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Coghlin,</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390,308</w:t>
            </w: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785,017</w:t>
            </w: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15"/>
                <w:szCs w:val="15"/>
                <w:color w:val="auto"/>
              </w:rPr>
            </w:pP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1,467,245</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Counsel</w:t>
            </w: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360,769</w:t>
            </w: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198,500</w:t>
            </w: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right="840" w:hanging="494"/>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discretionary bonuses paid under the STIP to NEOs in 2023 and 2022. Please see additional information below in the section “Narrative Disclosure to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8" w:lineRule="exact"/>
        <w:rPr>
          <w:sz w:val="20"/>
          <w:szCs w:val="20"/>
          <w:color w:val="auto"/>
        </w:rPr>
      </w:pPr>
    </w:p>
    <w:p>
      <w:pPr>
        <w:jc w:val="both"/>
        <w:ind w:left="520" w:right="820" w:hanging="494"/>
        <w:spacing w:after="0" w:line="245"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2023, the Company granted time-based restricted stock units convertible into Class A common stock to all NEOs. The amounts shown above reflect the aggregate grant date fair value of such awards computed in accordance with the FASB’s ASC Topic 718. The assumptions used in calculating these amounts are incorporated herein by reference to Note 17. Stock based compensation, to the Company’s consolidated financial statements, set forth in our Annual Report on Form 10-K for the year ended December 31, 2023.</w:t>
      </w:r>
    </w:p>
    <w:p>
      <w:pPr>
        <w:spacing w:after="0" w:line="288" w:lineRule="exact"/>
        <w:rPr>
          <w:rFonts w:ascii="Times New Roman" w:cs="Times New Roman" w:eastAsia="Times New Roman" w:hAnsi="Times New Roman"/>
          <w:sz w:val="18"/>
          <w:szCs w:val="18"/>
          <w:color w:val="auto"/>
        </w:rPr>
      </w:pPr>
    </w:p>
    <w:p>
      <w:pPr>
        <w:jc w:val="both"/>
        <w:ind w:left="520" w:right="840" w:hanging="494"/>
        <w:spacing w:after="0" w:line="237"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2023, the Company granted performance-based restricted stock unit awards (“PRSUs”), convertible into Class A common stock, to all NEOs. The amounts shown above reflect the aggregate grant date fair value of such PRSU awards computed in accordance with the FASB’s ASC Topic 718. The assumptions used in calculating these amounts are incorporated herein by reference to Note 17. Stock based compensation, to the Company’s consolidated financial statements, set forth in our Annual Report on Form 10-K for the year ended December 31, 2023. For each PRSU, the table above sets forth both the grant date fair value assuming the most probable outcome of performance conditions, and the table below sets forth the grant date fair value assuming the maximum award is achieved (which is calculated as the maximum number of shares with respect to which payment could be achieved, multiplied by the grant date closing price) are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20" w:type="dxa"/>
            <w:vAlign w:val="bottom"/>
            <w:tcBorders>
              <w:bottom w:val="single" w:sz="8" w:color="auto"/>
            </w:tcBorders>
            <w:gridSpan w:val="3"/>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Grant Date Fair Value ($)</w:t>
            </w:r>
          </w:p>
        </w:tc>
        <w:tc>
          <w:tcPr>
            <w:tcW w:w="0" w:type="dxa"/>
            <w:vAlign w:val="bottom"/>
          </w:tcPr>
          <w:p>
            <w:pPr>
              <w:spacing w:after="0"/>
              <w:rPr>
                <w:sz w:val="1"/>
                <w:szCs w:val="1"/>
                <w:color w:val="auto"/>
              </w:rPr>
            </w:pPr>
          </w:p>
        </w:tc>
      </w:tr>
      <w:tr>
        <w:trPr>
          <w:trHeight w:val="169"/>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1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Assuming Most Probable</w:t>
            </w:r>
          </w:p>
        </w:tc>
        <w:tc>
          <w:tcPr>
            <w:tcW w:w="20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Assuming Maximum</w:t>
            </w:r>
          </w:p>
        </w:tc>
        <w:tc>
          <w:tcPr>
            <w:tcW w:w="0" w:type="dxa"/>
            <w:vAlign w:val="bottom"/>
          </w:tcPr>
          <w:p>
            <w:pPr>
              <w:spacing w:after="0"/>
              <w:rPr>
                <w:sz w:val="1"/>
                <w:szCs w:val="1"/>
                <w:color w:val="auto"/>
              </w:rPr>
            </w:pPr>
          </w:p>
        </w:tc>
      </w:tr>
      <w:tr>
        <w:trPr>
          <w:trHeight w:val="243"/>
        </w:trPr>
        <w:tc>
          <w:tcPr>
            <w:tcW w:w="3740" w:type="dxa"/>
            <w:vAlign w:val="bottom"/>
            <w:gridSpan w:val="2"/>
            <w:vMerge w:val="continue"/>
          </w:tcPr>
          <w:p>
            <w:pPr>
              <w:spacing w:after="0"/>
              <w:rPr>
                <w:sz w:val="21"/>
                <w:szCs w:val="21"/>
                <w:color w:val="auto"/>
              </w:rPr>
            </w:pPr>
          </w:p>
        </w:tc>
        <w:tc>
          <w:tcPr>
            <w:tcW w:w="1760" w:type="dxa"/>
            <w:vAlign w:val="bottom"/>
            <w:gridSpan w:val="2"/>
            <w:vMerge w:val="continue"/>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Outcome is Achieved</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Value is Achieved</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Comora</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March 31, 2023</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450,004</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900,008</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Maurer</w:t>
            </w:r>
          </w:p>
        </w:tc>
        <w:tc>
          <w:tcPr>
            <w:tcW w:w="1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March 31, 2023</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450,004</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900,008</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Unger</w:t>
            </w:r>
          </w:p>
        </w:tc>
        <w:tc>
          <w:tcPr>
            <w:tcW w:w="1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March 31, 2023</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112,503</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225,006</w:t>
            </w:r>
          </w:p>
        </w:tc>
        <w:tc>
          <w:tcPr>
            <w:tcW w:w="0" w:type="dxa"/>
            <w:vAlign w:val="bottom"/>
          </w:tcPr>
          <w:p>
            <w:pPr>
              <w:spacing w:after="0"/>
              <w:rPr>
                <w:sz w:val="1"/>
                <w:szCs w:val="1"/>
                <w:color w:val="auto"/>
              </w:rPr>
            </w:pPr>
          </w:p>
        </w:tc>
      </w:tr>
      <w:tr>
        <w:trPr>
          <w:trHeight w:val="23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Coghlin</w:t>
            </w:r>
          </w:p>
        </w:tc>
        <w:tc>
          <w:tcPr>
            <w:tcW w:w="1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March 31, 2023</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210,006</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520" w:right="840" w:hanging="494"/>
        <w:spacing w:after="0" w:line="24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2023, the Company granted time-based stock options exercisable for Class A common stock to all NEOs at an exercise price of $6.97. The amounts shown above reflect the aggregate grant date fair value of such awards computed in accordance with the FASB’s ASC Topic 718. The assumptions used in calculating these amounts are incorporated herein by reference to Note 17. Stock based compensation, to the Company’s consolidated financial statements, set forth in our Annual Report on Form 10-K for the year ended December 31, 2023.</w:t>
      </w:r>
    </w:p>
    <w:p>
      <w:pPr>
        <w:spacing w:after="0" w:line="292" w:lineRule="exact"/>
        <w:rPr>
          <w:rFonts w:ascii="Times New Roman" w:cs="Times New Roman" w:eastAsia="Times New Roman" w:hAnsi="Times New Roman"/>
          <w:sz w:val="18"/>
          <w:szCs w:val="18"/>
          <w:color w:val="auto"/>
        </w:rPr>
      </w:pPr>
    </w:p>
    <w:p>
      <w:pPr>
        <w:ind w:left="520" w:right="820" w:hanging="249"/>
        <w:spacing w:after="0" w:line="266" w:lineRule="auto"/>
        <w:tabs>
          <w:tab w:leader="none" w:pos="5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matching contributions under the terms of our 401(k) plan paid by us on behalf of each NEO.</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2023 fiscal year, our compensation program consisted primarily of the following elements: base salary, short-term annual incentive awards, long-term equity incentives and benefit and perquisite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43" w:lineRule="exact"/>
        <w:rPr>
          <w:sz w:val="20"/>
          <w:szCs w:val="20"/>
          <w:color w:val="auto"/>
        </w:rPr>
      </w:pPr>
    </w:p>
    <w:p>
      <w:pPr>
        <w:jc w:val="both"/>
        <w:ind w:firstLine="803"/>
        <w:spacing w:after="0"/>
        <w:rPr>
          <w:sz w:val="20"/>
          <w:szCs w:val="20"/>
          <w:color w:val="auto"/>
        </w:rPr>
      </w:pPr>
      <w:r>
        <w:rPr>
          <w:rFonts w:ascii="Times New Roman" w:cs="Times New Roman" w:eastAsia="Times New Roman" w:hAnsi="Times New Roman"/>
          <w:sz w:val="18"/>
          <w:szCs w:val="18"/>
          <w:color w:val="auto"/>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5" w:name="page26"/>
    <w:bookmarkEnd w:id="25"/>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Incentive Plan (“STIP”)</w:t>
      </w:r>
    </w:p>
    <w:p>
      <w:pPr>
        <w:spacing w:after="0" w:line="256" w:lineRule="exact"/>
        <w:rPr>
          <w:sz w:val="20"/>
          <w:szCs w:val="20"/>
          <w:color w:val="auto"/>
        </w:rPr>
      </w:pPr>
    </w:p>
    <w:p>
      <w:pPr>
        <w:jc w:val="both"/>
        <w:ind w:right="40" w:firstLine="803"/>
        <w:spacing w:after="0" w:line="256" w:lineRule="auto"/>
        <w:rPr>
          <w:sz w:val="20"/>
          <w:szCs w:val="20"/>
          <w:color w:val="auto"/>
        </w:rPr>
      </w:pPr>
      <w:r>
        <w:rPr>
          <w:rFonts w:ascii="Times New Roman" w:cs="Times New Roman" w:eastAsia="Times New Roman" w:hAnsi="Times New Roman"/>
          <w:sz w:val="18"/>
          <w:szCs w:val="18"/>
          <w:color w:val="auto"/>
        </w:rPr>
        <w:t>Our STIP program for NEOs and other executive officers includes eligibility for annual cash performance bonuses. The payout targets are tied to achievement of certain corporate metrics (“Corporate Metrics”) and strategic individual performance objectives. Additionally, the payouts are also subject to safety performance of the Company. The threshold, target and maximum payouts for Corporate Metrics are established using a scale ranging between 0 - 200%. The Compensation Committee maintains discretion to review extraordinary items for adjustments, including but not limited to RIN pricing, ITC timing and any other force majeure events. In the event of a participant’s termination without cause or resignation for good reason following a change in control, as defined in the STIP Plan, such participant will be entitled to receive a prorated portion of the bonus payment.</w:t>
      </w:r>
    </w:p>
    <w:p>
      <w:pPr>
        <w:spacing w:after="0" w:line="20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performance measures selected by the Compensation Committee for 2023, a description of and the payout opportunity associated with each performance measure as well as the relative weighting of each performance measure among our NEOs.</w:t>
      </w:r>
    </w:p>
    <w:p>
      <w:pPr>
        <w:spacing w:after="0" w:line="213" w:lineRule="exact"/>
        <w:rPr>
          <w:sz w:val="20"/>
          <w:szCs w:val="20"/>
          <w:color w:val="auto"/>
        </w:rPr>
      </w:pPr>
    </w:p>
    <w:tbl>
      <w:tblPr>
        <w:tblLayout w:type="fixed"/>
        <w:tblInd w:w="800" w:type="dxa"/>
        <w:tblCellMar>
          <w:top w:w="0" w:type="dxa"/>
          <w:left w:w="0" w:type="dxa"/>
          <w:bottom w:w="0" w:type="dxa"/>
          <w:right w:w="0" w:type="dxa"/>
        </w:tblCellMar>
      </w:tblPr>
      <w:tr>
        <w:trPr>
          <w:trHeight w:val="264"/>
        </w:trPr>
        <w:tc>
          <w:tcPr>
            <w:tcW w:w="468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b w:val="1"/>
                <w:bCs w:val="1"/>
                <w:color w:val="auto"/>
              </w:rPr>
              <w:t>Performance Measure</w:t>
            </w:r>
          </w:p>
        </w:tc>
        <w:tc>
          <w:tcPr>
            <w:tcW w:w="1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 of Payout</w:t>
            </w:r>
          </w:p>
        </w:tc>
        <w:tc>
          <w:tcPr>
            <w:tcW w:w="1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Payout Opportunity</w:t>
            </w:r>
          </w:p>
        </w:tc>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Range of Weighting </w:t>
            </w:r>
            <w:r>
              <w:rPr>
                <w:rFonts w:ascii="Times New Roman" w:cs="Times New Roman" w:eastAsia="Times New Roman" w:hAnsi="Times New Roman"/>
                <w:sz w:val="23"/>
                <w:szCs w:val="23"/>
                <w:b w:val="1"/>
                <w:bCs w:val="1"/>
                <w:color w:val="auto"/>
                <w:vertAlign w:val="superscript"/>
              </w:rPr>
              <w:t>(1)</w:t>
            </w:r>
          </w:p>
        </w:tc>
      </w:tr>
      <w:tr>
        <w:trPr>
          <w:trHeight w:val="223"/>
        </w:trPr>
        <w:tc>
          <w:tcPr>
            <w:tcW w:w="4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Metrics:</w:t>
            </w:r>
          </w:p>
        </w:tc>
        <w:tc>
          <w:tcPr>
            <w:tcW w:w="8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 - 70%</w:t>
            </w:r>
          </w:p>
        </w:tc>
      </w:tr>
      <w:tr>
        <w:trPr>
          <w:trHeight w:val="229"/>
        </w:trPr>
        <w:tc>
          <w:tcPr>
            <w:tcW w:w="4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 millions) </w:t>
            </w:r>
            <w:r>
              <w:rPr>
                <w:rFonts w:ascii="Times New Roman" w:cs="Times New Roman" w:eastAsia="Times New Roman" w:hAnsi="Times New Roman"/>
                <w:sz w:val="23"/>
                <w:szCs w:val="23"/>
                <w:color w:val="auto"/>
                <w:vertAlign w:val="superscript"/>
              </w:rPr>
              <w:t>(2)</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0 - 200%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RNG Production (MMBtus)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0 - 200%</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Projects placed into Construction (MMBtus)</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0 - 200%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vehicle offtake agreements signed (GGEs)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0 - 200%</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0"/>
        </w:trPr>
        <w:tc>
          <w:tcPr>
            <w:tcW w:w="4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3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Strategic/Personal Objectives</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 - 50%</w:t>
            </w:r>
          </w:p>
        </w:tc>
      </w:tr>
      <w:tr>
        <w:trPr>
          <w:trHeight w:val="270"/>
        </w:trPr>
        <w:tc>
          <w:tcPr>
            <w:tcW w:w="4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308"/>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Safety Modifier </w:t>
            </w:r>
            <w:r>
              <w:rPr>
                <w:rFonts w:ascii="Times New Roman" w:cs="Times New Roman" w:eastAsia="Times New Roman" w:hAnsi="Times New Roman"/>
                <w:sz w:val="23"/>
                <w:szCs w:val="23"/>
                <w:b w:val="1"/>
                <w:bCs w:val="1"/>
                <w:color w:val="auto"/>
                <w:vertAlign w:val="superscript"/>
              </w:rPr>
              <w:t>(3)</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bl>
    <w:p>
      <w:pPr>
        <w:spacing w:after="0" w:line="183" w:lineRule="exact"/>
        <w:rPr>
          <w:sz w:val="20"/>
          <w:szCs w:val="20"/>
          <w:color w:val="auto"/>
        </w:rPr>
      </w:pPr>
    </w:p>
    <w:p>
      <w:pPr>
        <w:ind w:left="1000" w:hanging="189"/>
        <w:spacing w:after="0"/>
        <w:tabs>
          <w:tab w:leader="none" w:pos="10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Range of Weighting varies based on the Position for all NEOs.</w:t>
      </w:r>
    </w:p>
    <w:p>
      <w:pPr>
        <w:spacing w:after="0" w:line="211" w:lineRule="exact"/>
        <w:rPr>
          <w:rFonts w:ascii="Times New Roman" w:cs="Times New Roman" w:eastAsia="Times New Roman" w:hAnsi="Times New Roman"/>
          <w:sz w:val="23"/>
          <w:szCs w:val="23"/>
          <w:color w:val="auto"/>
          <w:vertAlign w:val="superscript"/>
        </w:rPr>
      </w:pPr>
    </w:p>
    <w:p>
      <w:pPr>
        <w:jc w:val="both"/>
        <w:ind w:right="40" w:firstLine="811"/>
        <w:spacing w:after="0" w:line="254" w:lineRule="auto"/>
        <w:tabs>
          <w:tab w:leader="none" w:pos="96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Adjusted EBITDA is a non-GAAP measure that adjusts net income for (i) interest and financing expense, net, (ii) income taxes, (iii) loss on debt extinguishment, (iv) net (income) loss attributable to non-controlling interests, (v) depreciation, amortization and accretion expense, (vi) adjustments to reflect Adjusted EBITDA from equity method investments, (vii) loss on warrant exchange, (viii) unrealized (gain) loss on derivative instruments, (ix) non-cash charges, (x) one-time non-recurring expenses, (xi) major maintenance on renewable power and (xii) gain on deconsolidation of VIEs.</w:t>
      </w:r>
    </w:p>
    <w:p>
      <w:pPr>
        <w:spacing w:after="0" w:line="2" w:lineRule="exact"/>
        <w:rPr>
          <w:rFonts w:ascii="Times New Roman" w:cs="Times New Roman" w:eastAsia="Times New Roman" w:hAnsi="Times New Roman"/>
          <w:sz w:val="20"/>
          <w:szCs w:val="20"/>
          <w:color w:val="auto"/>
          <w:vertAlign w:val="superscript"/>
        </w:rPr>
      </w:pPr>
    </w:p>
    <w:p>
      <w:pPr>
        <w:ind w:left="1000" w:hanging="189"/>
        <w:spacing w:after="0" w:line="194" w:lineRule="auto"/>
        <w:tabs>
          <w:tab w:leader="none" w:pos="10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Payouts are subject to a modifier of up to 10% based on safety performance of the Company.</w:t>
      </w:r>
    </w:p>
    <w:p>
      <w:pPr>
        <w:spacing w:after="0" w:line="212" w:lineRule="exact"/>
        <w:rPr>
          <w:sz w:val="20"/>
          <w:szCs w:val="20"/>
          <w:color w:val="auto"/>
        </w:rPr>
      </w:pPr>
    </w:p>
    <w:p>
      <w:pPr>
        <w:ind w:right="40" w:firstLine="803"/>
        <w:spacing w:after="0" w:line="245" w:lineRule="auto"/>
        <w:rPr>
          <w:sz w:val="20"/>
          <w:szCs w:val="20"/>
          <w:color w:val="auto"/>
        </w:rPr>
      </w:pPr>
      <w:r>
        <w:rPr>
          <w:rFonts w:ascii="Times New Roman" w:cs="Times New Roman" w:eastAsia="Times New Roman" w:hAnsi="Times New Roman"/>
          <w:sz w:val="18"/>
          <w:szCs w:val="18"/>
          <w:color w:val="auto"/>
        </w:rPr>
        <w:t>Based on the review of the Corporate Metrics achieved and NEOs’ performance by our Compensation Committee, our Board awarded the NEOs annual bonuses in the amounts set forth in the Summary Compensation Table above. The target annual bonuses for NEOs for 2023 were as follows: 100% of base salary for Mr. Comora and Mr. Maurer, 60% of base salary for Mr. Unger, and 40% of base salary for Mr. Coghlin. Payouts of annual bonuses for NEOs for 2023 were as follows: 73% of target for Mr. Comora and Mr. Maurer, 72% of target for Mr. Unger, and 88% of target for Mr. Coghlin.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Omnibus Equity Incentive Plan</w:t>
      </w:r>
    </w:p>
    <w:p>
      <w:pPr>
        <w:spacing w:after="0" w:line="24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adopted the 2022 Omnibus Equity Incentive Plan which was approved by our shareholders on July 21, 2022. The Compensation Committee believes that the effective use of long-term, stock-based incentive compensation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80"/>
          </w:cols>
          <w:pgMar w:left="320" w:top="1404" w:right="299" w:bottom="1440" w:gutter="0" w:footer="0" w:header="0"/>
        </w:sectPr>
      </w:pPr>
    </w:p>
    <w:bookmarkStart w:id="26" w:name="page27"/>
    <w:bookmarkEnd w:id="26"/>
    <w:p>
      <w:pPr>
        <w:jc w:val="both"/>
        <w:spacing w:after="0" w:line="245" w:lineRule="auto"/>
        <w:rPr>
          <w:sz w:val="20"/>
          <w:szCs w:val="20"/>
          <w:color w:val="auto"/>
        </w:rPr>
      </w:pPr>
      <w:r>
        <w:rPr>
          <w:rFonts w:ascii="Times New Roman" w:cs="Times New Roman" w:eastAsia="Times New Roman" w:hAnsi="Times New Roman"/>
          <w:sz w:val="18"/>
          <w:szCs w:val="18"/>
          <w:color w:val="auto"/>
        </w:rPr>
        <w:t>integral to the Company’s success and is vital to its ability to achieve strong performance in the future and, therefore, delivers a portion of each executive’s incentive compensation in the form of equity. These awards are intended to align the interests of our executives with those of our shareholders, enhance the personal stake of executive officers in the growth and success of the Company, provide an incentive for the executive officers’ continued service at the Company, and provide an opportunity for executives to increase their stock ownership levels.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2023, the Company implemented a market-based long-term incentive program (LTIP). This program consisted of a combination of time-based restricted stock units (RSUs), performance restricted stock units (PRSUs), and stock options. The value granted to each NEO was primarily intended to bring our executives to within a reasonable range of the competitive market for similar positions. This assessment was conducted by our independent compensation consultant. The Compensation Committee also considered individual performance of each NEO when determining grant size.</w:t>
      </w:r>
    </w:p>
    <w:p>
      <w:pPr>
        <w:spacing w:after="0" w:line="193" w:lineRule="exact"/>
        <w:rPr>
          <w:sz w:val="20"/>
          <w:szCs w:val="20"/>
          <w:color w:val="auto"/>
        </w:rPr>
      </w:pPr>
    </w:p>
    <w:p>
      <w:pPr>
        <w:jc w:val="both"/>
        <w:ind w:firstLine="803"/>
        <w:spacing w:after="0" w:line="237" w:lineRule="auto"/>
        <w:rPr>
          <w:sz w:val="20"/>
          <w:szCs w:val="20"/>
          <w:color w:val="auto"/>
        </w:rPr>
      </w:pPr>
      <w:r>
        <w:rPr>
          <w:rFonts w:ascii="Times New Roman" w:cs="Times New Roman" w:eastAsia="Times New Roman" w:hAnsi="Times New Roman"/>
          <w:sz w:val="18"/>
          <w:szCs w:val="18"/>
          <w:color w:val="auto"/>
        </w:rPr>
        <w:t>On March 31, 2023, the Company awarded time-based Restricted Stock Units payable in shares of Class A common stock to certain eligible group of employees including its NEOs. All the Restricted Stock Units vest in three equal installments on each of the first three anniversaries of the applicable vesting commencement date. Upon the occurrence of a termination by reason of the grantee’s disability or termination without cause, such Restricted Stock Units shall vest with respect to the number of Restricted Stock Units that would have vested upon the next applicable vesting date, had the grantee remained an employee or service provider. Notwithstanding the foregoing, upon the occurrence of a grantee’s termination without cause or resignation for good reason, in connection with or within 24 months following the consummation of a change in control, any unvested portion of the Restricted Stock Units shall accelerate and vest in full. Upon the occurrence of a termination by reason of the grantee’s death, the Restricted Stock Units shall accelerate and vest in full.</w:t>
      </w:r>
    </w:p>
    <w:p>
      <w:pPr>
        <w:spacing w:after="0" w:line="228" w:lineRule="exact"/>
        <w:rPr>
          <w:sz w:val="20"/>
          <w:szCs w:val="20"/>
          <w:color w:val="auto"/>
        </w:rPr>
      </w:pPr>
    </w:p>
    <w:p>
      <w:pPr>
        <w:jc w:val="both"/>
        <w:ind w:firstLine="803"/>
        <w:spacing w:after="0" w:line="255" w:lineRule="auto"/>
        <w:rPr>
          <w:sz w:val="20"/>
          <w:szCs w:val="20"/>
          <w:color w:val="auto"/>
        </w:rPr>
      </w:pPr>
      <w:r>
        <w:rPr>
          <w:rFonts w:ascii="Times New Roman" w:cs="Times New Roman" w:eastAsia="Times New Roman" w:hAnsi="Times New Roman"/>
          <w:sz w:val="18"/>
          <w:szCs w:val="18"/>
          <w:color w:val="auto"/>
        </w:rPr>
        <w:t>On March 31, 2023, the Company awarded stock options exercisable for Class A common stock to certain eligible group of employees including its NEOs. All of the stock options vest in three equal annual installments on each of the first three anniversaries of the applicable vesting commencement date. Upon the occurrence of a termination by reason of the grantee’s disability or termination without cause, such options shall vest with respect to the number of Shares that would have vested upon the next applicable vesting date, had the optionee remained an employee or service provider. Notwithstanding the foregoing, upon the occurrence of a grantee’s termination without cause or resignation for good reason, in connection with or within 24 months following the consummation of a change in control transaction, any unvested portion of the options shall accelerate and vest in full. Upon the occurrence of a termination by reason of the grantee’s death, the options shall accelerate and vest in full.</w:t>
      </w:r>
    </w:p>
    <w:p>
      <w:pPr>
        <w:spacing w:after="0" w:line="216" w:lineRule="exact"/>
        <w:rPr>
          <w:sz w:val="20"/>
          <w:szCs w:val="20"/>
          <w:color w:val="auto"/>
        </w:rPr>
      </w:pPr>
    </w:p>
    <w:p>
      <w:pPr>
        <w:jc w:val="both"/>
        <w:ind w:firstLine="803"/>
        <w:spacing w:after="0" w:line="253" w:lineRule="auto"/>
        <w:rPr>
          <w:sz w:val="20"/>
          <w:szCs w:val="20"/>
          <w:color w:val="auto"/>
        </w:rPr>
      </w:pPr>
      <w:r>
        <w:rPr>
          <w:rFonts w:ascii="Times New Roman" w:cs="Times New Roman" w:eastAsia="Times New Roman" w:hAnsi="Times New Roman"/>
          <w:sz w:val="18"/>
          <w:szCs w:val="18"/>
          <w:color w:val="auto"/>
        </w:rPr>
        <w:t>On March 31, 2023, the Company awarded PRSUs payable in shares of Class A common Stock upon the achievement of certain performance criteria as part of its LTIP to certain eligible group of employees including its NEOs. The applicable performance period for such PRSU awards is January 1, 2023 to December 31, 2025, and all such PRSUs are scheduled to vest on March 31, 2026; provided, however, that the PRSUs may earlier vest in the event of (i) the grantee’s death; (ii)the grantee’s termination without cause or resignation for good reason within 24 months of a change in control transaction (a “Change in Control Termination”); or (iii) a termination by reason of the grantee’s disability or termination without cause (which does not occur in connection with a change in control transaction) (such termination, a “Termination Event”). Upon the occurrence of a Termination Event, a grantee shall vest with respect to a pro rata portion of the target PRSUs based on the number of full calendar months during which the grantee performed services during the applicable performance period. In the event of a Change in Control Termination, a grantee shall vest with respect to the greater of (A) the target PRSUs, or (B) if greater, the number of PRSUs determined based upon the satisfaction of the applicable performance criteria as of the date of the Change in Control Termination. In the event of a grantee’s death, the grantee shall vest with respect to the target PRSUs. Notwithstanding the foregoing, upon the occurrence of a Termination Event, Change in Control Termination, or the grantee’s death after the end of the applicable performance period, but before the vesting date, the grantee shall vest with respect to the actual number of PRSUs determined based on the satisfaction of the applicable performance criteria for such performance period.</w:t>
      </w:r>
    </w:p>
    <w:p>
      <w:pPr>
        <w:spacing w:after="0" w:line="2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shows the performance targets and the payout percentage for each of the criteria for PRSUs.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04" w:right="339" w:bottom="1440" w:gutter="0" w:footer="0" w:header="0"/>
        </w:sectPr>
      </w:pPr>
    </w:p>
    <w:bookmarkStart w:id="27" w:name="page28"/>
    <w:bookmarkEnd w:id="27"/>
    <w:p>
      <w:pPr>
        <w:spacing w:after="0" w:line="266" w:lineRule="exact"/>
        <w:rPr>
          <w:sz w:val="20"/>
          <w:szCs w:val="20"/>
          <w:color w:val="auto"/>
        </w:rPr>
      </w:pPr>
    </w:p>
    <w:tbl>
      <w:tblPr>
        <w:tblLayout w:type="fixed"/>
        <w:tblInd w:w="800" w:type="dxa"/>
        <w:tblCellMar>
          <w:top w:w="0" w:type="dxa"/>
          <w:left w:w="0" w:type="dxa"/>
          <w:bottom w:w="0" w:type="dxa"/>
          <w:right w:w="0" w:type="dxa"/>
        </w:tblCellMar>
      </w:tblPr>
      <w:tr>
        <w:trPr>
          <w:trHeight w:val="229"/>
        </w:trPr>
        <w:tc>
          <w:tcPr>
            <w:tcW w:w="3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240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1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Payout %</w:t>
            </w:r>
          </w:p>
        </w:tc>
      </w:tr>
      <w:tr>
        <w:trPr>
          <w:trHeight w:val="223"/>
        </w:trPr>
        <w:tc>
          <w:tcPr>
            <w:tcW w:w="3420" w:type="dxa"/>
            <w:vAlign w:val="bottom"/>
            <w:tcBorders>
              <w:top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29"/>
        </w:trPr>
        <w:tc>
          <w:tcPr>
            <w:tcW w:w="3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Maximum</w:t>
            </w:r>
          </w:p>
        </w:tc>
        <w:tc>
          <w:tcPr>
            <w:tcW w:w="2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3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Target</w:t>
            </w:r>
          </w:p>
        </w:tc>
        <w:tc>
          <w:tcPr>
            <w:tcW w:w="2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3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Threshold</w:t>
            </w:r>
          </w:p>
        </w:tc>
        <w:tc>
          <w:tcPr>
            <w:tcW w:w="2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176"/>
        </w:trPr>
        <w:tc>
          <w:tcPr>
            <w:tcW w:w="3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RNG projects placed into construction (</w:t>
            </w: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millions MMBtus)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Maximum</w:t>
            </w: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Target</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Threshold</w:t>
            </w: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200" w:lineRule="exact"/>
        <w:rPr>
          <w:sz w:val="20"/>
          <w:szCs w:val="20"/>
          <w:color w:val="auto"/>
        </w:rPr>
      </w:pPr>
    </w:p>
    <w:p>
      <w:pPr>
        <w:spacing w:after="0" w:line="376" w:lineRule="exact"/>
        <w:rPr>
          <w:sz w:val="20"/>
          <w:szCs w:val="20"/>
          <w:color w:val="auto"/>
        </w:rPr>
      </w:pPr>
    </w:p>
    <w:p>
      <w:pPr>
        <w:jc w:val="both"/>
        <w:ind w:firstLine="811"/>
        <w:spacing w:after="0" w:line="258" w:lineRule="auto"/>
        <w:tabs>
          <w:tab w:leader="none" w:pos="968"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Adjusted EBITDA is a non-GAAP measure that adjusts net income for (i) interest and financing expense, net, (ii) income taxes, (iii) loss on debt extinguishment, (iv) net (income) loss attributable to non-controlling interests, (v) depreciation, amortization and accretion expense, (vi) adjustments to reflect Adjusted EBITDA from equity method investments, (vii) loss on warrant exchange, (viii) unrealized (gain) loss on derivative instruments, (ix) non-cash charges, (x) one-time non-recurring expenses, (xi) major maintenance on renewable power and (xii) gain on deconsolidation of VIEs.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w:t>
      </w:r>
    </w:p>
    <w:p>
      <w:pPr>
        <w:spacing w:after="0" w:line="241" w:lineRule="exact"/>
        <w:rPr>
          <w:sz w:val="20"/>
          <w:szCs w:val="20"/>
          <w:color w:val="auto"/>
        </w:rPr>
      </w:pPr>
    </w:p>
    <w:p>
      <w:pPr>
        <w:jc w:val="both"/>
        <w:ind w:firstLine="803"/>
        <w:spacing w:after="0" w:line="250" w:lineRule="auto"/>
        <w:rPr>
          <w:sz w:val="20"/>
          <w:szCs w:val="20"/>
          <w:color w:val="auto"/>
        </w:rPr>
      </w:pPr>
      <w:r>
        <w:rPr>
          <w:rFonts w:ascii="Times New Roman" w:cs="Times New Roman" w:eastAsia="Times New Roman" w:hAnsi="Times New Roman"/>
          <w:sz w:val="18"/>
          <w:szCs w:val="18"/>
          <w:color w:val="auto"/>
        </w:rPr>
        <w:t>In October 2022, the Company awarded Restricted Stock Units as celebratory awards to all of its employees including its NEOs upon the occasion of the Company successfully completing the Business Combination and becoming a public company. All such Restricted Stock Units vested 100% on October 1,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43" w:lineRule="exact"/>
        <w:rPr>
          <w:sz w:val="20"/>
          <w:szCs w:val="20"/>
          <w:color w:val="auto"/>
        </w:rPr>
      </w:pPr>
    </w:p>
    <w:p>
      <w:pPr>
        <w:jc w:val="both"/>
        <w:ind w:firstLine="803"/>
        <w:spacing w:after="0" w:line="250" w:lineRule="auto"/>
        <w:rPr>
          <w:sz w:val="20"/>
          <w:szCs w:val="20"/>
          <w:color w:val="auto"/>
        </w:rPr>
      </w:pPr>
      <w:r>
        <w:rPr>
          <w:rFonts w:ascii="Times New Roman" w:cs="Times New Roman" w:eastAsia="Times New Roman" w:hAnsi="Times New Roman"/>
          <w:sz w:val="18"/>
          <w:szCs w:val="18"/>
          <w:color w:val="auto"/>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Savings Plan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all qualifying full-time employees with the opportunity to participate in our tax-qualified 401(k) savings plan. Our named executive officers participate in this plan on the same basis as our other full-time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Payments upon Change in Control or Termination</w:t>
      </w:r>
    </w:p>
    <w:p>
      <w:pPr>
        <w:spacing w:after="0" w:line="256" w:lineRule="exact"/>
        <w:rPr>
          <w:sz w:val="20"/>
          <w:szCs w:val="20"/>
          <w:color w:val="auto"/>
        </w:rPr>
      </w:pPr>
    </w:p>
    <w:p>
      <w:pPr>
        <w:jc w:val="both"/>
        <w:ind w:firstLine="803"/>
        <w:spacing w:after="0" w:line="258" w:lineRule="auto"/>
        <w:rPr>
          <w:sz w:val="20"/>
          <w:szCs w:val="20"/>
          <w:color w:val="auto"/>
        </w:rPr>
      </w:pPr>
      <w:r>
        <w:rPr>
          <w:rFonts w:ascii="Times New Roman" w:cs="Times New Roman" w:eastAsia="Times New Roman" w:hAnsi="Times New Roman"/>
          <w:sz w:val="18"/>
          <w:szCs w:val="18"/>
          <w:color w:val="auto"/>
        </w:rPr>
        <w:t>No NEO of the Company is a party to an employment agreement. Further, no NEOs are entitled to compensation upon a change in control or termination, provided, however, that upon a change in control of OPAL Fuels LLC (“Opco”), a wholly owned subsidiary of the Company, each NEO shall be entitled to payment with respect to such NEO’s Parent Equity Awards (as defined below), and upon a Change in Control Termination, PRSUs shall vest as described above, in each case, in the amounts set forth in the table entitled “Outstanding Equity Awards at Fiscal Year End” (assuming such change in control occurred on December 31, 2023, and other conditions described in the footnotes to such table are met).</w:t>
      </w:r>
    </w:p>
    <w:p>
      <w:pPr>
        <w:spacing w:after="0" w:line="210" w:lineRule="exact"/>
        <w:rPr>
          <w:sz w:val="20"/>
          <w:szCs w:val="20"/>
          <w:color w:val="auto"/>
        </w:rPr>
      </w:pPr>
    </w:p>
    <w:p>
      <w:pPr>
        <w:jc w:val="both"/>
        <w:ind w:firstLine="803"/>
        <w:spacing w:after="0" w:line="258" w:lineRule="auto"/>
        <w:rPr>
          <w:sz w:val="20"/>
          <w:szCs w:val="20"/>
          <w:color w:val="auto"/>
        </w:rPr>
      </w:pPr>
      <w:r>
        <w:rPr>
          <w:rFonts w:ascii="Times New Roman" w:cs="Times New Roman" w:eastAsia="Times New Roman" w:hAnsi="Times New Roman"/>
          <w:sz w:val="18"/>
          <w:szCs w:val="18"/>
          <w:color w:val="auto"/>
        </w:rPr>
        <w:t>“Parent Equity Awards” refer to awards granted prior to the Business Combination by Fortistar (through one of its feeder entities) to certain of the Company’s executives, comprised of units intended to be treated as “profits interests” for U.S. federal income tax purposes, with such profits interest awards tracking the performance of the applicable predecessor companies of the Company. Participants were entitled to participate in pro rata distributions from such predecessors of Opco during their employment. Effective as of December 1, 2020, the Parent Equity Awards were restructured to track the performance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gridSpan w:val="5"/>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9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2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r>
      <w:tr>
        <w:trPr>
          <w:trHeight w:val="167"/>
        </w:trPr>
        <w:tc>
          <w:tcPr>
            <w:tcW w:w="10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Name and</w:t>
            </w:r>
          </w:p>
        </w:tc>
        <w:tc>
          <w:tcPr>
            <w:tcW w:w="80" w:type="dxa"/>
            <w:vAlign w:val="bottom"/>
          </w:tcPr>
          <w:p>
            <w:pPr>
              <w:spacing w:after="0"/>
              <w:rPr>
                <w:sz w:val="14"/>
                <w:szCs w:val="14"/>
                <w:color w:val="auto"/>
              </w:rPr>
            </w:pPr>
          </w:p>
        </w:tc>
        <w:tc>
          <w:tcPr>
            <w:tcW w:w="106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106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08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4"/>
                <w:szCs w:val="14"/>
                <w:color w:val="auto"/>
              </w:rPr>
            </w:pPr>
          </w:p>
        </w:tc>
        <w:tc>
          <w:tcPr>
            <w:tcW w:w="880" w:type="dxa"/>
            <w:vAlign w:val="bottom"/>
            <w:gridSpan w:val="2"/>
          </w:tcPr>
          <w:p>
            <w:pPr>
              <w:jc w:val="center"/>
              <w:ind w:right="200"/>
              <w:spacing w:after="0" w:line="167"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980" w:type="dxa"/>
            <w:vAlign w:val="bottom"/>
          </w:tcPr>
          <w:p>
            <w:pPr>
              <w:ind w:left="240"/>
              <w:spacing w:after="0" w:line="167" w:lineRule="exact"/>
              <w:rPr>
                <w:sz w:val="20"/>
                <w:szCs w:val="20"/>
                <w:color w:val="auto"/>
              </w:rPr>
            </w:pPr>
            <w:r>
              <w:rPr>
                <w:rFonts w:ascii="Times New Roman" w:cs="Times New Roman" w:eastAsia="Times New Roman" w:hAnsi="Times New Roman"/>
                <w:sz w:val="16"/>
                <w:szCs w:val="16"/>
                <w:b w:val="1"/>
                <w:bCs w:val="1"/>
                <w:color w:val="auto"/>
              </w:rPr>
              <w:t>Option</w:t>
            </w:r>
          </w:p>
        </w:tc>
        <w:tc>
          <w:tcPr>
            <w:tcW w:w="80" w:type="dxa"/>
            <w:vAlign w:val="bottom"/>
          </w:tcPr>
          <w:p>
            <w:pPr>
              <w:spacing w:after="0"/>
              <w:rPr>
                <w:sz w:val="14"/>
                <w:szCs w:val="14"/>
                <w:color w:val="auto"/>
              </w:rPr>
            </w:pPr>
          </w:p>
        </w:tc>
        <w:tc>
          <w:tcPr>
            <w:tcW w:w="116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300" w:type="dxa"/>
            <w:vAlign w:val="bottom"/>
            <w:gridSpan w:val="2"/>
          </w:tcPr>
          <w:p>
            <w:pPr>
              <w:jc w:val="center"/>
              <w:ind w:right="60"/>
              <w:spacing w:after="0" w:line="167" w:lineRule="exact"/>
              <w:rPr>
                <w:sz w:val="20"/>
                <w:szCs w:val="20"/>
                <w:color w:val="auto"/>
              </w:rPr>
            </w:pPr>
            <w:r>
              <w:rPr>
                <w:rFonts w:ascii="Times New Roman" w:cs="Times New Roman" w:eastAsia="Times New Roman" w:hAnsi="Times New Roman"/>
                <w:sz w:val="16"/>
                <w:szCs w:val="16"/>
                <w:b w:val="1"/>
                <w:bCs w:val="1"/>
                <w:color w:val="auto"/>
                <w:w w:val="99"/>
              </w:rPr>
              <w:t>Market Value of</w:t>
            </w:r>
          </w:p>
        </w:tc>
        <w:tc>
          <w:tcPr>
            <w:tcW w:w="1280" w:type="dxa"/>
            <w:vAlign w:val="bottom"/>
            <w:gridSpan w:val="2"/>
          </w:tcPr>
          <w:p>
            <w:pPr>
              <w:jc w:val="center"/>
              <w:ind w:right="60"/>
              <w:spacing w:after="0" w:line="167"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120" w:type="dxa"/>
            <w:vAlign w:val="bottom"/>
          </w:tcPr>
          <w:p>
            <w:pPr>
              <w:spacing w:after="0"/>
              <w:rPr>
                <w:sz w:val="14"/>
                <w:szCs w:val="14"/>
                <w:color w:val="auto"/>
              </w:rPr>
            </w:pPr>
          </w:p>
        </w:tc>
        <w:tc>
          <w:tcPr>
            <w:tcW w:w="940" w:type="dxa"/>
            <w:vAlign w:val="bottom"/>
          </w:tcPr>
          <w:p>
            <w:pPr>
              <w:jc w:val="center"/>
              <w:ind w:right="32"/>
              <w:spacing w:after="0" w:line="167" w:lineRule="exact"/>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189"/>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(b)</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Plan Awards:</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Incentive Plan</w:t>
            </w:r>
          </w:p>
        </w:tc>
      </w:tr>
      <w:tr>
        <w:trPr>
          <w:trHeight w:val="176"/>
        </w:trPr>
        <w:tc>
          <w:tcPr>
            <w:tcW w:w="1160" w:type="dxa"/>
            <w:vAlign w:val="bottom"/>
            <w:gridSpan w:val="2"/>
          </w:tcPr>
          <w:p>
            <w:pPr>
              <w:jc w:val="center"/>
              <w:ind w:right="60"/>
              <w:spacing w:after="0" w:line="175" w:lineRule="exact"/>
              <w:rPr>
                <w:sz w:val="20"/>
                <w:szCs w:val="20"/>
                <w:color w:val="auto"/>
              </w:rPr>
            </w:pPr>
            <w:r>
              <w:rPr>
                <w:rFonts w:ascii="Times New Roman" w:cs="Times New Roman" w:eastAsia="Times New Roman" w:hAnsi="Times New Roman"/>
                <w:sz w:val="16"/>
                <w:szCs w:val="16"/>
                <w:b w:val="1"/>
                <w:bCs w:val="1"/>
                <w:color w:val="auto"/>
              </w:rPr>
              <w:t>Position (a)</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2100" w:type="dxa"/>
            <w:vAlign w:val="bottom"/>
            <w:gridSpan w:val="5"/>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Underlying   Price ($) (e)</w:t>
            </w:r>
          </w:p>
        </w:tc>
        <w:tc>
          <w:tcPr>
            <w:tcW w:w="1060" w:type="dxa"/>
            <w:vAlign w:val="bottom"/>
            <w:gridSpan w:val="2"/>
          </w:tcPr>
          <w:p>
            <w:pPr>
              <w:ind w:left="220"/>
              <w:spacing w:after="0" w:line="175" w:lineRule="exact"/>
              <w:rPr>
                <w:sz w:val="20"/>
                <w:szCs w:val="20"/>
                <w:color w:val="auto"/>
              </w:rPr>
            </w:pPr>
            <w:r>
              <w:rPr>
                <w:rFonts w:ascii="Times New Roman" w:cs="Times New Roman" w:eastAsia="Times New Roman" w:hAnsi="Times New Roman"/>
                <w:sz w:val="16"/>
                <w:szCs w:val="16"/>
                <w:b w:val="1"/>
                <w:bCs w:val="1"/>
                <w:color w:val="auto"/>
              </w:rPr>
              <w:t>Date (f)</w:t>
            </w:r>
          </w:p>
        </w:tc>
        <w:tc>
          <w:tcPr>
            <w:tcW w:w="116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w w:val="99"/>
              </w:rPr>
              <w:t>Units of Stock</w:t>
            </w:r>
          </w:p>
        </w:tc>
        <w:tc>
          <w:tcPr>
            <w:tcW w:w="130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of Stock That</w:t>
            </w:r>
          </w:p>
        </w:tc>
        <w:tc>
          <w:tcPr>
            <w:tcW w:w="128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5"/>
                <w:szCs w:val="15"/>
                <w:color w:val="auto"/>
              </w:rPr>
            </w:pPr>
          </w:p>
        </w:tc>
        <w:tc>
          <w:tcPr>
            <w:tcW w:w="940" w:type="dxa"/>
            <w:vAlign w:val="bottom"/>
          </w:tcPr>
          <w:p>
            <w:pPr>
              <w:jc w:val="center"/>
              <w:ind w:right="32"/>
              <w:spacing w:after="0" w:line="175" w:lineRule="exact"/>
              <w:rPr>
                <w:sz w:val="20"/>
                <w:szCs w:val="20"/>
                <w:color w:val="auto"/>
              </w:rPr>
            </w:pPr>
            <w:r>
              <w:rPr>
                <w:rFonts w:ascii="Times New Roman" w:cs="Times New Roman" w:eastAsia="Times New Roman" w:hAnsi="Times New Roman"/>
                <w:sz w:val="16"/>
                <w:szCs w:val="16"/>
                <w:b w:val="1"/>
                <w:bCs w:val="1"/>
                <w:color w:val="auto"/>
                <w:w w:val="98"/>
              </w:rPr>
              <w:t>Awards:</w:t>
            </w: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That Have Not</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Have not Vested</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6"/>
                <w:szCs w:val="16"/>
                <w:color w:val="auto"/>
              </w:rPr>
            </w:pPr>
          </w:p>
        </w:tc>
        <w:tc>
          <w:tcPr>
            <w:tcW w:w="9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Market or</w:t>
            </w:r>
          </w:p>
        </w:tc>
      </w:tr>
      <w:tr>
        <w:trPr>
          <w:trHeight w:val="176"/>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108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Vested (#) (g)</w:t>
            </w:r>
          </w:p>
        </w:tc>
        <w:tc>
          <w:tcPr>
            <w:tcW w:w="130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w w:val="99"/>
              </w:rPr>
              <w:t>($) (h)</w:t>
            </w:r>
          </w:p>
        </w:tc>
        <w:tc>
          <w:tcPr>
            <w:tcW w:w="1280" w:type="dxa"/>
            <w:vAlign w:val="bottom"/>
            <w:gridSpan w:val="2"/>
          </w:tcPr>
          <w:p>
            <w:pPr>
              <w:jc w:val="center"/>
              <w:ind w:right="60"/>
              <w:spacing w:after="0" w:line="175" w:lineRule="exact"/>
              <w:rPr>
                <w:sz w:val="20"/>
                <w:szCs w:val="20"/>
                <w:color w:val="auto"/>
              </w:rPr>
            </w:pPr>
            <w:r>
              <w:rPr>
                <w:rFonts w:ascii="Times New Roman" w:cs="Times New Roman" w:eastAsia="Times New Roman" w:hAnsi="Times New Roman"/>
                <w:sz w:val="16"/>
                <w:szCs w:val="16"/>
                <w:b w:val="1"/>
                <w:bCs w:val="1"/>
                <w:color w:val="auto"/>
              </w:rPr>
              <w:t>Shares, Units or</w:t>
            </w:r>
          </w:p>
        </w:tc>
        <w:tc>
          <w:tcPr>
            <w:tcW w:w="106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Payout Value</w:t>
            </w: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Unexercisable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Other Rights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of Unearned</w:t>
            </w:r>
          </w:p>
        </w:tc>
      </w:tr>
      <w:tr>
        <w:trPr>
          <w:trHeight w:val="175"/>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 (c)</w:t>
            </w:r>
          </w:p>
        </w:tc>
        <w:tc>
          <w:tcPr>
            <w:tcW w:w="108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 (d)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60"/>
              <w:spacing w:after="0" w:line="175"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06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Shares, Units</w:t>
            </w:r>
          </w:p>
        </w:tc>
      </w:tr>
      <w:tr>
        <w:trPr>
          <w:trHeight w:val="176"/>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60"/>
              <w:spacing w:after="0" w:line="175" w:lineRule="exact"/>
              <w:rPr>
                <w:sz w:val="20"/>
                <w:szCs w:val="20"/>
                <w:color w:val="auto"/>
              </w:rPr>
            </w:pPr>
            <w:r>
              <w:rPr>
                <w:rFonts w:ascii="Times New Roman" w:cs="Times New Roman" w:eastAsia="Times New Roman" w:hAnsi="Times New Roman"/>
                <w:sz w:val="16"/>
                <w:szCs w:val="16"/>
                <w:b w:val="1"/>
                <w:bCs w:val="1"/>
                <w:color w:val="auto"/>
                <w:w w:val="99"/>
              </w:rPr>
              <w:t>Vested (#) (i) (2)</w:t>
            </w:r>
          </w:p>
        </w:tc>
        <w:tc>
          <w:tcPr>
            <w:tcW w:w="120" w:type="dxa"/>
            <w:vAlign w:val="bottom"/>
          </w:tcPr>
          <w:p>
            <w:pPr>
              <w:spacing w:after="0"/>
              <w:rPr>
                <w:sz w:val="15"/>
                <w:szCs w:val="15"/>
                <w:color w:val="auto"/>
              </w:rPr>
            </w:pPr>
          </w:p>
        </w:tc>
        <w:tc>
          <w:tcPr>
            <w:tcW w:w="940" w:type="dxa"/>
            <w:vAlign w:val="bottom"/>
          </w:tcPr>
          <w:p>
            <w:pPr>
              <w:jc w:val="center"/>
              <w:ind w:right="12"/>
              <w:spacing w:after="0" w:line="175" w:lineRule="exact"/>
              <w:rPr>
                <w:sz w:val="20"/>
                <w:szCs w:val="20"/>
                <w:color w:val="auto"/>
              </w:rPr>
            </w:pPr>
            <w:r>
              <w:rPr>
                <w:rFonts w:ascii="Times New Roman" w:cs="Times New Roman" w:eastAsia="Times New Roman" w:hAnsi="Times New Roman"/>
                <w:sz w:val="16"/>
                <w:szCs w:val="16"/>
                <w:b w:val="1"/>
                <w:bCs w:val="1"/>
                <w:color w:val="auto"/>
                <w:w w:val="99"/>
              </w:rPr>
              <w:t>or Other</w:t>
            </w: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Rights That</w:t>
            </w:r>
          </w:p>
        </w:tc>
      </w:tr>
      <w:tr>
        <w:trPr>
          <w:trHeight w:val="175"/>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32"/>
              <w:spacing w:after="0" w:line="175" w:lineRule="exact"/>
              <w:rPr>
                <w:sz w:val="20"/>
                <w:szCs w:val="20"/>
                <w:color w:val="auto"/>
              </w:rPr>
            </w:pPr>
            <w:r>
              <w:rPr>
                <w:rFonts w:ascii="Times New Roman" w:cs="Times New Roman" w:eastAsia="Times New Roman" w:hAnsi="Times New Roman"/>
                <w:sz w:val="16"/>
                <w:szCs w:val="16"/>
                <w:b w:val="1"/>
                <w:bCs w:val="1"/>
                <w:color w:val="auto"/>
              </w:rPr>
              <w:t>Have Not</w:t>
            </w: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Vested ($) (j)</w:t>
            </w:r>
          </w:p>
        </w:tc>
      </w:tr>
      <w:tr>
        <w:trPr>
          <w:trHeight w:val="225"/>
        </w:trPr>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(1) (2)</w:t>
            </w:r>
          </w:p>
        </w:tc>
      </w:tr>
      <w:tr>
        <w:trPr>
          <w:trHeight w:val="198"/>
        </w:trPr>
        <w:tc>
          <w:tcPr>
            <w:tcW w:w="1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Adam</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3/31/2023</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107,605</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593,980</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64,563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356,388</w:t>
            </w:r>
          </w:p>
        </w:tc>
      </w:tr>
      <w:tr>
        <w:trPr>
          <w:trHeight w:val="241"/>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Comora (3)</w:t>
            </w: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4"/>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03/31/2023</w:t>
            </w:r>
          </w:p>
        </w:tc>
        <w:tc>
          <w:tcPr>
            <w:tcW w:w="8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Pr>
          <w:p>
            <w:pPr>
              <w:spacing w:after="0"/>
              <w:rPr>
                <w:sz w:val="20"/>
                <w:szCs w:val="20"/>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03/31/2033</w:t>
            </w:r>
          </w:p>
        </w:tc>
        <w:tc>
          <w:tcPr>
            <w:tcW w:w="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02/25/2019</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1,841,063</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05/15/2019</w:t>
            </w:r>
          </w:p>
        </w:tc>
        <w:tc>
          <w:tcPr>
            <w:tcW w:w="8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613,042</w:t>
            </w:r>
          </w:p>
        </w:tc>
        <w:tc>
          <w:tcPr>
            <w:tcW w:w="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07/24/2020</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935,423</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08/04/2020</w:t>
            </w:r>
          </w:p>
        </w:tc>
        <w:tc>
          <w:tcPr>
            <w:tcW w:w="8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935,423</w:t>
            </w:r>
          </w:p>
        </w:tc>
        <w:tc>
          <w:tcPr>
            <w:tcW w:w="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1"/>
        </w:trPr>
        <w:tc>
          <w:tcPr>
            <w:tcW w:w="116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Jonathan</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3/31/2023</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line="191" w:lineRule="exact"/>
              <w:rPr>
                <w:sz w:val="20"/>
                <w:szCs w:val="20"/>
                <w:color w:val="auto"/>
              </w:rPr>
            </w:pPr>
            <w:r>
              <w:rPr>
                <w:rFonts w:ascii="Times New Roman" w:cs="Times New Roman" w:eastAsia="Times New Roman" w:hAnsi="Times New Roman"/>
                <w:sz w:val="18"/>
                <w:szCs w:val="18"/>
                <w:color w:val="auto"/>
              </w:rPr>
              <w:t>107,605</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593,980</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64,563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356,388</w:t>
            </w:r>
          </w:p>
        </w:tc>
      </w:tr>
      <w:tr>
        <w:trPr>
          <w:trHeight w:val="241"/>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Maurer (3)</w:t>
            </w: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4"/>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03/31/2023</w:t>
            </w:r>
          </w:p>
        </w:tc>
        <w:tc>
          <w:tcPr>
            <w:tcW w:w="8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Pr>
          <w:p>
            <w:pPr>
              <w:spacing w:after="0"/>
              <w:rPr>
                <w:sz w:val="20"/>
                <w:szCs w:val="20"/>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03/31/2033</w:t>
            </w:r>
          </w:p>
        </w:tc>
        <w:tc>
          <w:tcPr>
            <w:tcW w:w="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02/25/2019</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1,227,411</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05/15/2019</w:t>
            </w:r>
          </w:p>
        </w:tc>
        <w:tc>
          <w:tcPr>
            <w:tcW w:w="8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408,707</w:t>
            </w:r>
          </w:p>
        </w:tc>
        <w:tc>
          <w:tcPr>
            <w:tcW w:w="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07/24/2020</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623,734</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08/04/2020</w:t>
            </w:r>
          </w:p>
        </w:tc>
        <w:tc>
          <w:tcPr>
            <w:tcW w:w="8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623,734</w:t>
            </w:r>
          </w:p>
        </w:tc>
        <w:tc>
          <w:tcPr>
            <w:tcW w:w="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1"/>
        </w:trPr>
        <w:tc>
          <w:tcPr>
            <w:tcW w:w="116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John Coghlin</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3/31/2023</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line="191" w:lineRule="exact"/>
              <w:rPr>
                <w:sz w:val="20"/>
                <w:szCs w:val="20"/>
                <w:color w:val="auto"/>
              </w:rPr>
            </w:pPr>
            <w:r>
              <w:rPr>
                <w:rFonts w:ascii="Times New Roman" w:cs="Times New Roman" w:eastAsia="Times New Roman" w:hAnsi="Times New Roman"/>
                <w:sz w:val="18"/>
                <w:szCs w:val="18"/>
                <w:color w:val="auto"/>
              </w:rPr>
              <w:t>82,498</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455,389</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30,130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166,318</w:t>
            </w:r>
          </w:p>
        </w:tc>
      </w:tr>
      <w:tr>
        <w:trPr>
          <w:trHeight w:val="241"/>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4"/>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03/31/2023</w:t>
            </w:r>
          </w:p>
        </w:tc>
        <w:tc>
          <w:tcPr>
            <w:tcW w:w="8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Pr>
          <w:p>
            <w:pPr>
              <w:spacing w:after="0"/>
              <w:rPr>
                <w:sz w:val="20"/>
                <w:szCs w:val="20"/>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03/31/2033</w:t>
            </w:r>
          </w:p>
        </w:tc>
        <w:tc>
          <w:tcPr>
            <w:tcW w:w="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1"/>
        </w:trPr>
        <w:tc>
          <w:tcPr>
            <w:tcW w:w="116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Unger</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3/31/2023</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line="191" w:lineRule="exact"/>
              <w:rPr>
                <w:sz w:val="20"/>
                <w:szCs w:val="20"/>
                <w:color w:val="auto"/>
              </w:rPr>
            </w:pPr>
            <w:r>
              <w:rPr>
                <w:rFonts w:ascii="Times New Roman" w:cs="Times New Roman" w:eastAsia="Times New Roman" w:hAnsi="Times New Roman"/>
                <w:sz w:val="18"/>
                <w:szCs w:val="18"/>
                <w:color w:val="auto"/>
              </w:rPr>
              <w:t>242,111</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1,336,453</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16,141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89,098</w:t>
            </w:r>
          </w:p>
        </w:tc>
      </w:tr>
      <w:tr>
        <w:trPr>
          <w:trHeight w:val="241"/>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4"/>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03/31/2023</w:t>
            </w:r>
          </w:p>
        </w:tc>
        <w:tc>
          <w:tcPr>
            <w:tcW w:w="8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Pr>
          <w:p>
            <w:pPr>
              <w:spacing w:after="0"/>
              <w:rPr>
                <w:sz w:val="20"/>
                <w:szCs w:val="20"/>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03/31/2033</w:t>
            </w:r>
          </w:p>
        </w:tc>
        <w:tc>
          <w:tcPr>
            <w:tcW w:w="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02/25/2019</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306,826</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05/15/2019</w:t>
            </w:r>
          </w:p>
        </w:tc>
        <w:tc>
          <w:tcPr>
            <w:tcW w:w="8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102,168</w:t>
            </w:r>
          </w:p>
        </w:tc>
        <w:tc>
          <w:tcPr>
            <w:tcW w:w="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07/24/2020</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485,413</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08/04/2020</w:t>
            </w:r>
          </w:p>
        </w:tc>
        <w:tc>
          <w:tcPr>
            <w:tcW w:w="8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391,363</w:t>
            </w:r>
          </w:p>
        </w:tc>
        <w:tc>
          <w:tcPr>
            <w:tcW w:w="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8" w:lineRule="exact"/>
        <w:rPr>
          <w:sz w:val="20"/>
          <w:szCs w:val="20"/>
          <w:color w:val="auto"/>
        </w:rPr>
      </w:pPr>
    </w:p>
    <w:p>
      <w:pPr>
        <w:jc w:val="both"/>
        <w:ind w:left="500" w:hanging="494"/>
        <w:spacing w:after="0" w:line="245"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shown in columns (h) and (j) are determined by multiplying the number of shares or units (other than Parent Equity Awards as described in footnotes below) in columns (g) and (i), by $5.52, the closing share price of the Company’s Class A common stock on December 29, 2023, the last trading day of the Company’s fiscal year. The PRSUs shown in Column (i) are 100% of the actual PRSUs granted which is based on achieving target performance goals.</w:t>
      </w:r>
    </w:p>
    <w:p>
      <w:pPr>
        <w:spacing w:after="0" w:line="234" w:lineRule="exact"/>
        <w:rPr>
          <w:rFonts w:ascii="Times New Roman" w:cs="Times New Roman" w:eastAsia="Times New Roman" w:hAnsi="Times New Roman"/>
          <w:sz w:val="18"/>
          <w:szCs w:val="18"/>
          <w:color w:val="auto"/>
        </w:rPr>
      </w:pPr>
    </w:p>
    <w:p>
      <w:pPr>
        <w:jc w:val="both"/>
        <w:ind w:left="500" w:hanging="374"/>
        <w:spacing w:after="0" w:line="245" w:lineRule="auto"/>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Parent Equity Awards (as defined above) shown in column (h) represents the value of the Profits Portion (as defined in footnote 4 below) assuming that (i) all of the equity or assets of Opco were sold for fair market value on December 31, 2023, (ii) the proceeds of such sale were distributed to the equity holders of Opco (which, in turn distributed such amounts to their owners), and (iii) Fortistar received full repayment of its capital contributed to Opco.</w:t>
      </w:r>
    </w:p>
    <w:p>
      <w:pPr>
        <w:spacing w:after="0" w:line="234" w:lineRule="exact"/>
        <w:rPr>
          <w:rFonts w:ascii="Times New Roman" w:cs="Times New Roman" w:eastAsia="Times New Roman" w:hAnsi="Times New Roman"/>
          <w:sz w:val="18"/>
          <w:szCs w:val="18"/>
          <w:color w:val="auto"/>
        </w:rPr>
      </w:pPr>
    </w:p>
    <w:p>
      <w:pPr>
        <w:jc w:val="both"/>
        <w:ind w:left="500" w:hanging="374"/>
        <w:spacing w:after="0" w:line="242" w:lineRule="auto"/>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2023, the Company granted 107,605 RSUs and an option to purchase 57,035 shares of Class A common stock to the recipient, which vest in three equal installments on March 31, 2024, March 31, 2025 and March 31, 2026, subject to acceleration of vesting as described above. The Company granted 64,563 PRSUs which represent achievement of target performance goals for the measurement period between January 1, 2023 to December 31, 2025, and which fully vest on March 31, 2026, subject to acceleration of vesting as described above. All the outstanding awards are subject to continued employment with the Company on the applicable vesting date (as further described above).</w:t>
      </w:r>
    </w:p>
    <w:p>
      <w:pPr>
        <w:spacing w:after="0" w:line="292" w:lineRule="exact"/>
        <w:rPr>
          <w:rFonts w:ascii="Times New Roman" w:cs="Times New Roman" w:eastAsia="Times New Roman" w:hAnsi="Times New Roman"/>
          <w:sz w:val="18"/>
          <w:szCs w:val="18"/>
          <w:color w:val="auto"/>
        </w:rPr>
      </w:pPr>
    </w:p>
    <w:p>
      <w:pPr>
        <w:jc w:val="both"/>
        <w:ind w:left="500" w:hanging="374"/>
        <w:spacing w:after="0" w:line="245" w:lineRule="auto"/>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(as further described above) entitle recipients to indirectly receive a percentage of the profits (“Profits Portion”) received by Fortistar from its investment in Opco, after the repayment of the capital contributed to Opco by Fortistar. The number set forth in the “Number of Shares or Units of Stock That Have Not Vested” column represents, as of December 31, 2023, a percentage of Opco which is approximately equal to such Profits Portion.</w:t>
      </w:r>
    </w:p>
    <w:p>
      <w:pPr>
        <w:spacing w:after="0" w:line="288" w:lineRule="exact"/>
        <w:rPr>
          <w:rFonts w:ascii="Times New Roman" w:cs="Times New Roman" w:eastAsia="Times New Roman" w:hAnsi="Times New Roman"/>
          <w:sz w:val="18"/>
          <w:szCs w:val="18"/>
          <w:color w:val="auto"/>
        </w:rPr>
      </w:pPr>
    </w:p>
    <w:p>
      <w:pPr>
        <w:ind w:left="500" w:right="20" w:hanging="374"/>
        <w:spacing w:after="0" w:line="266" w:lineRule="auto"/>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Parent Equity Award represents a grant to the applicable recipient on February 25, 2019, and which vests ratably on each of the first five (5) anniversaries of the date of grant.</w:t>
      </w:r>
    </w:p>
    <w:p>
      <w:pPr>
        <w:spacing w:after="0" w:line="270" w:lineRule="exact"/>
        <w:rPr>
          <w:rFonts w:ascii="Times New Roman" w:cs="Times New Roman" w:eastAsia="Times New Roman" w:hAnsi="Times New Roman"/>
          <w:sz w:val="18"/>
          <w:szCs w:val="18"/>
          <w:color w:val="auto"/>
        </w:rPr>
      </w:pPr>
    </w:p>
    <w:p>
      <w:pPr>
        <w:ind w:left="500" w:hanging="374"/>
        <w:spacing w:after="0" w:line="266" w:lineRule="auto"/>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Parent Equity Award represents a grant made to the applicable recipient on May 15, 2019, and which vests ratably on each of the first five (5) anniversaries of the date of grant.</w:t>
      </w:r>
    </w:p>
    <w:p>
      <w:pPr>
        <w:spacing w:after="0" w:line="270" w:lineRule="exact"/>
        <w:rPr>
          <w:rFonts w:ascii="Times New Roman" w:cs="Times New Roman" w:eastAsia="Times New Roman" w:hAnsi="Times New Roman"/>
          <w:sz w:val="18"/>
          <w:szCs w:val="18"/>
          <w:color w:val="auto"/>
        </w:rPr>
      </w:pPr>
    </w:p>
    <w:p>
      <w:pPr>
        <w:ind w:left="500" w:hanging="374"/>
        <w:spacing w:after="0" w:line="266" w:lineRule="auto"/>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Parent Equity Award represents a grant made to the applicable recipient on July 24, 2020, and which vests ratably on each of the first five (5) anniversaries of the date of grant.</w:t>
      </w:r>
    </w:p>
    <w:p>
      <w:pPr>
        <w:spacing w:after="0" w:line="270" w:lineRule="exact"/>
        <w:rPr>
          <w:rFonts w:ascii="Times New Roman" w:cs="Times New Roman" w:eastAsia="Times New Roman" w:hAnsi="Times New Roman"/>
          <w:sz w:val="18"/>
          <w:szCs w:val="18"/>
          <w:color w:val="auto"/>
        </w:rPr>
      </w:pPr>
    </w:p>
    <w:p>
      <w:pPr>
        <w:ind w:left="500" w:hanging="374"/>
        <w:spacing w:after="0" w:line="266" w:lineRule="auto"/>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Parent Equity Award represents a grant made to the applicable recipient on August 4, 2020, and which vests ratably on each of the first five (5) anniversaries of the date of grant.</w:t>
      </w:r>
    </w:p>
    <w:p>
      <w:pPr>
        <w:spacing w:after="0" w:line="270" w:lineRule="exact"/>
        <w:rPr>
          <w:rFonts w:ascii="Times New Roman" w:cs="Times New Roman" w:eastAsia="Times New Roman" w:hAnsi="Times New Roman"/>
          <w:sz w:val="18"/>
          <w:szCs w:val="18"/>
          <w:color w:val="auto"/>
        </w:rPr>
      </w:pPr>
    </w:p>
    <w:p>
      <w:pPr>
        <w:jc w:val="both"/>
        <w:ind w:left="500" w:hanging="374"/>
        <w:spacing w:after="0"/>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2023, the Company granted 82,498 RSUs and an option to purchase 26,616 shares of Class A common stock to the recipient, out of which 32,282 RSUs vest in two equal annual installments on March 31, 2024 and March 31, 2025 and 50,216 RSUs vest in three equal annual installments on March 31, 2024, March 31, 2025 and March 31, 2026, subject to acceleration of vesting as described above. The option to purchase 26,616 shares of Class A common stock vest in three equal annual installments on March 31, 2024, March 31, 2025 and March 31, 2026, subject to acceleration of vesting as described above. The Company granted 30,130 PRSUs which represent achievement of target performance goals for the measurement period between January 1, 2023 to December 31, 2025, vest 100% on March 31, 2026, subject to acceleration of vesting as described above. All the outstanding awards are subject to continued employment with the Company on applicable vesting date.</w:t>
      </w:r>
    </w:p>
    <w:p>
      <w:pPr>
        <w:spacing w:after="0" w:line="279" w:lineRule="exact"/>
        <w:rPr>
          <w:sz w:val="20"/>
          <w:szCs w:val="20"/>
          <w:color w:val="auto"/>
        </w:rPr>
      </w:pPr>
    </w:p>
    <w:p>
      <w:pPr>
        <w:jc w:val="both"/>
        <w:ind w:left="500" w:hanging="419"/>
        <w:spacing w:after="0" w:line="24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2023, the Company granted 242,111 RSUs and an option to purchase 14,259 shares of Class A common stock to the recipient, which vest in three equal installments on March 31, 2024, March 31, 2025 and March 31, 2026, subject to acceleration of vesting as described above. The Company granted 16,141 PRSUs which represent achievement of target performance goals for the measurement period between January 1, 2023 to December 31, 2025, vest 100% on March 31, 2026, subject to acceleration of vesting as described above. All the outstanding awards are subject to continued employment with the Company on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40" w:top="1440" w:right="35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019"/>
          </w:cols>
          <w:pgMar w:left="1440" w:top="1440"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Director Compensation Table sets forth the compensation of our directors for the fiscal year ending December 31, 2023.</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8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Fee earned or</w:t>
            </w:r>
          </w:p>
        </w:tc>
        <w:tc>
          <w:tcPr>
            <w:tcW w:w="1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paid in cash ($)</w:t>
            </w:r>
          </w:p>
        </w:tc>
        <w:tc>
          <w:tcPr>
            <w:tcW w:w="1300" w:type="dxa"/>
            <w:vAlign w:val="bottom"/>
            <w:gridSpan w:val="2"/>
            <w:vMerge w:val="continue"/>
            <w:shd w:val="clear" w:color="auto" w:fill="CCEEFF"/>
          </w:tcPr>
          <w:p>
            <w:pPr>
              <w:spacing w:after="0"/>
              <w:rPr>
                <w:sz w:val="15"/>
                <w:szCs w:val="15"/>
                <w:color w:val="auto"/>
              </w:rPr>
            </w:pPr>
          </w:p>
        </w:tc>
        <w:tc>
          <w:tcPr>
            <w:tcW w:w="2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43"/>
        </w:trPr>
        <w:tc>
          <w:tcPr>
            <w:tcW w:w="284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(2)</w:t>
            </w:r>
          </w:p>
        </w:tc>
        <w:tc>
          <w:tcPr>
            <w:tcW w:w="120" w:type="dxa"/>
            <w:vAlign w:val="bottom"/>
            <w:shd w:val="clear" w:color="auto" w:fill="CCEEFF"/>
          </w:tcPr>
          <w:p>
            <w:pPr>
              <w:spacing w:after="0"/>
              <w:rPr>
                <w:sz w:val="21"/>
                <w:szCs w:val="21"/>
                <w:color w:val="auto"/>
              </w:rPr>
            </w:pPr>
          </w:p>
        </w:tc>
        <w:tc>
          <w:tcPr>
            <w:tcW w:w="23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Comora, Chairman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Betsy Battle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Dols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Fogarty</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Marco F Gatti (3)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171,882</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Martell (4)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102,826</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140,944</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Nadeem Nisar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Ashok Vemuri</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1,047,826</w:t>
            </w:r>
          </w:p>
        </w:tc>
        <w:tc>
          <w:tcPr>
            <w:tcW w:w="120" w:type="dxa"/>
            <w:vAlign w:val="bottom"/>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1,562,826</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560" w:hanging="534"/>
        <w:spacing w:after="0" w:line="250"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are the fees earned for the year for our Directors which includes a base fee of $60,000 as well as additional fees of $15,000 and $10,000, respectively for participation in the Audit and Compensation Committees, respectively.</w:t>
      </w:r>
    </w:p>
    <w:p>
      <w:pPr>
        <w:spacing w:after="0" w:line="311" w:lineRule="exact"/>
        <w:rPr>
          <w:rFonts w:ascii="Times New Roman" w:cs="Times New Roman" w:eastAsia="Times New Roman" w:hAnsi="Times New Roman"/>
          <w:sz w:val="18"/>
          <w:szCs w:val="18"/>
          <w:color w:val="auto"/>
        </w:rPr>
      </w:pPr>
    </w:p>
    <w:p>
      <w:pPr>
        <w:jc w:val="both"/>
        <w:ind w:left="560" w:hanging="534"/>
        <w:spacing w:after="0" w:line="256"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31, 2023, the Company granted 19,369 time-based restricted stock units convertible into Class A common stock to each of the non-employee directors except Mr.Martell which vest 100% on March 31, 2024. The amounts shown above reflect the aggregate grant date fair value of such awards computed in accordance with the FASB’s ASC Topic 718. The assumptions used in calculating these amounts are incorporated herein by reference to Note 17.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to the Company’s consolidated financial statements, set forth in our Annual Report on Form 10-K for the year ended December 31, 2023. Other than these Restricted Stock Units, our non-employee directors hold no other equity incentive awards.</w:t>
      </w:r>
    </w:p>
    <w:p>
      <w:pPr>
        <w:spacing w:after="0" w:line="241" w:lineRule="exact"/>
        <w:rPr>
          <w:rFonts w:ascii="Times New Roman" w:cs="Times New Roman" w:eastAsia="Times New Roman" w:hAnsi="Times New Roman"/>
          <w:sz w:val="18"/>
          <w:szCs w:val="18"/>
          <w:color w:val="auto"/>
        </w:rPr>
      </w:pPr>
    </w:p>
    <w:p>
      <w:pPr>
        <w:ind w:left="560" w:hanging="534"/>
        <w:spacing w:after="0" w:line="282"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Gatti resigned as a Director effective June 28, 2023. The amount of fees paid in cash represents the fees earned pro-rata between January 2023 and June 2023. Mr. Gatti forfeited the equity awards issued to him during the fiscal year ended December 31, 2023 upon his resignation.</w:t>
      </w:r>
    </w:p>
    <w:p>
      <w:pPr>
        <w:spacing w:after="0" w:line="256" w:lineRule="exact"/>
        <w:rPr>
          <w:rFonts w:ascii="Times New Roman" w:cs="Times New Roman" w:eastAsia="Times New Roman" w:hAnsi="Times New Roman"/>
          <w:sz w:val="18"/>
          <w:szCs w:val="18"/>
          <w:color w:val="auto"/>
        </w:rPr>
      </w:pPr>
    </w:p>
    <w:p>
      <w:pPr>
        <w:jc w:val="both"/>
        <w:ind w:left="560" w:hanging="534"/>
        <w:spacing w:after="0" w:line="256"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Martell joined the Company as a Director effective June 28, 2023. The amount of fees paid in cash represents the fees earned pro-rata between June 2023 and December 2023. On June 28, 2023, Mr. Martell was awarded 13,933 Restricted Stock Units convertible into Class A common stock which will vest 100% on June 28, 2024 subject to his continued employment on the vesting date. The amounts shown above reflect the aggregate grant date fair value of such awards computed in accordance with the FASB’s ASC Topic 718. The assumptions used in calculating these amounts are incorporated herein by reference to Note 17.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to the Company’s consolidated financial statements, set forth in our Annual Report on Form 10-K for the year ended December 31, 2023.</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All non-employee directors are paid as members of our Board, and, if applicable, as members of any committee of our Board, certain annual retainers as determined by our Board.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2023 non-employee director compensation policy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400" w:right="359" w:bottom="1440" w:gutter="0" w:footer="0" w:header="0"/>
        </w:sectPr>
      </w:pPr>
    </w:p>
    <w:bookmarkStart w:id="32" w:name="page33"/>
    <w:bookmarkEnd w:id="32"/>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Each non-employee director shall be entitled to an annual cash retainer in the amount of $60,000. For each committee of our Board upon which a non-employee director serves as a member, he or she shall be entitled to receive an additional cash retainer in the amount of $10,000 (or $15,000 in the case of the Audit Committee). For each committee upon which a non-employee director serves as both a member and a chairperson, such director shall be entitled to receive an additional payment in the amount of $5,000.</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an annual basis, each non-employee director shall be entitled to receive an equity award in the form of restricted stock units of OPAL Fuels. The number of shares subject to such awards shall be determined by dividing $135,000 by the Fair Market Value (as defined in our 2022 Omnibus Equity Incentive Plan (or its successor plan)) of our common stock on the date of grant of such award.</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non-employee director will also be reimbursed for reasonable travel and other business expenses incurred in connection with attending meetings of our Board and its committees.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one active equity compensation plan, our Equity Incentive Plan. The Equity Incentive Plan provides for the grant of stock options (incentive and non-qualified), stock awards (including restricted stock units and performance restricted stock units), stock appreciation rights and cash awards. We have reserved an aggregate 19,811,726 shares of common stock for issuance under our Equity Incentive Plan, plus an annual increase on the first day of each calendar year during the 10-year term of the Equity Incentive Plan, equal to the lesser of (i) five percent (5%) of the shares of our Class A common stock, Class B common stock, Class C common stock and Class D common stock outstanding (on an as-converted basis) on the final day of the immediately preceding calendar year and (ii) such lesser number of shares as determined by our Board, subject to adjustment for stock dividends, reorganizations, or other changes in our capital structure. Shares underlying any portion of an award that is cancelled, terminates, expires, or lapses for any reason are generally returned to the available pool under the Equity Incentive Plan. Shares attributable to (a) shares of common stock upon the exercise of incentive stock options that are subsequently forfeited or repurchased, or (b) awards transferred under any award transfer program, shall not again be available for grant under the Equity Incentive Plan.</w:t>
      </w:r>
    </w:p>
    <w:p>
      <w:pPr>
        <w:spacing w:after="0" w:line="2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number of shares of common stock subject to outstanding options, restricted stock units, performance restricted stock units, warrants and other convertible securities into share rights, the weighted-average exercise price of outstanding options, and the number of shares remaining available for future award grants as of December 31, 2023.</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 Number of securities to be issued</w:t>
            </w:r>
          </w:p>
        </w:tc>
        <w:tc>
          <w:tcPr>
            <w:tcW w:w="1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 Weighted-</w:t>
            </w:r>
          </w:p>
        </w:tc>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 Number of securities remaining for</w:t>
            </w:r>
          </w:p>
        </w:tc>
      </w:tr>
      <w:tr>
        <w:trPr>
          <w:trHeight w:val="203"/>
        </w:trPr>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upon exercise of outstanding restricted</w:t>
            </w:r>
          </w:p>
        </w:tc>
        <w:tc>
          <w:tcPr>
            <w:tcW w:w="7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average</w:t>
            </w:r>
          </w:p>
        </w:tc>
        <w:tc>
          <w:tcPr>
            <w:tcW w:w="440" w:type="dxa"/>
            <w:vAlign w:val="bottom"/>
            <w:shd w:val="clear" w:color="auto" w:fill="CCEEFF"/>
          </w:tcPr>
          <w:p>
            <w:pPr>
              <w:spacing w:after="0"/>
              <w:rPr>
                <w:sz w:val="17"/>
                <w:szCs w:val="17"/>
                <w:color w:val="auto"/>
              </w:rPr>
            </w:pPr>
          </w:p>
        </w:tc>
        <w:tc>
          <w:tcPr>
            <w:tcW w:w="35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future issuance under equity compensation</w:t>
            </w:r>
          </w:p>
        </w:tc>
      </w:tr>
      <w:tr>
        <w:trPr>
          <w:trHeight w:val="203"/>
        </w:trPr>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stock units, options, warrants and rights</w:t>
            </w:r>
          </w:p>
        </w:tc>
        <w:tc>
          <w:tcPr>
            <w:tcW w:w="118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35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plans (excluding securities reflected in</w:t>
            </w:r>
          </w:p>
        </w:tc>
      </w:tr>
      <w:tr>
        <w:trPr>
          <w:trHeight w:val="203"/>
        </w:trPr>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(1)</w:t>
            </w:r>
          </w:p>
        </w:tc>
        <w:tc>
          <w:tcPr>
            <w:tcW w:w="118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of outstanding</w:t>
            </w:r>
          </w:p>
        </w:tc>
        <w:tc>
          <w:tcPr>
            <w:tcW w:w="35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Column (A) )</w:t>
            </w:r>
          </w:p>
        </w:tc>
      </w:tr>
      <w:tr>
        <w:trPr>
          <w:trHeight w:val="113"/>
        </w:trPr>
        <w:tc>
          <w:tcPr>
            <w:tcW w:w="3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160" w:type="dxa"/>
            <w:vAlign w:val="bottom"/>
            <w:shd w:val="clear" w:color="auto" w:fill="CCEEFF"/>
          </w:tcPr>
          <w:p>
            <w:pPr>
              <w:spacing w:after="0"/>
              <w:rPr>
                <w:sz w:val="9"/>
                <w:szCs w:val="9"/>
                <w:color w:val="auto"/>
              </w:rPr>
            </w:pPr>
          </w:p>
        </w:tc>
        <w:tc>
          <w:tcPr>
            <w:tcW w:w="740" w:type="dxa"/>
            <w:vAlign w:val="bottom"/>
            <w:shd w:val="clear" w:color="auto" w:fill="CCEEFF"/>
          </w:tcPr>
          <w:p>
            <w:pPr>
              <w:ind w:left="40"/>
              <w:spacing w:after="0" w:line="113" w:lineRule="exact"/>
              <w:rPr>
                <w:sz w:val="20"/>
                <w:szCs w:val="20"/>
                <w:color w:val="auto"/>
              </w:rPr>
            </w:pPr>
            <w:r>
              <w:rPr>
                <w:rFonts w:ascii="Times New Roman" w:cs="Times New Roman" w:eastAsia="Times New Roman" w:hAnsi="Times New Roman"/>
                <w:sz w:val="13"/>
                <w:szCs w:val="13"/>
                <w:b w:val="1"/>
                <w:bCs w:val="1"/>
                <w:color w:val="auto"/>
              </w:rPr>
              <w:t>options,</w:t>
            </w:r>
          </w:p>
        </w:tc>
        <w:tc>
          <w:tcPr>
            <w:tcW w:w="440" w:type="dxa"/>
            <w:vAlign w:val="bottom"/>
            <w:shd w:val="clear" w:color="auto" w:fill="CCEEFF"/>
          </w:tcPr>
          <w:p>
            <w:pPr>
              <w:spacing w:after="0"/>
              <w:rPr>
                <w:sz w:val="9"/>
                <w:szCs w:val="9"/>
                <w:color w:val="auto"/>
              </w:rPr>
            </w:pPr>
          </w:p>
        </w:tc>
        <w:tc>
          <w:tcPr>
            <w:tcW w:w="3500" w:type="dxa"/>
            <w:vAlign w:val="bottom"/>
            <w:shd w:val="clear" w:color="auto" w:fill="CCEEFF"/>
          </w:tcPr>
          <w:p>
            <w:pPr>
              <w:spacing w:after="0"/>
              <w:rPr>
                <w:sz w:val="9"/>
                <w:szCs w:val="9"/>
                <w:color w:val="auto"/>
              </w:rPr>
            </w:pPr>
          </w:p>
        </w:tc>
      </w:tr>
      <w:tr>
        <w:trPr>
          <w:trHeight w:val="184"/>
        </w:trPr>
        <w:tc>
          <w:tcPr>
            <w:tcW w:w="3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warrants and</w:t>
            </w:r>
          </w:p>
        </w:tc>
        <w:tc>
          <w:tcPr>
            <w:tcW w:w="3500" w:type="dxa"/>
            <w:vAlign w:val="bottom"/>
            <w:shd w:val="clear" w:color="auto" w:fill="CCEEFF"/>
          </w:tcPr>
          <w:p>
            <w:pPr>
              <w:spacing w:after="0"/>
              <w:rPr>
                <w:sz w:val="16"/>
                <w:szCs w:val="16"/>
                <w:color w:val="auto"/>
              </w:rPr>
            </w:pPr>
          </w:p>
        </w:tc>
      </w:tr>
      <w:tr>
        <w:trPr>
          <w:trHeight w:val="230"/>
        </w:trPr>
        <w:tc>
          <w:tcPr>
            <w:tcW w:w="3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440" w:type="dxa"/>
            <w:vAlign w:val="bottom"/>
            <w:tcBorders>
              <w:bottom w:val="single" w:sz="8" w:color="auto"/>
            </w:tcBorders>
            <w:shd w:val="clear" w:color="auto" w:fill="CCEEFF"/>
          </w:tcPr>
          <w:p>
            <w:pPr>
              <w:spacing w:after="0"/>
              <w:rPr>
                <w:sz w:val="19"/>
                <w:szCs w:val="19"/>
                <w:color w:val="auto"/>
              </w:rPr>
            </w:pPr>
          </w:p>
        </w:tc>
        <w:tc>
          <w:tcPr>
            <w:tcW w:w="3500" w:type="dxa"/>
            <w:vAlign w:val="bottom"/>
            <w:tcBorders>
              <w:bottom w:val="single" w:sz="8" w:color="auto"/>
            </w:tcBorders>
            <w:shd w:val="clear" w:color="auto" w:fill="CCEEFF"/>
          </w:tcPr>
          <w:p>
            <w:pPr>
              <w:spacing w:after="0"/>
              <w:rPr>
                <w:sz w:val="19"/>
                <w:szCs w:val="19"/>
                <w:color w:val="auto"/>
              </w:rPr>
            </w:pPr>
          </w:p>
        </w:tc>
      </w:tr>
      <w:tr>
        <w:trPr>
          <w:trHeight w:val="191"/>
        </w:trPr>
        <w:tc>
          <w:tcPr>
            <w:tcW w:w="33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 approved by stock</w:t>
            </w:r>
          </w:p>
        </w:tc>
        <w:tc>
          <w:tcPr>
            <w:tcW w:w="100" w:type="dxa"/>
            <w:vAlign w:val="bottom"/>
          </w:tcPr>
          <w:p>
            <w:pPr>
              <w:spacing w:after="0"/>
              <w:rPr>
                <w:sz w:val="16"/>
                <w:szCs w:val="16"/>
                <w:color w:val="auto"/>
              </w:rPr>
            </w:pPr>
          </w:p>
        </w:tc>
        <w:tc>
          <w:tcPr>
            <w:tcW w:w="3160" w:type="dxa"/>
            <w:vAlign w:val="bottom"/>
          </w:tcPr>
          <w:p>
            <w:pPr>
              <w:ind w:left="2260"/>
              <w:spacing w:after="0" w:line="191" w:lineRule="exact"/>
              <w:rPr>
                <w:sz w:val="20"/>
                <w:szCs w:val="20"/>
                <w:color w:val="auto"/>
              </w:rPr>
            </w:pPr>
            <w:r>
              <w:rPr>
                <w:rFonts w:ascii="Times New Roman" w:cs="Times New Roman" w:eastAsia="Times New Roman" w:hAnsi="Times New Roman"/>
                <w:sz w:val="18"/>
                <w:szCs w:val="18"/>
                <w:color w:val="auto"/>
              </w:rPr>
              <w:t>1,365,506</w:t>
            </w:r>
          </w:p>
        </w:tc>
        <w:tc>
          <w:tcPr>
            <w:tcW w:w="7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6.97</w:t>
            </w:r>
          </w:p>
        </w:tc>
        <w:tc>
          <w:tcPr>
            <w:tcW w:w="3500" w:type="dxa"/>
            <w:vAlign w:val="bottom"/>
          </w:tcPr>
          <w:p>
            <w:pPr>
              <w:ind w:left="2620"/>
              <w:spacing w:after="0" w:line="191" w:lineRule="exact"/>
              <w:rPr>
                <w:sz w:val="20"/>
                <w:szCs w:val="20"/>
                <w:color w:val="auto"/>
              </w:rPr>
            </w:pPr>
            <w:r>
              <w:rPr>
                <w:rFonts w:ascii="Times New Roman" w:cs="Times New Roman" w:eastAsia="Times New Roman" w:hAnsi="Times New Roman"/>
                <w:sz w:val="18"/>
                <w:szCs w:val="18"/>
                <w:color w:val="auto"/>
              </w:rPr>
              <w:t>18,446,220</w:t>
            </w:r>
          </w:p>
        </w:tc>
      </w:tr>
      <w:tr>
        <w:trPr>
          <w:trHeight w:val="23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3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198"/>
        </w:trPr>
        <w:tc>
          <w:tcPr>
            <w:tcW w:w="34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3160" w:type="dxa"/>
            <w:vAlign w:val="bottom"/>
            <w:shd w:val="clear" w:color="auto" w:fill="CCEEFF"/>
          </w:tcPr>
          <w:p>
            <w:pPr>
              <w:ind w:left="28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3300"/>
              <w:spacing w:after="0" w:line="198" w:lineRule="exact"/>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3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r>
      <w:tr>
        <w:trPr>
          <w:trHeight w:val="27"/>
        </w:trPr>
        <w:tc>
          <w:tcPr>
            <w:tcW w:w="3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8" w:lineRule="exact"/>
        <w:rPr>
          <w:sz w:val="20"/>
          <w:szCs w:val="20"/>
          <w:color w:val="auto"/>
        </w:rPr>
      </w:pPr>
    </w:p>
    <w:p>
      <w:pPr>
        <w:ind w:left="520" w:right="40" w:hanging="494"/>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949,936 shares subject to outstanding restricted stock units and performance stock units under the Equity Incentive Plan. The weighted average exercise price in column (B) does not take these restricted stock units and performance restricted stock units into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our Class A common stock, Class B common stock and Class D common stock by:</w:t>
      </w:r>
    </w:p>
    <w:p>
      <w:pPr>
        <w:spacing w:after="0" w:line="189" w:lineRule="exact"/>
        <w:rPr>
          <w:sz w:val="20"/>
          <w:szCs w:val="20"/>
          <w:color w:val="auto"/>
        </w:rPr>
      </w:pPr>
    </w:p>
    <w:p>
      <w:pPr>
        <w:ind w:left="660" w:hanging="328"/>
        <w:spacing w:after="0" w:line="266" w:lineRule="auto"/>
        <w:tabs>
          <w:tab w:leader="none" w:pos="6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Class A common stock, Class B common stock or Class D common stock;</w:t>
      </w:r>
    </w:p>
    <w:p>
      <w:pPr>
        <w:spacing w:after="0" w:line="18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23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39" w:lineRule="exact"/>
        <w:rPr>
          <w:sz w:val="20"/>
          <w:szCs w:val="20"/>
          <w:color w:val="auto"/>
        </w:rPr>
      </w:pPr>
    </w:p>
    <w:p>
      <w:pPr>
        <w:jc w:val="both"/>
        <w:ind w:firstLine="803"/>
        <w:spacing w:after="0"/>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annual report.</w:t>
      </w:r>
    </w:p>
    <w:p>
      <w:pPr>
        <w:spacing w:after="0" w:line="212" w:lineRule="exact"/>
        <w:rPr>
          <w:sz w:val="20"/>
          <w:szCs w:val="20"/>
          <w:color w:val="auto"/>
        </w:rPr>
      </w:pPr>
    </w:p>
    <w:p>
      <w:pPr>
        <w:jc w:val="both"/>
        <w:ind w:right="20" w:firstLine="803"/>
        <w:spacing w:after="0" w:line="266" w:lineRule="auto"/>
        <w:rPr>
          <w:sz w:val="20"/>
          <w:szCs w:val="20"/>
          <w:color w:val="auto"/>
        </w:rPr>
      </w:pPr>
      <w:r>
        <w:rPr>
          <w:rFonts w:ascii="Times New Roman" w:cs="Times New Roman" w:eastAsia="Times New Roman" w:hAnsi="Times New Roman"/>
          <w:sz w:val="18"/>
          <w:szCs w:val="18"/>
          <w:color w:val="auto"/>
        </w:rPr>
        <w:t>Except as described in the footnotes below and subject to applicable community property laws and similar laws, the Company believes that each person listed above has sole voting and investment power with respect to such shares.</w:t>
      </w:r>
    </w:p>
    <w:p>
      <w:pPr>
        <w:spacing w:after="0" w:line="189" w:lineRule="exact"/>
        <w:rPr>
          <w:sz w:val="20"/>
          <w:szCs w:val="20"/>
          <w:color w:val="auto"/>
        </w:rPr>
      </w:pPr>
    </w:p>
    <w:p>
      <w:pPr>
        <w:jc w:val="both"/>
        <w:ind w:firstLine="803"/>
        <w:spacing w:after="0" w:line="242" w:lineRule="auto"/>
        <w:rPr>
          <w:sz w:val="20"/>
          <w:szCs w:val="20"/>
          <w:color w:val="auto"/>
        </w:rPr>
      </w:pPr>
      <w:r>
        <w:rPr>
          <w:rFonts w:ascii="Times New Roman" w:cs="Times New Roman" w:eastAsia="Times New Roman" w:hAnsi="Times New Roman"/>
          <w:sz w:val="18"/>
          <w:szCs w:val="18"/>
          <w:color w:val="auto"/>
        </w:rPr>
        <w:t>The beneficial ownership of our common stock is based on 28,386,505 shares of our Class A common stock issued and outstanding, 71,500,000 shares of Class B common stock and 72,899,037 shares of our Class D common stock issued and outstanding as of April 19, 2024. When computing the number of shares of common stock beneficially owned and the percentage ownership of a person, we include shares of common stock underlying securities held by that person that are convertible or exercisable or will become convertible or exercisable within 60 days of April 19, 2024, but we do not include those shares of common stock underlying such securities when computing the percentage ownership of any other person.</w:t>
      </w:r>
    </w:p>
    <w:p>
      <w:pPr>
        <w:spacing w:after="0" w:line="212" w:lineRule="exact"/>
        <w:rPr>
          <w:sz w:val="20"/>
          <w:szCs w:val="20"/>
          <w:color w:val="auto"/>
        </w:rPr>
      </w:pPr>
    </w:p>
    <w:p>
      <w:pPr>
        <w:ind w:right="2840" w:firstLine="803"/>
        <w:spacing w:after="0" w:line="261" w:lineRule="auto"/>
        <w:rPr>
          <w:sz w:val="20"/>
          <w:szCs w:val="20"/>
          <w:color w:val="auto"/>
        </w:rPr>
      </w:pPr>
      <w:r>
        <w:rPr>
          <w:rFonts w:ascii="Times New Roman" w:cs="Times New Roman" w:eastAsia="Times New Roman" w:hAnsi="Times New Roman"/>
          <w:sz w:val="18"/>
          <w:szCs w:val="18"/>
          <w:color w:val="auto"/>
        </w:rPr>
        <w:t>Each share of our Class A common stock and Class B common stock is entitled to one vote per share and each share of our Class D common stock is entitled to five votes per share. On March 12, 2024, Fortistar, through its</w:t>
      </w:r>
    </w:p>
    <w:p>
      <w:pPr>
        <w:jc w:val="both"/>
        <w:spacing w:after="0" w:line="255" w:lineRule="auto"/>
        <w:rPr>
          <w:sz w:val="20"/>
          <w:szCs w:val="20"/>
          <w:color w:val="auto"/>
        </w:rPr>
      </w:pPr>
      <w:r>
        <w:rPr>
          <w:rFonts w:ascii="Times New Roman" w:cs="Times New Roman" w:eastAsia="Times New Roman" w:hAnsi="Times New Roman"/>
          <w:sz w:val="18"/>
          <w:szCs w:val="18"/>
          <w:color w:val="auto"/>
        </w:rPr>
        <w:t>subsidiary OPAL Holdco, converted 71,500,000 shares of Class D common stock of the Company held by it for an equal number of shares of newly issued Class B common stock. As a result, on the Record Date, there were 464,381,690 votes eligible to be cast, consisting of (i) 28,386,505 votes for our Class A common stock, (ii) 71,500,000 votes for our Class B common stock and (iii) 364,495,185 votes for our Class D common stock.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w:t>
            </w:r>
          </w:p>
        </w:tc>
        <w:tc>
          <w:tcPr>
            <w:tcW w:w="1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of Class A Number of Class</w:t>
            </w:r>
          </w:p>
        </w:tc>
        <w:tc>
          <w:tcPr>
            <w:tcW w:w="11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Class</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 of Class 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of Total</w:t>
            </w:r>
          </w:p>
        </w:tc>
      </w:tr>
      <w:tr>
        <w:trPr>
          <w:trHeight w:val="190"/>
        </w:trPr>
        <w:tc>
          <w:tcPr>
            <w:tcW w:w="2480" w:type="dxa"/>
            <w:vAlign w:val="bottom"/>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b w:val="1"/>
                <w:bCs w:val="1"/>
                <w:color w:val="auto"/>
              </w:rPr>
              <w:t xml:space="preserve">Beneficial Owners </w:t>
            </w:r>
            <w:r>
              <w:rPr>
                <w:rFonts w:ascii="Times New Roman" w:cs="Times New Roman" w:eastAsia="Times New Roman" w:hAnsi="Times New Roman"/>
                <w:sz w:val="22"/>
                <w:szCs w:val="22"/>
                <w:b w:val="1"/>
                <w:bCs w:val="1"/>
                <w:color w:val="auto"/>
                <w:vertAlign w:val="superscript"/>
              </w:rPr>
              <w:t>(1)</w:t>
            </w:r>
          </w:p>
        </w:tc>
        <w:tc>
          <w:tcPr>
            <w:tcW w:w="1360" w:type="dxa"/>
            <w:vAlign w:val="bottom"/>
            <w:gridSpan w:val="2"/>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8"/>
                <w:szCs w:val="18"/>
                <w:b w:val="1"/>
                <w:bCs w:val="1"/>
                <w:color w:val="auto"/>
                <w:w w:val="99"/>
              </w:rPr>
              <w:t>Class A</w:t>
            </w:r>
          </w:p>
        </w:tc>
        <w:tc>
          <w:tcPr>
            <w:tcW w:w="10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common</w:t>
            </w:r>
          </w:p>
        </w:tc>
        <w:tc>
          <w:tcPr>
            <w:tcW w:w="144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rPr>
              <w:t>B common stock</w:t>
            </w:r>
          </w:p>
        </w:tc>
        <w:tc>
          <w:tcPr>
            <w:tcW w:w="1100" w:type="dxa"/>
            <w:vAlign w:val="bottom"/>
            <w:gridSpan w:val="2"/>
            <w:shd w:val="clear" w:color="auto" w:fill="CCEEFF"/>
          </w:tcPr>
          <w:p>
            <w:pPr>
              <w:jc w:val="center"/>
              <w:ind w:right="60"/>
              <w:spacing w:after="0" w:line="190" w:lineRule="exact"/>
              <w:rPr>
                <w:sz w:val="20"/>
                <w:szCs w:val="20"/>
                <w:color w:val="auto"/>
              </w:rPr>
            </w:pPr>
            <w:r>
              <w:rPr>
                <w:rFonts w:ascii="Times New Roman" w:cs="Times New Roman" w:eastAsia="Times New Roman" w:hAnsi="Times New Roman"/>
                <w:sz w:val="18"/>
                <w:szCs w:val="18"/>
                <w:b w:val="1"/>
                <w:bCs w:val="1"/>
                <w:color w:val="auto"/>
              </w:rPr>
              <w:t>B common</w:t>
            </w:r>
          </w:p>
        </w:tc>
        <w:tc>
          <w:tcPr>
            <w:tcW w:w="1460" w:type="dxa"/>
            <w:vAlign w:val="bottom"/>
            <w:gridSpan w:val="2"/>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8"/>
                <w:szCs w:val="18"/>
                <w:b w:val="1"/>
                <w:bCs w:val="1"/>
                <w:color w:val="auto"/>
                <w:w w:val="99"/>
              </w:rPr>
              <w:t>D common stock</w:t>
            </w:r>
          </w:p>
        </w:tc>
        <w:tc>
          <w:tcPr>
            <w:tcW w:w="122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8"/>
                <w:szCs w:val="18"/>
                <w:b w:val="1"/>
                <w:bCs w:val="1"/>
                <w:color w:val="auto"/>
                <w:w w:val="99"/>
              </w:rPr>
              <w:t>common</w:t>
            </w:r>
          </w:p>
        </w:tc>
        <w:tc>
          <w:tcPr>
            <w:tcW w:w="11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8"/>
              </w:rPr>
              <w:t>Voting Power</w:t>
            </w:r>
          </w:p>
        </w:tc>
      </w:tr>
      <w:tr>
        <w:trPr>
          <w:trHeight w:val="203"/>
        </w:trPr>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stock</w:t>
            </w:r>
          </w:p>
        </w:tc>
        <w:tc>
          <w:tcPr>
            <w:tcW w:w="14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gridSpan w:val="2"/>
            <w:shd w:val="clear" w:color="auto" w:fill="CCEEFF"/>
          </w:tcPr>
          <w:p>
            <w:pPr>
              <w:jc w:val="center"/>
              <w:ind w:right="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stock</w:t>
            </w:r>
          </w:p>
        </w:tc>
        <w:tc>
          <w:tcPr>
            <w:tcW w:w="1460" w:type="dxa"/>
            <w:vAlign w:val="bottom"/>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20" w:type="dxa"/>
            <w:vAlign w:val="bottom"/>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stock</w:t>
            </w:r>
          </w:p>
        </w:tc>
        <w:tc>
          <w:tcPr>
            <w:tcW w:w="1120" w:type="dxa"/>
            <w:vAlign w:val="bottom"/>
            <w:shd w:val="clear" w:color="auto" w:fill="CCEEFF"/>
          </w:tcPr>
          <w:p>
            <w:pPr>
              <w:spacing w:after="0"/>
              <w:rPr>
                <w:sz w:val="17"/>
                <w:szCs w:val="17"/>
                <w:color w:val="auto"/>
              </w:rPr>
            </w:pPr>
          </w:p>
        </w:tc>
      </w:tr>
      <w:tr>
        <w:trPr>
          <w:trHeight w:val="203"/>
        </w:trPr>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owned (1 vote</w:t>
            </w:r>
          </w:p>
        </w:tc>
        <w:tc>
          <w:tcPr>
            <w:tcW w:w="1100" w:type="dxa"/>
            <w:vAlign w:val="bottom"/>
            <w:gridSpan w:val="2"/>
            <w:shd w:val="clear" w:color="auto" w:fill="CCEEFF"/>
          </w:tcPr>
          <w:p>
            <w:pPr>
              <w:jc w:val="center"/>
              <w:ind w:right="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60" w:type="dxa"/>
            <w:vAlign w:val="bottom"/>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owned (5 votes</w:t>
            </w:r>
          </w:p>
        </w:tc>
        <w:tc>
          <w:tcPr>
            <w:tcW w:w="1220" w:type="dxa"/>
            <w:vAlign w:val="bottom"/>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shd w:val="clear" w:color="auto" w:fill="CCEEFF"/>
          </w:tcPr>
          <w:p>
            <w:pPr>
              <w:spacing w:after="0"/>
              <w:rPr>
                <w:sz w:val="17"/>
                <w:szCs w:val="17"/>
                <w:color w:val="auto"/>
              </w:rPr>
            </w:pPr>
          </w:p>
        </w:tc>
      </w:tr>
      <w:tr>
        <w:trPr>
          <w:trHeight w:val="203"/>
        </w:trPr>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owned (1 vote</w:t>
            </w:r>
          </w:p>
        </w:tc>
        <w:tc>
          <w:tcPr>
            <w:tcW w:w="10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owned</w:t>
            </w:r>
          </w:p>
        </w:tc>
        <w:tc>
          <w:tcPr>
            <w:tcW w:w="14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 share)</w:t>
            </w:r>
          </w:p>
        </w:tc>
        <w:tc>
          <w:tcPr>
            <w:tcW w:w="110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owned</w:t>
            </w:r>
          </w:p>
        </w:tc>
        <w:tc>
          <w:tcPr>
            <w:tcW w:w="14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 share)</w:t>
            </w:r>
          </w:p>
        </w:tc>
        <w:tc>
          <w:tcPr>
            <w:tcW w:w="122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owned</w:t>
            </w:r>
          </w:p>
        </w:tc>
        <w:tc>
          <w:tcPr>
            <w:tcW w:w="1120" w:type="dxa"/>
            <w:vAlign w:val="bottom"/>
            <w:shd w:val="clear" w:color="auto" w:fill="CCEEFF"/>
          </w:tcPr>
          <w:p>
            <w:pPr>
              <w:spacing w:after="0"/>
              <w:rPr>
                <w:sz w:val="17"/>
                <w:szCs w:val="17"/>
                <w:color w:val="auto"/>
              </w:rPr>
            </w:pPr>
          </w:p>
        </w:tc>
      </w:tr>
      <w:tr>
        <w:trPr>
          <w:trHeight w:val="259"/>
        </w:trPr>
        <w:tc>
          <w:tcPr>
            <w:tcW w:w="2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0"/>
        </w:trPr>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i w:val="1"/>
          <w:iCs w:val="1"/>
          <w:color w:val="auto"/>
        </w:rPr>
        <w:t>Directors and Named Executive</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Mark Comora, Chairman </w:t>
            </w:r>
            <w:r>
              <w:rPr>
                <w:rFonts w:ascii="Times New Roman" w:cs="Times New Roman" w:eastAsia="Times New Roman" w:hAnsi="Times New Roman"/>
                <w:sz w:val="23"/>
                <w:szCs w:val="23"/>
                <w:color w:val="auto"/>
                <w:vertAlign w:val="superscript"/>
              </w:rPr>
              <w:t>(2)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910,094</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3.2 %</w:t>
            </w:r>
          </w:p>
        </w:tc>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71,500,000</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72,899,037</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94.1 %</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Betsy Battle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1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2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7"/>
        </w:trPr>
        <w:tc>
          <w:tcPr>
            <w:tcW w:w="23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Scott Dols </w:t>
            </w:r>
            <w:r>
              <w:rPr>
                <w:rFonts w:ascii="Times New Roman" w:cs="Times New Roman" w:eastAsia="Times New Roman" w:hAnsi="Times New Roman"/>
                <w:sz w:val="23"/>
                <w:szCs w:val="23"/>
                <w:color w:val="auto"/>
                <w:vertAlign w:val="superscript"/>
              </w:rPr>
              <w:t>(3)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51,918</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Kevin M. Fogarty </w:t>
            </w:r>
            <w:r>
              <w:rPr>
                <w:rFonts w:ascii="Times New Roman" w:cs="Times New Roman" w:eastAsia="Times New Roman" w:hAnsi="Times New Roman"/>
                <w:sz w:val="23"/>
                <w:szCs w:val="23"/>
                <w:color w:val="auto"/>
                <w:vertAlign w:val="superscript"/>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79,494</w:t>
            </w:r>
          </w:p>
        </w:tc>
        <w:tc>
          <w:tcPr>
            <w:tcW w:w="10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Nadeem Nisar</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59,494</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Ashok Vemuri</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1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2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7"/>
        </w:trPr>
        <w:tc>
          <w:tcPr>
            <w:tcW w:w="23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Adam Comora </w:t>
            </w:r>
            <w:r>
              <w:rPr>
                <w:rFonts w:ascii="Times New Roman" w:cs="Times New Roman" w:eastAsia="Times New Roman" w:hAnsi="Times New Roman"/>
                <w:sz w:val="23"/>
                <w:szCs w:val="23"/>
                <w:color w:val="auto"/>
                <w:vertAlign w:val="superscript"/>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89,787</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Jonathan Maurer </w:t>
            </w:r>
            <w:r>
              <w:rPr>
                <w:rFonts w:ascii="Times New Roman" w:cs="Times New Roman" w:eastAsia="Times New Roman" w:hAnsi="Times New Roman"/>
                <w:sz w:val="23"/>
                <w:szCs w:val="23"/>
                <w:color w:val="auto"/>
                <w:vertAlign w:val="superscript"/>
              </w:rPr>
              <w:t>(6)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104,812</w:t>
            </w:r>
          </w:p>
        </w:tc>
        <w:tc>
          <w:tcPr>
            <w:tcW w:w="10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John Coghlin </w:t>
            </w:r>
            <w:r>
              <w:rPr>
                <w:rFonts w:ascii="Times New Roman" w:cs="Times New Roman" w:eastAsia="Times New Roman" w:hAnsi="Times New Roman"/>
                <w:sz w:val="23"/>
                <w:szCs w:val="23"/>
                <w:color w:val="auto"/>
                <w:vertAlign w:val="superscript"/>
              </w:rPr>
              <w:t>(7)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45,282</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3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David Unger </w:t>
            </w:r>
            <w:r>
              <w:rPr>
                <w:rFonts w:ascii="Times New Roman" w:cs="Times New Roman" w:eastAsia="Times New Roman" w:hAnsi="Times New Roman"/>
                <w:sz w:val="23"/>
                <w:szCs w:val="23"/>
                <w:color w:val="auto"/>
                <w:vertAlign w:val="superscript"/>
              </w:rPr>
              <w:t>(8)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62,075</w:t>
            </w:r>
          </w:p>
        </w:tc>
        <w:tc>
          <w:tcPr>
            <w:tcW w:w="10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23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All directors and executive</w:t>
            </w:r>
          </w:p>
        </w:tc>
        <w:tc>
          <w:tcPr>
            <w:tcW w:w="12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1,487,209</w:t>
            </w: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ind w:right="230"/>
              <w:spacing w:after="0" w:line="177" w:lineRule="exact"/>
              <w:rPr>
                <w:sz w:val="20"/>
                <w:szCs w:val="20"/>
                <w:color w:val="auto"/>
              </w:rPr>
            </w:pPr>
            <w:r>
              <w:rPr>
                <w:rFonts w:ascii="Times New Roman" w:cs="Times New Roman" w:eastAsia="Times New Roman" w:hAnsi="Times New Roman"/>
                <w:sz w:val="18"/>
                <w:szCs w:val="18"/>
                <w:color w:val="auto"/>
              </w:rPr>
              <w:t>5.2 %</w:t>
            </w:r>
          </w:p>
        </w:tc>
        <w:tc>
          <w:tcPr>
            <w:tcW w:w="1080" w:type="dxa"/>
            <w:vAlign w:val="bottom"/>
            <w:tcBorders>
              <w:top w:val="single" w:sz="8" w:color="auto"/>
            </w:tcBorders>
            <w:shd w:val="clear" w:color="auto" w:fill="CCEEFF"/>
          </w:tcPr>
          <w:p>
            <w:pPr>
              <w:ind w:left="200"/>
              <w:spacing w:after="0" w:line="177" w:lineRule="exact"/>
              <w:rPr>
                <w:sz w:val="20"/>
                <w:szCs w:val="20"/>
                <w:color w:val="auto"/>
              </w:rPr>
            </w:pPr>
            <w:r>
              <w:rPr>
                <w:rFonts w:ascii="Times New Roman" w:cs="Times New Roman" w:eastAsia="Times New Roman" w:hAnsi="Times New Roman"/>
                <w:sz w:val="18"/>
                <w:szCs w:val="18"/>
                <w:color w:val="auto"/>
              </w:rPr>
              <w:t>71,500,000</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ind w:left="440"/>
              <w:spacing w:after="0" w:line="177" w:lineRule="exact"/>
              <w:rPr>
                <w:sz w:val="20"/>
                <w:szCs w:val="20"/>
                <w:color w:val="auto"/>
              </w:rPr>
            </w:pPr>
            <w:r>
              <w:rPr>
                <w:rFonts w:ascii="Times New Roman" w:cs="Times New Roman" w:eastAsia="Times New Roman" w:hAnsi="Times New Roman"/>
                <w:sz w:val="18"/>
                <w:szCs w:val="18"/>
                <w:color w:val="auto"/>
              </w:rPr>
              <w:t>72,899,037</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94.2 %</w:t>
            </w:r>
          </w:p>
        </w:tc>
      </w:tr>
      <w:tr>
        <w:trPr>
          <w:trHeight w:val="203"/>
        </w:trPr>
        <w:tc>
          <w:tcPr>
            <w:tcW w:w="23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officers as a group (14</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61"/>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persons)</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Five Percent Holders:</w:t>
            </w: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7"/>
        </w:trPr>
        <w:tc>
          <w:tcPr>
            <w:tcW w:w="23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Mark Comora, Chairman </w:t>
            </w:r>
            <w:r>
              <w:rPr>
                <w:rFonts w:ascii="Times New Roman" w:cs="Times New Roman" w:eastAsia="Times New Roman" w:hAnsi="Times New Roman"/>
                <w:sz w:val="23"/>
                <w:szCs w:val="23"/>
                <w:color w:val="auto"/>
                <w:vertAlign w:val="superscript"/>
              </w:rPr>
              <w:t>(2)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910,094</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3.2 %</w:t>
            </w:r>
          </w:p>
        </w:tc>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71,500,000</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72,899,037</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94.1 %</w:t>
            </w:r>
          </w:p>
        </w:tc>
      </w:tr>
      <w:tr>
        <w:trPr>
          <w:trHeight w:val="256"/>
        </w:trPr>
        <w:tc>
          <w:tcPr>
            <w:tcW w:w="23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Daniel R. Revers </w:t>
            </w:r>
            <w:r>
              <w:rPr>
                <w:rFonts w:ascii="Times New Roman" w:cs="Times New Roman" w:eastAsia="Times New Roman" w:hAnsi="Times New Roman"/>
                <w:sz w:val="23"/>
                <w:szCs w:val="23"/>
                <w:color w:val="auto"/>
                <w:vertAlign w:val="superscript"/>
              </w:rPr>
              <w:t>(9)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2,395,848</w:t>
            </w:r>
          </w:p>
        </w:tc>
        <w:tc>
          <w:tcPr>
            <w:tcW w:w="100" w:type="dxa"/>
            <w:vAlign w:val="bottom"/>
          </w:tcPr>
          <w:p>
            <w:pPr>
              <w:spacing w:after="0"/>
              <w:rPr>
                <w:sz w:val="22"/>
                <w:szCs w:val="22"/>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8.4 %</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ARCC Beacon LLC </w:t>
            </w:r>
            <w:r>
              <w:rPr>
                <w:rFonts w:ascii="Times New Roman" w:cs="Times New Roman" w:eastAsia="Times New Roman" w:hAnsi="Times New Roman"/>
                <w:sz w:val="23"/>
                <w:szCs w:val="23"/>
                <w:color w:val="auto"/>
                <w:vertAlign w:val="superscript"/>
              </w:rPr>
              <w:t>(10)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3,059,533</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10.8 %</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Mendocino Capital LLC </w:t>
            </w:r>
            <w:r>
              <w:rPr>
                <w:rFonts w:ascii="Times New Roman" w:cs="Times New Roman" w:eastAsia="Times New Roman" w:hAnsi="Times New Roman"/>
                <w:sz w:val="23"/>
                <w:szCs w:val="23"/>
                <w:color w:val="auto"/>
                <w:vertAlign w:val="superscript"/>
              </w:rPr>
              <w:t>(11)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2,158,547</w:t>
            </w:r>
          </w:p>
        </w:tc>
        <w:tc>
          <w:tcPr>
            <w:tcW w:w="100" w:type="dxa"/>
            <w:vAlign w:val="bottom"/>
          </w:tcPr>
          <w:p>
            <w:pPr>
              <w:spacing w:after="0"/>
              <w:rPr>
                <w:sz w:val="22"/>
                <w:szCs w:val="22"/>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7.6 %</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Entities affiliated with</w:t>
            </w:r>
          </w:p>
        </w:tc>
        <w:tc>
          <w:tcPr>
            <w:tcW w:w="12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1,800,000</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6.3 %</w:t>
            </w:r>
          </w:p>
        </w:tc>
        <w:tc>
          <w:tcPr>
            <w:tcW w:w="1180" w:type="dxa"/>
            <w:vAlign w:val="bottom"/>
            <w:gridSpan w:val="2"/>
            <w:shd w:val="clear" w:color="auto" w:fill="CCEEFF"/>
          </w:tcPr>
          <w:p>
            <w:pPr>
              <w:ind w:left="9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199"/>
        </w:trPr>
        <w:tc>
          <w:tcPr>
            <w:tcW w:w="232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Electron Capital Partners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65"/>
        </w:trPr>
        <w:tc>
          <w:tcPr>
            <w:tcW w:w="2320" w:type="dxa"/>
            <w:vAlign w:val="bottom"/>
            <w:shd w:val="clear" w:color="auto" w:fill="CCEEFF"/>
          </w:tcPr>
          <w:p>
            <w:pPr>
              <w:ind w:left="20"/>
              <w:spacing w:after="0" w:line="265" w:lineRule="exact"/>
              <w:rPr>
                <w:sz w:val="20"/>
                <w:szCs w:val="20"/>
                <w:color w:val="auto"/>
              </w:rPr>
            </w:pPr>
            <w:r>
              <w:rPr>
                <w:rFonts w:ascii="Times New Roman" w:cs="Times New Roman" w:eastAsia="Times New Roman" w:hAnsi="Times New Roman"/>
                <w:sz w:val="30"/>
                <w:szCs w:val="30"/>
                <w:color w:val="auto"/>
                <w:vertAlign w:val="subscript"/>
              </w:rPr>
              <w:t>LLC</w:t>
            </w:r>
            <w:r>
              <w:rPr>
                <w:rFonts w:ascii="Times New Roman" w:cs="Times New Roman" w:eastAsia="Times New Roman" w:hAnsi="Times New Roman"/>
                <w:sz w:val="11"/>
                <w:szCs w:val="11"/>
                <w:color w:val="auto"/>
              </w:rPr>
              <w:t xml:space="preserve"> (12)</w:t>
            </w: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56"/>
        </w:trPr>
        <w:tc>
          <w:tcPr>
            <w:tcW w:w="23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Nyera II Limited </w:t>
            </w:r>
            <w:r>
              <w:rPr>
                <w:rFonts w:ascii="Times New Roman" w:cs="Times New Roman" w:eastAsia="Times New Roman" w:hAnsi="Times New Roman"/>
                <w:sz w:val="23"/>
                <w:szCs w:val="23"/>
                <w:color w:val="auto"/>
                <w:vertAlign w:val="superscript"/>
              </w:rPr>
              <w:t>(13)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22"/>
                <w:szCs w:val="22"/>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5.3 %</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Entities affiliated with</w:t>
            </w:r>
          </w:p>
        </w:tc>
        <w:tc>
          <w:tcPr>
            <w:tcW w:w="12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2,741,370</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9.7 %</w:t>
            </w:r>
          </w:p>
        </w:tc>
        <w:tc>
          <w:tcPr>
            <w:tcW w:w="1180" w:type="dxa"/>
            <w:vAlign w:val="bottom"/>
            <w:gridSpan w:val="2"/>
            <w:shd w:val="clear" w:color="auto" w:fill="CCEEFF"/>
          </w:tcPr>
          <w:p>
            <w:pPr>
              <w:ind w:left="9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180"/>
        </w:trPr>
        <w:tc>
          <w:tcPr>
            <w:tcW w:w="2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Encompass Capital Advisors</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5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(14)</w:t>
            </w: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66"/>
        </w:trPr>
        <w:tc>
          <w:tcPr>
            <w:tcW w:w="23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56"/>
        </w:trPr>
        <w:tc>
          <w:tcPr>
            <w:tcW w:w="23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Zimmer Partners, LP </w:t>
            </w:r>
            <w:r>
              <w:rPr>
                <w:rFonts w:ascii="Times New Roman" w:cs="Times New Roman" w:eastAsia="Times New Roman" w:hAnsi="Times New Roman"/>
                <w:sz w:val="23"/>
                <w:szCs w:val="23"/>
                <w:color w:val="auto"/>
                <w:vertAlign w:val="superscript"/>
              </w:rPr>
              <w:t>(15)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2,293,818</w:t>
            </w:r>
          </w:p>
        </w:tc>
        <w:tc>
          <w:tcPr>
            <w:tcW w:w="100" w:type="dxa"/>
            <w:vAlign w:val="bottom"/>
          </w:tcPr>
          <w:p>
            <w:pPr>
              <w:spacing w:after="0"/>
              <w:rPr>
                <w:sz w:val="22"/>
                <w:szCs w:val="22"/>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8.1 %</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Barclays PLC </w:t>
            </w:r>
            <w:r>
              <w:rPr>
                <w:rFonts w:ascii="Times New Roman" w:cs="Times New Roman" w:eastAsia="Times New Roman" w:hAnsi="Times New Roman"/>
                <w:sz w:val="23"/>
                <w:szCs w:val="23"/>
                <w:color w:val="auto"/>
                <w:vertAlign w:val="superscript"/>
              </w:rPr>
              <w:t>(16)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2,179,689</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7.7 %</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3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Barclays Bank PLC </w:t>
            </w:r>
            <w:r>
              <w:rPr>
                <w:rFonts w:ascii="Times New Roman" w:cs="Times New Roman" w:eastAsia="Times New Roman" w:hAnsi="Times New Roman"/>
                <w:sz w:val="23"/>
                <w:szCs w:val="23"/>
                <w:color w:val="auto"/>
                <w:vertAlign w:val="superscript"/>
              </w:rPr>
              <w:t>(17)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2,179,689</w:t>
            </w:r>
          </w:p>
        </w:tc>
        <w:tc>
          <w:tcPr>
            <w:tcW w:w="100" w:type="dxa"/>
            <w:vAlign w:val="bottom"/>
          </w:tcPr>
          <w:p>
            <w:pPr>
              <w:spacing w:after="0"/>
              <w:rPr>
                <w:sz w:val="22"/>
                <w:szCs w:val="22"/>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7.7 %</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The Vanguard Group </w:t>
            </w:r>
            <w:r>
              <w:rPr>
                <w:rFonts w:ascii="Times New Roman" w:cs="Times New Roman" w:eastAsia="Times New Roman" w:hAnsi="Times New Roman"/>
                <w:sz w:val="23"/>
                <w:szCs w:val="23"/>
                <w:color w:val="auto"/>
                <w:vertAlign w:val="superscript"/>
              </w:rPr>
              <w:t>(18)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1,588,093</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5.6 %</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Represents less than 1%</w:t>
      </w:r>
    </w:p>
    <w:p>
      <w:pPr>
        <w:spacing w:after="0" w:line="319" w:lineRule="exact"/>
        <w:rPr>
          <w:sz w:val="20"/>
          <w:szCs w:val="20"/>
          <w:color w:val="auto"/>
        </w:rPr>
      </w:pPr>
    </w:p>
    <w:p>
      <w:pPr>
        <w:ind w:left="620" w:right="20" w:hanging="594"/>
        <w:spacing w:after="0" w:line="266"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directors and officers is One North Lexington Avenue, 14th Floor, White Plains, New York 10601.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8" w:lineRule="exact"/>
        <w:rPr>
          <w:sz w:val="20"/>
          <w:szCs w:val="20"/>
          <w:color w:val="auto"/>
        </w:rPr>
      </w:pPr>
    </w:p>
    <w:p>
      <w:pPr>
        <w:jc w:val="both"/>
        <w:ind w:left="600" w:hanging="594"/>
        <w:spacing w:after="0" w:line="23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71,500,000 shares of Class B common stock owned of record by OPAL Holdco, (ii) 70,877,450 shares of Class D common stock owned of record by OPAL Holdco, (iii) 2,021,587 shares of Class D common stock owned of record by Hillman (iv) 29,494 shares of Class A common stock owned directly and (v) 880,600 shares of Class A common stock owned by Fortistar,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“Certain Relationships and Related Party Transactions — Hillman Restructuring”. Shares of Class D common stock may be converted into shares of Class A common stock as further discussed in “Description of Securities — Common Stock — Class D common stock.” The business address of each of Mr. Comora, OPAL Holdco, Hillman and Fortistar is One North Lexington Avenue, 14th Floor, White Plains, New York 10601.</w:t>
      </w:r>
    </w:p>
    <w:p>
      <w:pPr>
        <w:spacing w:after="0" w:line="298" w:lineRule="exact"/>
        <w:rPr>
          <w:rFonts w:ascii="Times New Roman" w:cs="Times New Roman" w:eastAsia="Times New Roman" w:hAnsi="Times New Roman"/>
          <w:sz w:val="18"/>
          <w:szCs w:val="18"/>
          <w:color w:val="auto"/>
        </w:rPr>
      </w:pPr>
    </w:p>
    <w:p>
      <w:pPr>
        <w:ind w:left="600" w:hanging="594"/>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29,494 shares are held directly and 20,823 shares are held by Scott V Dols Irrevocable Trust and 1,601 shares held by Vicky N Dols. Irrevocable Trust.</w:t>
      </w:r>
    </w:p>
    <w:p>
      <w:pPr>
        <w:spacing w:after="0" w:line="270" w:lineRule="exact"/>
        <w:rPr>
          <w:rFonts w:ascii="Times New Roman" w:cs="Times New Roman" w:eastAsia="Times New Roman" w:hAnsi="Times New Roman"/>
          <w:sz w:val="18"/>
          <w:szCs w:val="18"/>
          <w:color w:val="auto"/>
        </w:rPr>
      </w:pPr>
    </w:p>
    <w:p>
      <w:pPr>
        <w:ind w:left="600" w:hanging="594"/>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29,424 shares of Class A common stock held directly by Mr. Fogarty and (ii) 50,000 shares of Class A common stock held by GBBH Family Limited Partnership.</w:t>
      </w:r>
    </w:p>
    <w:p>
      <w:pPr>
        <w:spacing w:after="0" w:line="270" w:lineRule="exact"/>
        <w:rPr>
          <w:rFonts w:ascii="Times New Roman" w:cs="Times New Roman" w:eastAsia="Times New Roman" w:hAnsi="Times New Roman"/>
          <w:sz w:val="18"/>
          <w:szCs w:val="18"/>
          <w:color w:val="auto"/>
        </w:rPr>
      </w:pPr>
    </w:p>
    <w:p>
      <w:pPr>
        <w:ind w:left="600" w:right="20" w:hanging="594"/>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70,775 shares of Class A common stock and (ii) 19,012 shares of Class A common stock issuable upon the exercise of stock options at an exercise price of $6.97.</w:t>
      </w:r>
    </w:p>
    <w:p>
      <w:pPr>
        <w:spacing w:after="0" w:line="256" w:lineRule="exact"/>
        <w:rPr>
          <w:rFonts w:ascii="Times New Roman" w:cs="Times New Roman" w:eastAsia="Times New Roman" w:hAnsi="Times New Roman"/>
          <w:sz w:val="18"/>
          <w:szCs w:val="18"/>
          <w:color w:val="auto"/>
        </w:rPr>
      </w:pPr>
    </w:p>
    <w:p>
      <w:pPr>
        <w:ind w:left="600" w:right="20" w:hanging="594"/>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85,800 shares of Class A common stock and (ii) 19,012 shares of Class A common stock issuable upon the exercise of stock options at an exercise price of $6.97.</w:t>
      </w:r>
    </w:p>
    <w:p>
      <w:pPr>
        <w:spacing w:after="0" w:line="256" w:lineRule="exact"/>
        <w:rPr>
          <w:rFonts w:ascii="Times New Roman" w:cs="Times New Roman" w:eastAsia="Times New Roman" w:hAnsi="Times New Roman"/>
          <w:sz w:val="18"/>
          <w:szCs w:val="18"/>
          <w:color w:val="auto"/>
        </w:rPr>
      </w:pPr>
    </w:p>
    <w:p>
      <w:pPr>
        <w:ind w:left="600" w:hanging="594"/>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36,410 shares of Class A common stock and (ii) 8,872 shares of Class A common stock issuable upon the exercise of stock options at an exercise price of $6.97.</w:t>
      </w:r>
    </w:p>
    <w:p>
      <w:pPr>
        <w:spacing w:after="0" w:line="256" w:lineRule="exact"/>
        <w:rPr>
          <w:rFonts w:ascii="Times New Roman" w:cs="Times New Roman" w:eastAsia="Times New Roman" w:hAnsi="Times New Roman"/>
          <w:sz w:val="18"/>
          <w:szCs w:val="18"/>
          <w:color w:val="auto"/>
        </w:rPr>
      </w:pPr>
    </w:p>
    <w:p>
      <w:pPr>
        <w:ind w:left="600" w:hanging="594"/>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57,322 shares of Class A common stock and (ii) 4,753 shares of Class A common stock issuable upon the exercise of stock options at an exercise price of $6.97.</w:t>
      </w:r>
    </w:p>
    <w:p>
      <w:pPr>
        <w:spacing w:after="0" w:line="270" w:lineRule="exact"/>
        <w:rPr>
          <w:rFonts w:ascii="Times New Roman" w:cs="Times New Roman" w:eastAsia="Times New Roman" w:hAnsi="Times New Roman"/>
          <w:sz w:val="18"/>
          <w:szCs w:val="18"/>
          <w:color w:val="auto"/>
        </w:rPr>
      </w:pPr>
    </w:p>
    <w:p>
      <w:pPr>
        <w:jc w:val="both"/>
        <w:ind w:left="600" w:hanging="594"/>
        <w:spacing w:after="0" w:line="254"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13D/A filed on December 19, 2023. Consists of (i) 1,395,135 shares of Class A common stock held directly by ArcLight CTC Holdings II, L.P. (“Sponsor”), (ii) 619,731 shares of Class A common stock held directly by Daniel R. Revers, (iii) 322,227 shares of Class A common stock held directly by ACHP B, L.P., and (iv) 58,755 shares of Class A common stock held directly by ACTC Holdings GP II, LLC. Mr. Revers has shared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Mr. Revers holds sole voting and dispositive power of the shares held directly by Mr. Revers, ACHP B, L.P., and ACTC Holdings GP II, LLC. The business address of Sponsor and Mr. Revers is 200 Clarendon Street, 55th Floor, Boston, Massachusetts 02116.</w:t>
      </w:r>
    </w:p>
    <w:p>
      <w:pPr>
        <w:spacing w:after="0" w:line="286" w:lineRule="exact"/>
        <w:rPr>
          <w:rFonts w:ascii="Times New Roman" w:cs="Times New Roman" w:eastAsia="Times New Roman" w:hAnsi="Times New Roman"/>
          <w:sz w:val="18"/>
          <w:szCs w:val="18"/>
          <w:color w:val="auto"/>
        </w:rPr>
      </w:pPr>
    </w:p>
    <w:p>
      <w:pPr>
        <w:ind w:left="600" w:hanging="594"/>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13G filed on August 1, 2022. The business address of ARCC Beacon LLC is 245 Park Avenue, 43rd Floor New York, New York 10167.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00"/>
          </w:cols>
          <w:pgMar w:left="340" w:top="1440" w:right="359" w:bottom="1440" w:gutter="0" w:footer="0" w:header="0"/>
        </w:sectPr>
      </w:pPr>
    </w:p>
    <w:bookmarkStart w:id="36" w:name="page37"/>
    <w:bookmarkEnd w:id="36"/>
    <w:p>
      <w:pPr>
        <w:spacing w:after="0" w:line="18" w:lineRule="exact"/>
        <w:rPr>
          <w:sz w:val="20"/>
          <w:szCs w:val="20"/>
          <w:color w:val="auto"/>
        </w:rPr>
      </w:pPr>
    </w:p>
    <w:p>
      <w:pPr>
        <w:jc w:val="both"/>
        <w:ind w:left="600" w:hanging="594"/>
        <w:spacing w:after="0" w:line="250"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13D/A filed on January 5, 2024. Mendocino Capital, LLC (“Mendocino”), a wholly owned subsidiary of NextEra Energy, Inc. (“NextEra”), and NextEra have shared voting and dispositive power with respect to the reported securities. The business address of Mendocino and NextEra is 700 Universe Boulevard, Juno Beach, Florida 33408.</w:t>
      </w:r>
    </w:p>
    <w:p>
      <w:pPr>
        <w:spacing w:after="0" w:line="284" w:lineRule="exact"/>
        <w:rPr>
          <w:rFonts w:ascii="Times New Roman" w:cs="Times New Roman" w:eastAsia="Times New Roman" w:hAnsi="Times New Roman"/>
          <w:sz w:val="18"/>
          <w:szCs w:val="18"/>
          <w:color w:val="auto"/>
        </w:rPr>
      </w:pPr>
    </w:p>
    <w:p>
      <w:pPr>
        <w:jc w:val="both"/>
        <w:ind w:left="600" w:hanging="594"/>
        <w:spacing w:after="0" w:line="241"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13G/A filed on February 14, 2024. Consists of (i) 1,060,088 shares of Class A common stock held by Electron Global Master Fund L.P. (“EGMF”), (ii) 695,913 shares of Class A common stock held by Electron Infrastructure Master Fund L.P. (“EIMF”), and (iii) 43,999 shares of Class A common stock held by several accounts managed by Electron Capital Partners, LLC (“Electron”). Ran Zhou is the managing member of Electron, which serves as the investment manager to each of EGMF, EIMF, and several managed accounts. Electron and Mr. Zhou may be deemed to beneficially own such shares. The parties hold shared voting and dispositive power over such shares The business address of the parties is 10 East 53rd Street, 19th Floor, New York, New York 10022.</w:t>
      </w:r>
    </w:p>
    <w:p>
      <w:pPr>
        <w:spacing w:after="0" w:line="291" w:lineRule="exact"/>
        <w:rPr>
          <w:rFonts w:ascii="Times New Roman" w:cs="Times New Roman" w:eastAsia="Times New Roman" w:hAnsi="Times New Roman"/>
          <w:sz w:val="18"/>
          <w:szCs w:val="18"/>
          <w:color w:val="auto"/>
        </w:rPr>
      </w:pPr>
    </w:p>
    <w:p>
      <w:pPr>
        <w:jc w:val="both"/>
        <w:ind w:left="600" w:hanging="594"/>
        <w:spacing w:after="0" w:line="242"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1,500,000 shares of Class A common stock. Benjamin Wasem, Pantelitsa Georgiade and Vasiliki Papalli (the “Nyera Principals”) each has voting and investment discretion with respect to the securities held Nyera II Limited (“Nyera”),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292" w:lineRule="exact"/>
        <w:rPr>
          <w:rFonts w:ascii="Times New Roman" w:cs="Times New Roman" w:eastAsia="Times New Roman" w:hAnsi="Times New Roman"/>
          <w:sz w:val="18"/>
          <w:szCs w:val="18"/>
          <w:color w:val="auto"/>
        </w:rPr>
      </w:pPr>
    </w:p>
    <w:p>
      <w:pPr>
        <w:jc w:val="both"/>
        <w:ind w:left="600" w:hanging="594"/>
        <w:spacing w:after="0" w:line="242"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13G/A filed on February 14, 2024. Such shares of Class A common stock are beneficially owned by Encompass Capital Advisors, LLC (“Encompass Advisors”) and Todd J. Kantor. Encompass Advisors and Mr. Kantor share voting and dispositive power over such shares. Encompass Capital Partners LLC (“Encompass Partners”) shares voting and dispositive power over 2,204,018 of such shares of Class A common stock. The business address of Encompass Advisors and Encompass Partners is 200 Park Avenue, 16th Floor, New York, New York 10166. The business address of Mr. Kantor is c/o Encompass Capital Advisors LLC, 200 Park Avenue, 16th Floor, New York, NY 10166.</w:t>
      </w:r>
    </w:p>
    <w:p>
      <w:pPr>
        <w:spacing w:after="0" w:line="279" w:lineRule="exact"/>
        <w:rPr>
          <w:rFonts w:ascii="Times New Roman" w:cs="Times New Roman" w:eastAsia="Times New Roman" w:hAnsi="Times New Roman"/>
          <w:sz w:val="18"/>
          <w:szCs w:val="18"/>
          <w:color w:val="auto"/>
        </w:rPr>
      </w:pPr>
    </w:p>
    <w:p>
      <w:pPr>
        <w:jc w:val="both"/>
        <w:ind w:left="600" w:hanging="594"/>
        <w:spacing w:after="0" w:line="250"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Schedule 13G/A, filed on February 13, 2024 by Zimmer Partners, LP, Zimmer Financial Services Group LLC, Zimmer Partners GP, LLC, and Stuart J. Zimmer (the “Zimmer Parties”), the business address of the Zimmer Parties is 9 West 57th Street, 33rd Floor, New York, NY 10019. The Zimmer Parties share voting and dispositive power over such shares of Class A common stock.</w:t>
      </w:r>
    </w:p>
    <w:p>
      <w:pPr>
        <w:spacing w:after="0" w:line="284" w:lineRule="exact"/>
        <w:rPr>
          <w:rFonts w:ascii="Times New Roman" w:cs="Times New Roman" w:eastAsia="Times New Roman" w:hAnsi="Times New Roman"/>
          <w:sz w:val="18"/>
          <w:szCs w:val="18"/>
          <w:color w:val="auto"/>
        </w:rPr>
      </w:pPr>
    </w:p>
    <w:p>
      <w:pPr>
        <w:ind w:left="600" w:hanging="594"/>
        <w:spacing w:after="0" w:line="266"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Schedule 13G, filed on February 14, 2024 by Barclays PLC, the business address of Barclays PLC is 1 Churchill Place, London, E14 5HP, England.</w:t>
      </w:r>
    </w:p>
    <w:p>
      <w:pPr>
        <w:spacing w:after="0" w:line="310" w:lineRule="exact"/>
        <w:rPr>
          <w:rFonts w:ascii="Times New Roman" w:cs="Times New Roman" w:eastAsia="Times New Roman" w:hAnsi="Times New Roman"/>
          <w:sz w:val="18"/>
          <w:szCs w:val="18"/>
          <w:color w:val="auto"/>
        </w:rPr>
      </w:pPr>
    </w:p>
    <w:p>
      <w:pPr>
        <w:ind w:left="600" w:hanging="594"/>
        <w:spacing w:after="0" w:line="266"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Schedule 13G, filed on February 14, 2024 by Barclays Bank PLC, the business address of Barclays Bank PLC is 1 Churchill Place, London, E14 5HP, England.</w:t>
      </w:r>
    </w:p>
    <w:p>
      <w:pPr>
        <w:spacing w:after="0" w:line="310" w:lineRule="exact"/>
        <w:rPr>
          <w:rFonts w:ascii="Times New Roman" w:cs="Times New Roman" w:eastAsia="Times New Roman" w:hAnsi="Times New Roman"/>
          <w:sz w:val="18"/>
          <w:szCs w:val="18"/>
          <w:color w:val="auto"/>
        </w:rPr>
      </w:pPr>
    </w:p>
    <w:p>
      <w:pPr>
        <w:jc w:val="both"/>
        <w:ind w:left="600" w:hanging="594"/>
        <w:spacing w:after="0" w:line="250"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Schedule 13G, filed on February 13, 2024, by The Vanguard Group, the business address of The Vanguard Group is 100 Vanguard Blvd., Malvern, PA 19355. The Vanguard Group has sole dispositive power over 1,576,577 shares of Class A common stock and shared dispositive power of 11,516 shares. The Vanguard Group does not have voting power over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40" w:top="1440" w:right="359" w:bottom="1440" w:gutter="0" w:footer="0" w:header="0"/>
        </w:sectPr>
      </w:pPr>
    </w:p>
    <w:bookmarkStart w:id="37" w:name="page38"/>
    <w:bookmarkEnd w:id="37"/>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Pursuant to Section 16(a) of the Exchange Act and the rules thereunder, the Company’s executive officers and directors and persons who beneficially own more than 10% of a registered class of the Company’s equity securities are required to file with the SEC reports of their ownership of, and transactions in, the Company’s common stock. Based solely on a review of copies of such reports furnished to the Company, and written representations that no reports were required, together with information known to the Company, the Company believes that during the fiscal year ended December 31, 2023, these persons timely complied with the applicable Section 16(a)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Audit Committee who has an interest in the related party transaction under review by the Audit Committee shall abstain from voting on the approval of the related party transaction, but may, if so requested by the chairman of the Audit Committee, participate in some or all of the Audit Committee’s discussions of the related party transaction. Upon completion of its review of the related party transaction, the Audit Committee may determine to permit or to prohibit the related party transaction.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Services Agreement</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Opco has entered into a Master Services Agreement with CoStar Partners LLC (“CoStar”).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2021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Administrative Services Agreement</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Opco has entered into an Administrative Services Agreement with Fortistar Services 2 LLC (“FS2”).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spacing w:after="0" w:line="12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10, 2023, the board of directors of the Company appointed Mr. Scott Contino as Interim CFO. Mr.Contino has served as Fortistar’s CFO for the past eighteen years. In connection with the appointment, the Company entered into an interim services agreement ("Interim Services Agreement") with Fortistar in accordance with the terms and conditions of the existing Administrative Services Agreement. Pursuant to the Interim Services Agreement, the Company will pay Fortistar an agreed hourly rate, such that the monthly fee does not exceed $50,000, on a cumulative basis. For the year ended December 31, 2023, the Company paid $128,000 which is included in Selling, general and administrative expenses in the consolidated statement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Hillman Restructuring</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11, 2020, Hillman, Hillman Power Company LLC (“Hillman Power”), and Customers Bank, among others, entered into a Loan and Guaranty Agreement (the “Customers Loan Agreement”)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and is currently serving in the same capacity with us. Prior to being appointed of Co-Chief Executive Officer of OPAL in 2021, Mr. Maurer served as a Managing Director of Fortistar.</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“Pledged Membership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3" w:right="339" w:bottom="1440" w:gutter="0" w:footer="0" w:header="0"/>
        </w:sectPr>
      </w:pPr>
    </w:p>
    <w:bookmarkStart w:id="39" w:name="page40"/>
    <w:bookmarkEnd w:id="39"/>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29, 2021, Opco and Hillman entered into an Exchange Agreement pursuant to which Hillman transferred the Pledged Membership Interests in exchange for the issuance of equity ownership interests in Opco (collectively, the “OPAL Fuels Membership Interests”)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“Exchange”).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29, 2021, Hillman Power, Hillman and Customers Bank entered into a Limited Consent and First Amendment to Loan and Guaranty Agreement (the “Limited Consent”) pursuant to which Customers Bank consented to the Exchange, amended the Customers Loan Agreement and released its security interest in the Pledged Membership Interests (the “Lien”).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 Reorganization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“Opco Reorganized Entities”)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“Opco Fuels Reorganization”). Prior to the Opco Fuels Reorganization, each of the Opco Reorganized Entities were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 Letter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Concurrently with the execution of the Business Combination Agreement, (i) ArcLight, (ii) Sponsor, (iii) Opco, (iv) each executive officer of ArcLight and</w:t>
      </w:r>
    </w:p>
    <w:p>
      <w:pPr>
        <w:spacing w:after="0" w:line="27" w:lineRule="exact"/>
        <w:rPr>
          <w:sz w:val="20"/>
          <w:szCs w:val="20"/>
          <w:color w:val="auto"/>
        </w:rPr>
      </w:pPr>
    </w:p>
    <w:p>
      <w:pPr>
        <w:jc w:val="both"/>
        <w:ind w:firstLine="8"/>
        <w:spacing w:after="0" w:line="251" w:lineRule="auto"/>
        <w:tabs>
          <w:tab w:leader="none" w:pos="26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pay ArcLight’s transaction expenses to the extent they exceeded $26,000,000 in connection with the Business Combination.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NextEra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redeemable preferred non-controlling interests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The Company recorded paid-in-kind preferred dividend of $8,421 and $5,406 for the years ended December 31, 2023 and 2022 respectively. As of December 31, 2023 and 2022, there was accrued preferred dividend payable of $2,013 and $5,406,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and sale agreement for environmental attributes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years ended December 31, 2023 and 2022, the Company earned net revenues after discount and fees of $84,537 and $76,920, respectively under this contract which was recorded as part of Revenues - RNG fuel and Fuel Station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swap contracts under ISDA</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ISDA agreement with NextEra in November 2019. Pursuant to the agreement, the Company entered into commodity swap contracts on a periodic basis. As of December 31, 2022 and 2021, there were three commodity swap contracts outstanding. The Company records the realized and unrealized gain (loss) on these commodity swap contracts as part of Revenues - Renewable Power. Additionally, the Company has contracts to sell RECs and capacity to NextEra on multiple Renewable Power facilities at market price. The Company recorded $6,614 and $5,495 as revenues earned under these contracts.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shares of Class A common stock for PIPE investment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2022, the Company raised $138,850 in cash net of transaction expenses of $9,700 representing cash received from the closing of the Business Combination and PIPE investment. NextEra subscribed to the PIPE investment and was issued 2,500,000 shares of Class A common stock at $10.00 per share.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17" w:right="339" w:bottom="1440" w:gutter="0" w:footer="0" w:header="0"/>
        </w:sectPr>
      </w:pPr>
    </w:p>
    <w:bookmarkStart w:id="41" w:name="page42"/>
    <w:bookmarkEnd w:id="41"/>
    <w:p>
      <w:pPr>
        <w:jc w:val="both"/>
        <w:spacing w:after="0" w:line="255" w:lineRule="auto"/>
        <w:rPr>
          <w:sz w:val="20"/>
          <w:szCs w:val="20"/>
          <w:color w:val="auto"/>
        </w:rPr>
      </w:pPr>
      <w:r>
        <w:rPr>
          <w:rFonts w:ascii="Times New Roman" w:cs="Times New Roman" w:eastAsia="Times New Roman" w:hAnsi="Times New Roman"/>
          <w:sz w:val="18"/>
          <w:szCs w:val="18"/>
          <w:color w:val="auto"/>
        </w:rPr>
        <w:t>On the Closing Date, we entered into the Tax Receivable Agreement with various participants, pursuant to which we are required to pay to the Opco Common Equity 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be approximately $133.0 million depending on Opco’s rate of recovery of the tax basis increases associated with the deemed exchange of the Opco Common Units (other than those held by us). This estimated TRA lump-sum payment is calculated using a discount rate equal to 7.47%, applied against an undiscounted liability of approximately $240.8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7" w:right="339" w:bottom="1440" w:gutter="0" w:footer="0" w:header="0"/>
        </w:sectPr>
      </w:pPr>
    </w:p>
    <w:bookmarkStart w:id="42" w:name="page43"/>
    <w:bookmarkEnd w:id="4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and will accrue interest until paid, which could negatively impact our results of operations and could also affect our liquidity in periods in which such payments are made.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21, 2022, OPAL entered into certain Indemnification Agreements (“Indemnification Agreements”)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is qualified in its entirety by the full text of the Indemnification Agreements, a copy of each of which has been filed as an exhibit to the Registration Statement on Form S-4 (File No. 333-262583), filed on May 6,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Letter Agreement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“Shortfall Amount”), Sponsor shall transfer, pledge or forfeit up to an additional 102,000 shares of Class A common stock currently subject to forfeiture under earn-out provisions as provided in the Sponsor Letter Agreement entered into on December 2, 2021 among OPAL, Sponsor, Opco and certain other persons (with such maximum number of shares pro-rated on a directly proportionate basis based on the size of the Shortfall Amount relative to $6,800,000). In January 2023, the Sponsor forfeited 197,258 shares related to this Sponsor Letter Agreement.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permitted by rules adopted by the SEC, we are delivering a single set of proxy materials including our Annual Report on Form 10-K for the year ended December 31, 2023 and this proxy statement to any household at which two or more stockholders reside if we believe the stockholders are members of the same family, unless otherwise instructed by one or more of the stockholders. We will promptly deliver separate copies of these documents upon the written or oral request of any stockholders at a shared address to which a single copy of the documents was delivered.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your household received a single set of any of these documents, but you would prefer to receive your own copy, or if you share an address with another stockholder and together both of you would like to receive only a single set of these documents, please contact Broadridge and inform them of your request by calling them at (866) 540-7095 or writing them at Householding Department, 51 Mercedes Way, Edgewood, NY 11717. Be sure to include your name, the name of your brokerage firm and your account number with your brokerage firm (if applicable). If you currently share an address with another stockholder but are nonetheless receiving separate copies of the materials, you may request delivery of a single copy in the future by contacting the Broadridge Householding Department at the number or address shown above.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our Form 10-K for the year ended December 31, 2023, without exhibits, will be available electronically with this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are referred to the Form 10-K for financial and other information about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17"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Physical copies of our Form 10-K for the year ended December 31, 2023 may be obtained without charge by writing to John Coghlin, General Counsel and Corporate Secretary, One North Lexington Ave, White Plains, New York 10601 or by telephone at (914) 705-4000. Exhibits will be furnished upon request. The SEC maintains a web site that contains reports, proxy and information statements and other information regarding registrants that file electronically with the SEC. The address of such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for the cost of soliciting proxies. Proxies may be solicited on our behalf by our directors, officers, or employees in person or by telephone, electronic transmission, and facsimile transmission, but such persons will not receive any special compensation for such services. We will reimburse banks, brokers and other custodians, nominees, and fiduciaries for their out-of-pocket costs of sending the proxy materials to our beneficial owners.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the filing of this proxy statement, we are not aware of any matters to be raised at the Meeting other than those referred to in this proxy statement. If other matters are properly presented at the Meeting for consideration, the persons named in the form of proxy will vote the shares they represent in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17"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7235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23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9019"/>
          </w:cols>
          <w:pgMar w:left="14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7235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23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9019"/>
          </w:cols>
          <w:pgMar w:left="1440" w:top="1440" w:right="1440"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bullet"/>
      <w:start w:val="1"/>
    </w:lvl>
    <w:lvl w:ilvl="1">
      <w:lvlJc w:val="left"/>
      <w:lvlText w:val="▪"/>
      <w:numFmt w:val="bullet"/>
      <w:start w:val="1"/>
    </w:lvl>
    <w:lvl w:ilvl="2">
      <w:lvlJc w:val="left"/>
      <w:lvlText w:val="▪"/>
      <w:numFmt w:val="bullet"/>
      <w:start w:val="1"/>
    </w:lvl>
  </w:abstractNum>
  <w:abstractNum w:abstractNumId="3">
    <w:nsid w:val="6B68079A"/>
    <w:multiLevelType w:val="hybridMultilevel"/>
    <w:lvl w:ilvl="0">
      <w:lvlJc w:val="left"/>
      <w:lvlText w:val="▪"/>
      <w:numFmt w:val="bullet"/>
      <w:start w:val="1"/>
    </w:lvl>
    <w:lvl w:ilvl="1">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lvl w:ilvl="1">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2"/>
    </w:lvl>
  </w:abstractNum>
  <w:abstractNum w:abstractNumId="15">
    <w:nsid w:val="721DA317"/>
    <w:multiLevelType w:val="hybridMultilevel"/>
    <w:lvl w:ilvl="0">
      <w:lvlJc w:val="left"/>
      <w:lvlText w:val="(%1)"/>
      <w:numFmt w:val="decimal"/>
      <w:start w:val="4"/>
    </w:lvl>
    <w:lvl w:ilvl="1">
      <w:lvlJc w:val="left"/>
      <w:lvlText w:val="(%2)"/>
      <w:numFmt w:val="decimal"/>
      <w:start w:val="5"/>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lvl w:ilvl="1">
      <w:lvlJc w:val="left"/>
      <w:lvlText w:val="(%2)"/>
      <w:numFmt w:val="decimal"/>
      <w:start w:val="2"/>
    </w:lvl>
  </w:abstractNum>
  <w:abstractNum w:abstractNumId="19">
    <w:nsid w:val="75A2A8D4"/>
    <w:multiLevelType w:val="hybridMultilevel"/>
    <w:lvl w:ilvl="0">
      <w:lvlJc w:val="left"/>
      <w:lvlText w:val="(%1)"/>
      <w:numFmt w:val="decimal"/>
      <w:start w:val="10"/>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lowerLetter"/>
      <w:start w:val="1"/>
    </w:lvl>
    <w:lvl w:ilvl="1">
      <w:lvlJc w:val="left"/>
      <w:lvlText w:val="%2."/>
      <w:numFmt w:val="lowerLetter"/>
      <w:start w:val="1"/>
    </w:lvl>
  </w:abstractNum>
  <w:abstractNum w:abstractNumId="23">
    <w:nsid w:val="B03E0C6"/>
    <w:multiLevelType w:val="hybridMultilevel"/>
    <w:lvl w:ilvl="0">
      <w:lvlJc w:val="left"/>
      <w:lvlText w:val="%1."/>
      <w:numFmt w:val="lowerLetter"/>
      <w:start w:val="2"/>
    </w:lvl>
    <w:lvl w:ilvl="1">
      <w:lvlJc w:val="left"/>
      <w:lvlText w:val="%2"/>
      <w:numFmt w:val="lowerLetter"/>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2"/>
    </w:lvl>
  </w:abstractNum>
  <w:abstractNum w:abstractNumId="26">
    <w:nsid w:val="71F32454"/>
    <w:multiLevelType w:val="hybridMultilevel"/>
    <w:lvl w:ilvl="0">
      <w:lvlJc w:val="left"/>
      <w:lvlText w:val="(%1)"/>
      <w:numFmt w:val="decimal"/>
      <w:start w:val="11"/>
    </w:lvl>
  </w:abstractNum>
  <w:abstractNum w:abstractNumId="27">
    <w:nsid w:val="2CA88611"/>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2024-04-22T07:00:17Z</dcterms:created>
  <dcterms:modified xsi:type="dcterms:W3CDTF">2024-04-22T07:00:17Z</dcterms:modified>
</cp:coreProperties>
</file>