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6994525" cy="4335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4335145"/>
                    </a:xfrm>
                    <a:prstGeom prst="rect">
                      <a:avLst/>
                    </a:prstGeom>
                    <a:noFill/>
                  </pic:spPr>
                </pic:pic>
              </a:graphicData>
            </a:graphic>
          </wp:anchor>
        </w:drawing>
      </w:r>
    </w:p>
    <w:p>
      <w:pPr>
        <w:spacing w:after="0" w:line="117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Coghlin John</w:t>
              </w:r>
            </w:hyperlink>
          </w:p>
        </w:tc>
        <w:tc>
          <w:tcPr>
            <w:tcW w:w="1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60"/>
              <w:spacing w:after="0" w:line="18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OPAL Fuels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OPAL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240" w:type="dxa"/>
            <w:vAlign w:val="bottom"/>
            <w:tcBorders>
              <w:top w:val="single" w:sz="8" w:color="0000EE"/>
            </w:tcBorders>
          </w:tcPr>
          <w:p>
            <w:pPr>
              <w:spacing w:after="0"/>
              <w:rPr>
                <w:sz w:val="4"/>
                <w:szCs w:val="4"/>
                <w:color w:val="auto"/>
              </w:rPr>
            </w:pPr>
          </w:p>
        </w:tc>
        <w:tc>
          <w:tcPr>
            <w:tcW w:w="2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00" w:type="dxa"/>
            <w:vAlign w:val="bottom"/>
            <w:tcBorders>
              <w:top w:val="single" w:sz="8" w:color="0000EE"/>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0" w:type="dxa"/>
            <w:vAlign w:val="bottom"/>
            <w:tcBorders>
              <w:top w:val="single" w:sz="8" w:color="EEEEEE"/>
            </w:tcBorders>
          </w:tcPr>
          <w:p>
            <w:pPr>
              <w:spacing w:after="0"/>
              <w:rPr>
                <w:sz w:val="13"/>
                <w:szCs w:val="13"/>
                <w:color w:val="auto"/>
              </w:rPr>
            </w:pPr>
          </w:p>
        </w:tc>
        <w:tc>
          <w:tcPr>
            <w:tcW w:w="116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0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1520" w:type="dxa"/>
            <w:vAlign w:val="bottom"/>
            <w:gridSpan w:val="4"/>
            <w:vMerge w:val="restart"/>
          </w:tcPr>
          <w:p>
            <w:pPr>
              <w:ind w:left="140"/>
              <w:spacing w:after="0" w:line="172" w:lineRule="exact"/>
              <w:rPr>
                <w:sz w:val="20"/>
                <w:szCs w:val="20"/>
                <w:color w:val="auto"/>
              </w:rPr>
            </w:pPr>
            <w:r>
              <w:rPr>
                <w:rFonts w:ascii="Times New Roman" w:cs="Times New Roman" w:eastAsia="Times New Roman" w:hAnsi="Times New Roman"/>
                <w:sz w:val="17"/>
                <w:szCs w:val="17"/>
                <w:color w:val="0000FF"/>
              </w:rPr>
              <w:t>04/08/2025</w:t>
            </w: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ONE NORTH LEXINGTON AVE, 14TH FLOOR</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0"/>
          <w:szCs w:val="20"/>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0"/>
          <w:szCs w:val="20"/>
          <w:color w:val="auto"/>
        </w:rPr>
      </w:pPr>
    </w:p>
    <w:p>
      <w:pPr>
        <w:jc w:val="center"/>
        <w:ind w:right="178"/>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308" w:lineRule="exact"/>
        <w:rPr>
          <w:sz w:val="20"/>
          <w:szCs w:val="20"/>
          <w:color w:val="auto"/>
        </w:rPr>
      </w:pPr>
    </w:p>
    <w:p>
      <w:pPr>
        <w:sectPr>
          <w:pgSz w:w="11900" w:h="16838" w:orient="portrait"/>
          <w:cols w:equalWidth="0" w:num="2">
            <w:col w:w="7680" w:space="58"/>
            <w:col w:w="3342"/>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62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00" w:type="dxa"/>
            <w:vAlign w:val="bottom"/>
            <w:gridSpan w:val="10"/>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20" w:type="dxa"/>
            <w:vAlign w:val="bottom"/>
            <w:gridSpan w:val="7"/>
            <w:vMerge w:val="continue"/>
          </w:tcPr>
          <w:p>
            <w:pPr>
              <w:spacing w:after="0"/>
              <w:rPr>
                <w:sz w:val="7"/>
                <w:szCs w:val="7"/>
                <w:color w:val="auto"/>
              </w:rPr>
            </w:pPr>
          </w:p>
        </w:tc>
        <w:tc>
          <w:tcPr>
            <w:tcW w:w="37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gridSpan w:val="2"/>
          </w:tcPr>
          <w:p>
            <w:pPr>
              <w:ind w:left="36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2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WHITE PLAINS NY</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10601</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80" w:type="dxa"/>
            <w:vAlign w:val="bottom"/>
            <w:gridSpan w:val="7"/>
          </w:tcPr>
          <w:p>
            <w:pPr>
              <w:ind w:left="180"/>
              <w:spacing w:after="0" w:line="13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00" w:type="dxa"/>
            <w:vAlign w:val="bottom"/>
          </w:tcPr>
          <w:p>
            <w:pPr>
              <w:spacing w:after="0"/>
              <w:rPr>
                <w:sz w:val="11"/>
                <w:szCs w:val="11"/>
                <w:color w:val="auto"/>
              </w:rPr>
            </w:pPr>
          </w:p>
        </w:tc>
        <w:tc>
          <w:tcPr>
            <w:tcW w:w="2640" w:type="dxa"/>
            <w:vAlign w:val="bottom"/>
            <w:gridSpan w:val="5"/>
          </w:tcPr>
          <w:p>
            <w:pPr>
              <w:ind w:left="80"/>
              <w:spacing w:after="0" w:line="127" w:lineRule="exact"/>
              <w:rPr>
                <w:sz w:val="20"/>
                <w:szCs w:val="20"/>
                <w:color w:val="auto"/>
              </w:rPr>
            </w:pPr>
            <w:r>
              <w:rPr>
                <w:rFonts w:ascii="Arial" w:cs="Arial" w:eastAsia="Arial" w:hAnsi="Arial"/>
                <w:sz w:val="12"/>
                <w:szCs w:val="12"/>
                <w:b w:val="1"/>
                <w:bCs w:val="1"/>
                <w:color w:val="auto"/>
              </w:rPr>
              <w:t>Transaction  Disposed Of (D) (Instr. 3, 4 and</w:t>
            </w:r>
          </w:p>
        </w:tc>
        <w:tc>
          <w:tcPr>
            <w:tcW w:w="60" w:type="dxa"/>
            <w:vAlign w:val="bottom"/>
          </w:tcPr>
          <w:p>
            <w:pPr>
              <w:spacing w:after="0"/>
              <w:rPr>
                <w:sz w:val="11"/>
                <w:szCs w:val="11"/>
                <w:color w:val="auto"/>
              </w:rPr>
            </w:pPr>
          </w:p>
        </w:tc>
        <w:tc>
          <w:tcPr>
            <w:tcW w:w="6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89"/>
              </w:rPr>
              <w:t>Code (Instr.</w:t>
            </w:r>
          </w:p>
        </w:tc>
        <w:tc>
          <w:tcPr>
            <w:tcW w:w="6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300"/>
              <w:spacing w:after="0" w:line="128" w:lineRule="exact"/>
              <w:rPr>
                <w:sz w:val="20"/>
                <w:szCs w:val="20"/>
                <w:color w:val="auto"/>
              </w:rPr>
            </w:pPr>
            <w:r>
              <w:rPr>
                <w:rFonts w:ascii="Arial" w:cs="Arial" w:eastAsia="Arial" w:hAnsi="Arial"/>
                <w:sz w:val="12"/>
                <w:szCs w:val="12"/>
                <w:b w:val="1"/>
                <w:bCs w:val="1"/>
                <w:color w:val="auto"/>
                <w:w w:val="93"/>
              </w:rPr>
              <w:t>(A) or</w:t>
            </w:r>
          </w:p>
        </w:tc>
        <w:tc>
          <w:tcPr>
            <w:tcW w:w="66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2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288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9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 (A)</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or Disposed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3, 4 and 5)</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line="128"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line="128"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gridSpan w:val="2"/>
            <w:vMerge w:val="restart"/>
          </w:tcPr>
          <w:p>
            <w:pPr>
              <w:ind w:left="100"/>
              <w:spacing w:after="0" w:line="204" w:lineRule="exact"/>
              <w:rPr>
                <w:sz w:val="20"/>
                <w:szCs w:val="20"/>
                <w:color w:val="auto"/>
              </w:rPr>
            </w:pPr>
            <w:r>
              <w:rPr>
                <w:rFonts w:ascii="Times New Roman" w:cs="Times New Roman" w:eastAsia="Times New Roman" w:hAnsi="Times New Roman"/>
                <w:sz w:val="23"/>
                <w:szCs w:val="23"/>
                <w:color w:val="0000FF"/>
                <w:vertAlign w:val="subscript"/>
              </w:rPr>
              <w:t>A</w:t>
            </w:r>
            <w:r>
              <w:rPr>
                <w:rFonts w:ascii="Times New Roman" w:cs="Times New Roman" w:eastAsia="Times New Roman" w:hAnsi="Times New Roman"/>
                <w:sz w:val="10"/>
                <w:szCs w:val="10"/>
                <w:color w:val="008000"/>
              </w:rPr>
              <w:t>(1)</w:t>
            </w: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color w:val="008000"/>
              </w:rPr>
              <w:t>(2)(3)(4)(5)</w:t>
            </w:r>
          </w:p>
        </w:tc>
        <w:tc>
          <w:tcPr>
            <w:tcW w:w="6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111,112</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1.53</w:t>
            </w:r>
          </w:p>
        </w:tc>
        <w:tc>
          <w:tcPr>
            <w:tcW w:w="1040" w:type="dxa"/>
            <w:vAlign w:val="bottom"/>
            <w:vMerge w:val="restart"/>
          </w:tcPr>
          <w:p>
            <w:pPr>
              <w:ind w:left="240"/>
              <w:spacing w:after="0" w:line="141" w:lineRule="exact"/>
              <w:rPr>
                <w:sz w:val="20"/>
                <w:szCs w:val="20"/>
                <w:color w:val="auto"/>
              </w:rPr>
            </w:pPr>
            <w:r>
              <w:rPr>
                <w:rFonts w:ascii="Times New Roman" w:cs="Times New Roman" w:eastAsia="Times New Roman" w:hAnsi="Times New Roman"/>
                <w:sz w:val="13"/>
                <w:szCs w:val="13"/>
                <w:color w:val="0000FF"/>
              </w:rPr>
              <w:t>04/08/2025</w:t>
            </w:r>
          </w:p>
        </w:tc>
        <w:tc>
          <w:tcPr>
            <w:tcW w:w="11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0" w:type="dxa"/>
            <w:vAlign w:val="bottom"/>
            <w:vMerge w:val="restart"/>
          </w:tcPr>
          <w:p>
            <w:pPr>
              <w:ind w:left="140"/>
              <w:spacing w:after="0" w:line="141" w:lineRule="exact"/>
              <w:rPr>
                <w:sz w:val="20"/>
                <w:szCs w:val="20"/>
                <w:color w:val="auto"/>
              </w:rPr>
            </w:pPr>
            <w:r>
              <w:rPr>
                <w:rFonts w:ascii="Times New Roman" w:cs="Times New Roman" w:eastAsia="Times New Roman" w:hAnsi="Times New Roman"/>
                <w:sz w:val="13"/>
                <w:szCs w:val="13"/>
                <w:color w:val="0000FF"/>
              </w:rPr>
              <w:t>111,112</w:t>
            </w:r>
          </w:p>
        </w:tc>
        <w:tc>
          <w:tcPr>
            <w:tcW w:w="3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03/31/2035</w:t>
            </w:r>
          </w:p>
        </w:tc>
        <w:tc>
          <w:tcPr>
            <w:tcW w:w="62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00"/>
              <w:spacing w:after="0" w:line="141" w:lineRule="exact"/>
              <w:rPr>
                <w:sz w:val="20"/>
                <w:szCs w:val="20"/>
                <w:color w:val="auto"/>
              </w:rPr>
            </w:pPr>
            <w:r>
              <w:rPr>
                <w:rFonts w:ascii="Times New Roman" w:cs="Times New Roman" w:eastAsia="Times New Roman" w:hAnsi="Times New Roman"/>
                <w:sz w:val="13"/>
                <w:szCs w:val="13"/>
                <w:color w:val="0000FF"/>
              </w:rPr>
              <w:t>111,112</w:t>
            </w:r>
          </w:p>
        </w:tc>
        <w:tc>
          <w:tcPr>
            <w:tcW w:w="66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-1841500</wp:posOffset>
            </wp:positionV>
            <wp:extent cx="29210" cy="18472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472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pursuant to the Issuer's 2022 Omnibus Equity Incentive Plan (the "Plan").</w:t>
      </w:r>
    </w:p>
    <w:p>
      <w:pPr>
        <w:spacing w:after="0" w:line="42" w:lineRule="exact"/>
        <w:rPr>
          <w:rFonts w:ascii="Times New Roman" w:cs="Times New Roman" w:eastAsia="Times New Roman" w:hAnsi="Times New Roman"/>
          <w:sz w:val="13"/>
          <w:szCs w:val="13"/>
          <w:color w:val="008000"/>
        </w:rPr>
      </w:pPr>
    </w:p>
    <w:p>
      <w:pPr>
        <w:ind w:left="40" w:right="20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an option to purchase shares of the Issuer's Class A common stock (the "Option") at an exercise price of $1.53 per share, which was the volume weighted average price of the Issuer's Class A common stock for the five days immediately preceding April 8, 2025, as quoted on the Nasdaq Stock Market. The Option vests in three (3) equal installments on each of the following dates: (i) March 31, 2026, (ii) March 31, 2027, and (iii) March 31, 2028, provided, that the Reporting Person continues to provide services to the Issuer through the applicable vesting date.</w:t>
      </w:r>
    </w:p>
    <w:p>
      <w:pPr>
        <w:spacing w:after="0" w:line="27" w:lineRule="exact"/>
        <w:rPr>
          <w:rFonts w:ascii="Times New Roman" w:cs="Times New Roman" w:eastAsia="Times New Roman" w:hAnsi="Times New Roman"/>
          <w:sz w:val="13"/>
          <w:szCs w:val="13"/>
          <w:color w:val="008000"/>
        </w:rPr>
      </w:pPr>
    </w:p>
    <w:p>
      <w:pPr>
        <w:ind w:left="40" w:right="16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the event that the Reporting Person's employment is terminated by reason of the Reporting Person's disability or termination without cause, the Options shall vest with respect to the number of shares of Class A common stock that would have vested upon the next vesting date following such termination, had the Reporting Person remained an employee.</w:t>
      </w:r>
    </w:p>
    <w:p>
      <w:pPr>
        <w:spacing w:after="0" w:line="19" w:lineRule="exact"/>
        <w:rPr>
          <w:rFonts w:ascii="Times New Roman" w:cs="Times New Roman" w:eastAsia="Times New Roman" w:hAnsi="Times New Roman"/>
          <w:sz w:val="13"/>
          <w:szCs w:val="13"/>
          <w:color w:val="008000"/>
        </w:rPr>
      </w:pPr>
    </w:p>
    <w:p>
      <w:pPr>
        <w:ind w:left="40" w:right="260" w:firstLine="1"/>
        <w:spacing w:after="0" w:line="289"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Notwithstanding the foregoing, upon the occurrence of a termination of employment by reason of the Reporting Person's (i) termination without cause; or (ii) resignation for good reason, in connection with or within the 24 months following the consummation of a Change in Control (as defined in the Plan and the relevant award agreement), any unvested portion of the Option shall accelerate and vest in full.</w:t>
      </w: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occurrence of a termination by reason of the Reporting Person's death, any unvested portion of the Option shall accelerate and vest in full.</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John Coghlin</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04/10/2025</w:t>
            </w:r>
          </w:p>
        </w:tc>
      </w:tr>
      <w:tr>
        <w:trPr>
          <w:trHeight w:val="20"/>
        </w:trPr>
        <w:tc>
          <w:tcPr>
            <w:tcW w:w="10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0669" TargetMode="External"/><Relationship Id="rId14" Type="http://schemas.openxmlformats.org/officeDocument/2006/relationships/hyperlink" Target="http://www.sec.gov/cgi-bin/browse-edgar?action=getcompany&amp;CIK=00018422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2025-04-10T18:15:26Z</dcterms:created>
  <dcterms:modified xsi:type="dcterms:W3CDTF">2025-04-10T18:15:26Z</dcterms:modified>
</cp:coreProperties>
</file>