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20955</wp:posOffset>
            </wp:positionH>
            <wp:positionV relativeFrom="paragraph">
              <wp:posOffset>-3810</wp:posOffset>
            </wp:positionV>
            <wp:extent cx="139065" cy="1873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60" w:hanging="261"/>
        <w:spacing w:after="0" w:line="183" w:lineRule="auto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5160" cy="4652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5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Lee Ja-Chin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ARCLIGHT CTC HOLDINGS II, L.P.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CLARENDON ST, 55TH FLOOR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Former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07/21/2022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07/21/2022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-1827530</wp:posOffset>
            </wp:positionV>
            <wp:extent cx="29210" cy="1832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3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2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Business Combination Agreement (as amended), dated December 2, 2021, by and among ArcLight Clean Transition Corp. II, a Cayman Islands exempted company (the "Company"), OPAL Fuels LLC, a Delaware limited liability company ("OPAL Fuels"), and OPAL HoldCo LLC, a Delaware limited liability company ("OPAL HoldCo"), the parties effected a business combination transaction ("Business Combination"), on July 21, 2022. In connection with the Business Combination, the Company domesticated as a Delaware corporation (the "Domestication") and changed its name to "OPAL Fuels Inc." ("New OPAL"). In connection with the consummation of the Business Combination and the Domestication, 35,000 of Ja-Chin Audrey Lee's Class B ordinary shares, par value $0.0001, of the Company, which were previously convertible into Class A ordinary shares, par value $0.0001, of the Company converted into shares of Class A common stock, par value $0.0001, of New OPAL in connection with the closing of the Business Combination.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Ja-Chin Audrey Lee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07/25/2022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5753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2022-07-25T18:20:05Z</dcterms:created>
  <dcterms:modified xsi:type="dcterms:W3CDTF">2022-07-25T18:20:05Z</dcterms:modified>
</cp:coreProperties>
</file>