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14,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4932</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6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 Anthony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 Allen McConnell,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Sheppard, Mullin,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OCTOBER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181,764,740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7"/>
          <w:szCs w:val="17"/>
          <w:color w:val="auto"/>
        </w:rPr>
        <w:t>This prospectus relates to the issuance by us of up to (i) 9,223,261 shares of Class A common stock, par value $0.0001 per share (the “</w:t>
      </w:r>
      <w:r>
        <w:rPr>
          <w:rFonts w:ascii="Times New Roman" w:cs="Times New Roman" w:eastAsia="Times New Roman" w:hAnsi="Times New Roman"/>
          <w:sz w:val="17"/>
          <w:szCs w:val="17"/>
          <w:b w:val="1"/>
          <w:bCs w:val="1"/>
          <w:i w:val="1"/>
          <w:iCs w:val="1"/>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underlying Private Placement Warrants (as defined in this prospectus) issued by the Company under the Business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that were originally purchased at a purchase price of $1.00 per warrant, which warrants are exercisable for shares of our Class A common stock at an exercise price of $11.50 per share; and (ii) 6,223,233 shares of Class A common stock underlying Public Warrants (as defined in this prospectus) issued by the Company under the Business Combination Agreement that were originally issued as part of the units sold by Arclight at a purchase price of $10.00 per unit in its initial public offering, which warrants are exercisable for shares of our Class A common stock at an exercise price of $11.50 per share.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w:t>
      </w:r>
    </w:p>
    <w:p>
      <w:pPr>
        <w:spacing w:after="0" w:line="229" w:lineRule="exact"/>
        <w:rPr>
          <w:sz w:val="20"/>
          <w:szCs w:val="20"/>
          <w:color w:val="auto"/>
        </w:rPr>
      </w:pPr>
    </w:p>
    <w:p>
      <w:pPr>
        <w:jc w:val="both"/>
        <w:ind w:left="340" w:firstLine="316"/>
        <w:spacing w:after="0" w:line="258" w:lineRule="auto"/>
        <w:tabs>
          <w:tab w:leader="none" w:pos="8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10,838,609 shares of Class A common stock issued under the Business Combination Agreement, dated as of December 2, 2021 (as the same has been or may be amended, modified, supplemented or waived from time to time, the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Opal Fuels LLC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and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to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former directors of ArcLight originally acquired by such parties for an effective purchase price of approximately $0.003 per share;</w:t>
      </w:r>
    </w:p>
    <w:p>
      <w:pPr>
        <w:spacing w:after="0" w:line="183"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144,399,037 shares of Class A common stock issuable upon the conversion of Class C common stock issuable to Opal Holdco and Hillman RNG Investments, LLC (the “</w:t>
      </w:r>
      <w:r>
        <w:rPr>
          <w:rFonts w:ascii="Times New Roman" w:cs="Times New Roman" w:eastAsia="Times New Roman" w:hAnsi="Times New Roman"/>
          <w:sz w:val="18"/>
          <w:szCs w:val="18"/>
          <w:b w:val="1"/>
          <w:bCs w:val="1"/>
          <w:i w:val="1"/>
          <w:iCs w:val="1"/>
          <w:color w:val="auto"/>
        </w:rPr>
        <w:t>Opco Common Equityholders</w:t>
      </w:r>
      <w:r>
        <w:rPr>
          <w:rFonts w:ascii="Times New Roman" w:cs="Times New Roman" w:eastAsia="Times New Roman" w:hAnsi="Times New Roman"/>
          <w:sz w:val="18"/>
          <w:szCs w:val="18"/>
          <w:color w:val="auto"/>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w:t>
      </w:r>
    </w:p>
    <w:p>
      <w:pPr>
        <w:spacing w:after="0" w:line="179" w:lineRule="exact"/>
        <w:rPr>
          <w:rFonts w:ascii="Times New Roman" w:cs="Times New Roman" w:eastAsia="Times New Roman" w:hAnsi="Times New Roman"/>
          <w:sz w:val="18"/>
          <w:szCs w:val="18"/>
          <w:color w:val="auto"/>
        </w:rPr>
      </w:pPr>
    </w:p>
    <w:p>
      <w:pPr>
        <w:ind w:left="340" w:firstLine="316"/>
        <w:spacing w:after="0" w:line="282" w:lineRule="auto"/>
        <w:tabs>
          <w:tab w:leader="none" w:pos="9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11,080,600 shares of Class A common stock originally issued and sold to certain of the Selling Holders pursuant to subscription agreements dated as of December 2, 2021 (collectively,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at a purchase price of $10.00 per share;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9,223,261 shares of class A common stock underlying the Private Placement Warrants.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$6.23 as of October 13, 2022, Sponsor and other holders of the shares of our Class A common stock that were originally purchased by Arclight’s Sponsor in a private placement prior to Arclight’s initial public offering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would experience a potential profit of approximately $6.227 per share, or approximately $48,440,306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Holders pursuant to this prospectus.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 We will bear all costs, expenses and fees in connection with the registration of the securities. The Selling Holders will bear all commissions and discounts, if any, attributable to their respective sales of the securities.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Class A common stock.</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 “OPAL.” On October 13, 2022, the closing price of our Class A common stock was $6.23 per share. Our public warrants are listed on Nasdaq under the symbol “OPALW.” On October 13, 2022, the closing price of our public warrants was $1.09 per warrant.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10 of this prospectus.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2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SELECTED DEFINITIONS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vi</w:t>
            </w:r>
          </w:p>
        </w:tc>
      </w:tr>
      <w:tr>
        <w:trPr>
          <w:trHeight w:val="176"/>
        </w:trPr>
        <w:tc>
          <w:tcPr>
            <w:tcW w:w="6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3400" w:type="dxa"/>
            <w:vAlign w:val="bottom"/>
            <w:tcBorders>
              <w:top w:val="single" w:sz="8" w:color="CCEEFF"/>
            </w:tcBorders>
            <w:gridSpan w:val="3"/>
          </w:tcPr>
          <w:p>
            <w:pPr>
              <w:spacing w:after="0"/>
              <w:rPr>
                <w:sz w:val="15"/>
                <w:szCs w:val="15"/>
                <w:color w:val="auto"/>
              </w:rPr>
            </w:pPr>
          </w:p>
        </w:tc>
        <w:tc>
          <w:tcPr>
            <w:tcW w:w="1500" w:type="dxa"/>
            <w:vAlign w:val="bottom"/>
            <w:tcBorders>
              <w:top w:val="single" w:sz="8" w:color="CCEEFF"/>
            </w:tcBorders>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HISTORICAL CONSOLIDATED FINANCIAL INFORMATION</w:t>
            </w:r>
          </w:p>
        </w:tc>
        <w:tc>
          <w:tcPr>
            <w:tcW w:w="4000" w:type="dxa"/>
            <w:vAlign w:val="bottom"/>
            <w:tcBorders>
              <w:bottom w:val="single" w:sz="8" w:color="CCEEFF"/>
            </w:tcBorders>
            <w:gridSpan w:val="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80" w:type="dxa"/>
            <w:vAlign w:val="bottom"/>
            <w:tcBorders>
              <w:bottom w:val="single" w:sz="8" w:color="CCEEFF"/>
            </w:tcBorders>
            <w:gridSpan w:val="19"/>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8880" w:type="dxa"/>
            <w:vAlign w:val="bottom"/>
            <w:tcBorders>
              <w:bottom w:val="single" w:sz="8" w:color="CCEEFF"/>
            </w:tcBorders>
            <w:gridSpan w:val="2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280" w:type="dxa"/>
            <w:vAlign w:val="bottom"/>
            <w:tcBorders>
              <w:bottom w:val="single" w:sz="8" w:color="CCEEFF"/>
            </w:tcBorders>
            <w:gridSpan w:val="11"/>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w:t>
            </w:r>
          </w:p>
        </w:tc>
        <w:tc>
          <w:tcPr>
            <w:tcW w:w="7580" w:type="dxa"/>
            <w:vAlign w:val="bottom"/>
            <w:tcBorders>
              <w:bottom w:val="single" w:sz="8" w:color="CCEEFF"/>
            </w:tcBorders>
            <w:gridSpan w:val="1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SELLING HOLDERS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60" w:type="dxa"/>
            <w:vAlign w:val="bottom"/>
            <w:tcBorders>
              <w:bottom w:val="single" w:sz="8" w:color="CCEEFF"/>
            </w:tcBorders>
            <w:gridSpan w:val="6"/>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60" w:type="dxa"/>
            <w:vAlign w:val="bottom"/>
            <w:tcBorders>
              <w:bottom w:val="single" w:sz="8" w:color="CCEEFF"/>
            </w:tcBorders>
            <w:gridSpan w:val="2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500" w:type="dxa"/>
            <w:vAlign w:val="bottom"/>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in this prospectus, unless the context otherwise requires:</w:t>
      </w:r>
    </w:p>
    <w:p>
      <w:pPr>
        <w:spacing w:after="0" w:line="22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Transaction Corp. II, a blank check company incorporated as a Cayman Islands exempt company, and our previous name prior to the Closing.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“Ares” refers to ARRC Beacon LLC, a Delaware limited liability company.</w:t>
      </w:r>
    </w:p>
    <w:p>
      <w:pPr>
        <w:spacing w:after="0" w:line="22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 refers to the transaction contemplated by the BCA.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“Bylaws” refers to the bylaws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“Charter” refers to certificate of incorporation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Units” refers to the Class A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Units” refers to the Class B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refers to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Date” refers to July 21, 2022.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Stock” refers to the collective shares of Class A common stock, Class B common stock, Class C common stock and Class D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the Investment Company Act of 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amended.</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“IPO” refers to ArcLight’s initial public offering of its Class A ordinary shares and ArcLight Public Warrants pursuant to the IPO Registration Statement and completed on March 25,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Registration Statement” refers to ArcLight’s Registration Statement on Form S-1, filed with the SEC (File No. 333-252730), on March 22,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“Meteora” refers to Meteora Capital Partners and its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refers to the Nasdaq Capital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“NextEra” refers to Mendocino Capital,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and “OPAL Fuels” refers to OPAL Fuels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Board” refers to our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Holdco” refers to OPAL Holdco LLC, a Delaware limited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Preferred Stock” refers to our shares of preferred stock, par value $0.0001 per share.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“Private Placement Warrants” refers to the 9,223,261 redeemable warrants that were exchanged for the ArcLight Private Placement Warrants in connection with the Closing, entitling the holder thereof to purchase Class A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“Public Warrants” refers to the 6,223,233 redeemable warrants exchanged for the ArcLight Public Warrants in connection with the Closing, entitling the holder thereof to purchase Class A 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refers collectively to the Private Placement Warrants together with the Public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refers to OPAL Fuels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Common Equityholders” refers to OPAL Holdco and Hillman.</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“Opco Common Units” refers to the Class B Units resulting from the re-classification of the collective Opco common units existing immediately prior to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Units” refers to the 1,000,000 Series A preferred units of Opco held by NextEra.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A-1 Preferred Units” refers to the 300,000 Series A-1 preferred units of Opco held by Hillman.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the Charter and the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Investors” refers, collectively, to the institutional and accredited investors that entered into Subscription Agreements with ArcLight.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refers to the U.S. Securities and Exchange Commission.</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“Second A&amp;R LLC Agreement” refers to the Second Amended and Restated Limited Liability Company Agreement of Opco.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refers to ArcLight CTC Holdings II, L.P., a Delaware limited partnership.</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“Advanced Clean Trucks Regulation” refers to the rules adopted by the California Air Resources Board on June 25, 2020 requiring the sale of zero-emission heavy-duty trucks.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“ADG” refers to anaerobic digester gas.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“BOD” refers to biochemical oxygen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 refers to the California Air Resources Board.</w:t>
      </w:r>
    </w:p>
    <w:p>
      <w:pPr>
        <w:spacing w:after="0" w:line="19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₂</w:t>
      </w:r>
      <w:r>
        <w:rPr>
          <w:rFonts w:ascii="Times New Roman" w:cs="Times New Roman" w:eastAsia="Times New Roman" w:hAnsi="Times New Roman"/>
          <w:sz w:val="18"/>
          <w:szCs w:val="18"/>
          <w:i w:val="1"/>
          <w:iCs w:val="1"/>
          <w:color w:val="auto"/>
        </w:rPr>
        <w:t>” refers to Carbon dioxide.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“EISA” refers to Energy Independence and Security Act of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149"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2020 Executive Order” refers to Executive Order N-79-20 issued by the Governor of the State of California in September 2020.</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landfill gas and livestock waste projects that generate electricity and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and hydrogen dispensing stations;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market conditions and global and economic factors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related to the global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debt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16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SUMMARY</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Capture and Conversion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Dispensing and Monetization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8284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8284845"/>
                    </a:xfrm>
                    <a:prstGeom prst="rect">
                      <a:avLst/>
                    </a:prstGeom>
                    <a:noFill/>
                  </pic:spPr>
                </pic:pic>
              </a:graphicData>
            </a:graphic>
          </wp:anchor>
        </w:drawing>
        <w:t>Hydrogen Fuel</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27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for further detail of our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172" w:lineRule="exact"/>
        <w:rPr>
          <w:sz w:val="20"/>
          <w:szCs w:val="20"/>
          <w:color w:val="auto"/>
        </w:rPr>
      </w:pPr>
    </w:p>
    <w:p>
      <w:pPr>
        <w:jc w:val="both"/>
        <w:ind w:left="660" w:right="20" w:hanging="331"/>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Promoting the reduction of methane and GHG emissions and expanding the use of renewable fuels to displace fossil-based fuels</w:t>
      </w:r>
      <w:r>
        <w:rPr>
          <w:rFonts w:ascii="Times New Roman" w:cs="Times New Roman" w:eastAsia="Times New Roman" w:hAnsi="Times New Roman"/>
          <w:sz w:val="18"/>
          <w:szCs w:val="18"/>
          <w:color w:val="auto"/>
        </w:rPr>
        <w:t>: We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82"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industry position as a full-service partner for development opportunities, including through strategic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capabilities to new feedstock sources and technologies</w:t>
      </w:r>
      <w:r>
        <w:rPr>
          <w:rFonts w:ascii="Times New Roman" w:cs="Times New Roman" w:eastAsia="Times New Roman" w:hAnsi="Times New Roman"/>
          <w:sz w:val="18"/>
          <w:szCs w:val="18"/>
          <w:color w:val="auto"/>
        </w:rPr>
        <w:t>: We believe we will be able to enter new markets for our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Empowering our customers to achieve their sustainability and carbon reduction objectives</w:t>
      </w:r>
      <w:r>
        <w:rPr>
          <w:rFonts w:ascii="Times New Roman" w:cs="Times New Roman" w:eastAsia="Times New Roman" w:hAnsi="Times New Roman"/>
          <w:sz w:val="18"/>
          <w:szCs w:val="18"/>
          <w:color w:val="auto"/>
        </w:rPr>
        <w:t>: We are well positioned to empower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ArcLight completed the Business Combination as contemplated by the Business Combination Agreement. In connection with this,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our Class A common stock; (iii) each issued and outstanding warrant to purchase Class A ordinary shares of ArcLight automatically converted into a warrant to acquire one share of our Class A common stock upon substantially the same economic terms;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Warrant.</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On July 21, 2022, as contemplated by the Business Combination Agreement:</w:t>
      </w:r>
    </w:p>
    <w:p>
      <w:pPr>
        <w:spacing w:after="0" w:line="225" w:lineRule="exact"/>
        <w:rPr>
          <w:sz w:val="20"/>
          <w:szCs w:val="20"/>
          <w:color w:val="auto"/>
        </w:rPr>
      </w:pPr>
    </w:p>
    <w:p>
      <w:pPr>
        <w:jc w:val="both"/>
        <w:ind w:left="660" w:right="20" w:hanging="33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and it in turn distributed to pre-closing members of Opco, 144,399,037 shares of our Class D common stock originally issued as consideration in connection with the Business Combination at a per share value of $10.00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directly to Ares, 3,059,533 shares of our Class A common stock;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issued to us 25,171,390 Class A Units of OPAL Fuels LLC.</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$5.0 million subscribed for pursuant to the PIPE Investment from one of the PIPE Investors subsequent to the Closing and issued 500,000 shares of Class A common stock.</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7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22, 2022, our Class A common stock and Public Warrants commenced trading on The Nasdaq Capital Market under the symbols “OPAL” and “OPALW,” respectively, subject to ongoing review of our satisfaction of all listing criteria following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 Delaware corporation. Our principal executive offices are located at One North Lexington Avenue, Suite 1450, White Plains, New York 10601 and our telephone number is (914) 705-4000. Our website is </w:t>
      </w:r>
      <w:r>
        <w:rPr>
          <w:rFonts w:ascii="Times New Roman" w:cs="Times New Roman" w:eastAsia="Times New Roman" w:hAnsi="Times New Roman"/>
          <w:sz w:val="18"/>
          <w:szCs w:val="18"/>
          <w:i w:val="1"/>
          <w:iCs w:val="1"/>
          <w:color w:val="auto"/>
        </w:rPr>
        <w:t>www.opalfuels.com</w:t>
      </w:r>
      <w:r>
        <w:rPr>
          <w:rFonts w:ascii="Times New Roman" w:cs="Times New Roman" w:eastAsia="Times New Roman" w:hAnsi="Times New Roman"/>
          <w:sz w:val="18"/>
          <w:szCs w:val="18"/>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61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Risk Factor 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10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 and Government Regulation of Our Business</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litigation or administrative proceedings that could materially impact our operations, including proceedings in the future related to projects we subsequently acquire.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 Related to Our Business</w:t>
      </w:r>
    </w:p>
    <w:p>
      <w:pPr>
        <w:spacing w:after="0" w:line="229"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 of oil, gasoline, diesel, natural gas, RNG or Environmental Attributes could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may continue in the future to use, forward-sale and hedging arrangements, to mitigate certain risks, but the use of such arrangements could have a material adverse effect on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436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Additional Risk Factors Relating to Our Business in General</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accounting losses and may incur additional losses in the future;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a capital-intensive business and are pursuing a business plan requiring significant access to capital. We may fail to get access to said capital in a timely manner or obtain capital at unfavorable terms.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relationships with our counterparties and suppliers may experience disruptions in connection with the Business Combination, which may limit our business;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80" w:lineRule="exact"/>
        <w:rPr>
          <w:sz w:val="20"/>
          <w:szCs w:val="20"/>
          <w:color w:val="auto"/>
        </w:rPr>
      </w:pPr>
    </w:p>
    <w:p>
      <w:pPr>
        <w:jc w:val="both"/>
        <w:ind w:left="660" w:right="2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157"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 and</w:t>
      </w:r>
    </w:p>
    <w:p>
      <w:pPr>
        <w:spacing w:after="0" w:line="174"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w:t>
      </w:r>
    </w:p>
    <w:p>
      <w:pPr>
        <w:ind w:right="20" w:firstLine="5"/>
        <w:spacing w:after="0" w:line="260"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in any three-year period, issued more than $1.0 billion in non-convertible debt securities; and (iv) December 31, 2026 (the last day of the fiscal year following the fifth anniversary of ArcLight becoming a public company).</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5" w:name="page16"/>
    <w:bookmarkEnd w:id="15"/>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2498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Risk Factors—Risks Related to the Company—We are an “emerging growth company,”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to comply with the reduced disclosure requirements as a public company may make our common stock less attractive to investors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6" w:name="page17"/>
    <w:bookmarkEnd w:id="16"/>
    <w:p>
      <w:pPr>
        <w:ind w:left="5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8208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8208010"/>
                    </a:xfrm>
                    <a:prstGeom prst="rect">
                      <a:avLst/>
                    </a:prstGeom>
                    <a:noFill/>
                  </pic:spPr>
                </pic:pic>
              </a:graphicData>
            </a:graphic>
          </wp:anchor>
        </w:drawing>
        <w:t>The Offering</w:t>
      </w:r>
    </w:p>
    <w:p>
      <w:pPr>
        <w:spacing w:after="0" w:line="229"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Securities offered by the Company</w:t>
      </w:r>
      <w:r>
        <w:rPr>
          <w:sz w:val="20"/>
          <w:szCs w:val="20"/>
          <w:color w:val="auto"/>
        </w:rPr>
        <w:tab/>
      </w:r>
      <w:r>
        <w:rPr>
          <w:rFonts w:ascii="Times New Roman" w:cs="Times New Roman" w:eastAsia="Times New Roman" w:hAnsi="Times New Roman"/>
          <w:sz w:val="17"/>
          <w:szCs w:val="17"/>
          <w:color w:val="auto"/>
        </w:rPr>
        <w:t>Up to 15,446,494 shares of Class A common stock, consisting of:</w:t>
      </w:r>
    </w:p>
    <w:p>
      <w:pPr>
        <w:spacing w:after="0" w:line="225"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9,223,261 shares of Class A common stock underlying the Private Placement Warrants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were originally purchased at a purchase price of $1.00 per warrant; and</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6,223,233 shares of Class A common stock underlying the Public Warrants that were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originally issued as part of the units sold by Arclight at a purchase price of $10.00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unit in its initial public offering.</w:t>
      </w:r>
    </w:p>
    <w:p>
      <w:pPr>
        <w:spacing w:after="0" w:line="207"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Securities offered by the Selling Holders</w:t>
      </w:r>
      <w:r>
        <w:rPr>
          <w:sz w:val="20"/>
          <w:szCs w:val="20"/>
          <w:color w:val="auto"/>
        </w:rPr>
        <w:tab/>
      </w:r>
      <w:r>
        <w:rPr>
          <w:rFonts w:ascii="Times New Roman" w:cs="Times New Roman" w:eastAsia="Times New Roman" w:hAnsi="Times New Roman"/>
          <w:sz w:val="18"/>
          <w:szCs w:val="18"/>
          <w:color w:val="auto"/>
        </w:rPr>
        <w:t>Up to 175,541,507 shares of Class A common stock, consisting of:</w:t>
      </w:r>
    </w:p>
    <w:p>
      <w:pPr>
        <w:spacing w:after="0" w:line="225"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10,838,609 shares of Class A common stock issued under the Business Combination</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Agreement to Ares, Sponsor and certain former directors of ArcLight originally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acquired by such parties for an effective purchase price of approximately $0.003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144,399,037 shares of Class A common stock issuable upon the conversion of Class C</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common stock issuable to the Opco Common Equityholders upon the exchange of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Opco Common Units and the cancellation of an equal number of shares of Class D</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common stock originally issued as consideration in connection with the Business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Combination at a per share value of $10.00 per share;</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9,223,261 shares of Class A common stock underlying the Private Placement Warrants</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were originally purchased at a purchase price of $1.00 per warrant; and</w:t>
      </w:r>
    </w:p>
    <w:p>
      <w:pPr>
        <w:spacing w:after="0" w:line="207" w:lineRule="exact"/>
        <w:rPr>
          <w:sz w:val="20"/>
          <w:szCs w:val="20"/>
          <w:color w:val="auto"/>
        </w:rPr>
      </w:pPr>
    </w:p>
    <w:p>
      <w:pPr>
        <w:ind w:left="4400"/>
        <w:spacing w:after="0"/>
        <w:tabs>
          <w:tab w:leader="none" w:pos="4700" w:val="left"/>
        </w:tabs>
        <w:rPr>
          <w:sz w:val="20"/>
          <w:szCs w:val="20"/>
          <w:color w:val="auto"/>
        </w:rPr>
      </w:pPr>
      <w:r>
        <w:rPr>
          <w:rFonts w:ascii="Times New Roman" w:cs="Times New Roman" w:eastAsia="Times New Roman" w:hAnsi="Times New Roman"/>
          <w:sz w:val="18"/>
          <w:szCs w:val="18"/>
          <w:color w:val="auto"/>
        </w:rPr>
        <w:t>●</w:t>
        <w:tab/>
        <w:t>11,080,600 shares of Class A common stock issued to the PIPE Investors at a purchase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price of $10.00 per share.</w:t>
      </w:r>
    </w:p>
    <w:p>
      <w:pPr>
        <w:spacing w:after="0" w:line="207"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 shares of Class A common</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stock by the Selling Holders. We could receive up to an aggregate of $177,634,681 if</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all of the Warrants are exercised for cash. However, we will only receive such</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proceeds if and when the holders of the Warrants choose to exercise them.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exercise of the Warrants, and any proceeds we may receive from their exercise, are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highly dependent on the price of our Class A common stock and the spread between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the exercise price of the Warrants and the price of our Class A common stock at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time of exercise. We have 15,446,494 outstanding Warrants to purchase 15,446,494</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shares of our Class A common stock, exercisable at an exercise price of $11.50 per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share. If the market price of our Class A common stock is less than the exercise price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of a holder’s Warrants, it is unlikely that holders will choose to exercise. As of October</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 2022, the closing price of our Class A common stock was $6.23 per share. There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can be no assurance that the Warrants will be in the money prior to their expiration. In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addition, the Sponsor (as defined herein), or its permitted transferees, have the option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to exercise the Private Placement Warrants on a cashless basis. As such, it is possible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that we may never generate any cash proceeds from the exercise of our Warrants. We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will bear all costs, expenses and fees in connection with the registration of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securities. The Selling Holders will bear all commissions and discounts, if any,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attributable to their respective sales of the securities.</w:t>
      </w:r>
    </w:p>
    <w:p>
      <w:pPr>
        <w:sectPr>
          <w:pgSz w:w="11900" w:h="16838" w:orient="portrait"/>
          <w:cols w:equalWidth="0" w:num="1">
            <w:col w:w="11000"/>
          </w:cols>
          <w:pgMar w:left="440" w:top="900" w:right="4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for our shares of common stock and warrants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for trading on Nasdaq under the symbols “OPAL” and “OPALW,”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w:t>
      </w:r>
    </w:p>
    <w:p>
      <w:pPr>
        <w:spacing w:after="0" w:line="200" w:lineRule="exact"/>
        <w:rPr>
          <w:sz w:val="20"/>
          <w:szCs w:val="20"/>
          <w:color w:val="auto"/>
        </w:rPr>
      </w:pPr>
    </w:p>
    <w:p>
      <w:pPr>
        <w:sectPr>
          <w:pgSz w:w="11900" w:h="16838" w:orient="portrait"/>
          <w:cols w:equalWidth="0" w:num="2">
            <w:col w:w="4000" w:space="720"/>
            <w:col w:w="6280"/>
          </w:cols>
          <w:pgMar w:left="440" w:top="900" w:right="459"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 except per unit data)</w:t>
            </w:r>
          </w:p>
        </w:tc>
        <w:tc>
          <w:tcPr>
            <w:tcW w:w="180" w:type="dxa"/>
            <w:vAlign w:val="bottom"/>
          </w:tcPr>
          <w:p>
            <w:pPr>
              <w:spacing w:after="0"/>
              <w:rPr>
                <w:sz w:val="21"/>
                <w:szCs w:val="21"/>
                <w:color w:val="auto"/>
              </w:rPr>
            </w:pPr>
          </w:p>
        </w:tc>
        <w:tc>
          <w:tcPr>
            <w:tcW w:w="2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0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(Restated) </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102,264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117,706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75,589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90,972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18,810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(gain) on interest rate swaps, net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(54,298)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121,961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21,453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24,653</w:t>
            </w:r>
          </w:p>
        </w:tc>
        <w:tc>
          <w:tcPr>
            <w:tcW w:w="0" w:type="dxa"/>
            <w:vAlign w:val="bottom"/>
          </w:tcPr>
          <w:p>
            <w:pPr>
              <w:spacing w:after="0"/>
              <w:rPr>
                <w:sz w:val="1"/>
                <w:szCs w:val="1"/>
                <w:color w:val="auto"/>
              </w:rPr>
            </w:pPr>
          </w:p>
        </w:tc>
      </w:tr>
      <w:tr>
        <w:trPr>
          <w:trHeight w:val="184"/>
        </w:trPr>
        <w:tc>
          <w:tcPr>
            <w:tcW w:w="4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line="275" w:lineRule="exact"/>
              <w:rPr>
                <w:sz w:val="20"/>
                <w:szCs w:val="20"/>
                <w:color w:val="auto"/>
              </w:rPr>
            </w:pPr>
            <w:r>
              <w:rPr>
                <w:rFonts w:ascii="Times New Roman" w:cs="Times New Roman" w:eastAsia="Times New Roman" w:hAnsi="Times New Roman"/>
                <w:sz w:val="17"/>
                <w:szCs w:val="17"/>
                <w:color w:val="auto"/>
              </w:rPr>
              <w:t>(857</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years ended December 31, 2020 and 2019.</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1"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8"/>
                <w:szCs w:val="18"/>
                <w:color w:val="auto"/>
              </w:rPr>
            </w:pPr>
          </w:p>
        </w:tc>
        <w:tc>
          <w:tcPr>
            <w:tcW w:w="2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2"/>
                <w:szCs w:val="22"/>
                <w:color w:val="auto"/>
              </w:rPr>
            </w:pPr>
          </w:p>
        </w:tc>
        <w:tc>
          <w:tcPr>
            <w:tcW w:w="230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 - current and non-current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229,103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305,323</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285,887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Redeemable preferred units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w w:val="92"/>
              </w:rPr>
              <w:t>30,210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64,747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 ended December 31, 2020.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OPAL’s Class A common stock and public warrants are listed for trading on Nasdaq under the symbols “OPAL” and “OPALW,”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price of the Class A common stock and the warrants to purchase Class A common stock on October 13, 2022 was $6.23, and $1.09, respectively. Holders of Class A common stock and warrants should obtain current market quotations for their securities.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Third Party Relationships and Government Regulation of Our Business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In addition, the biogas rights are typically specific to the right to produce electricity generated from renewable sources (“</w:t>
      </w:r>
      <w:r>
        <w:rPr>
          <w:rFonts w:ascii="Times New Roman" w:cs="Times New Roman" w:eastAsia="Times New Roman" w:hAnsi="Times New Roman"/>
          <w:sz w:val="18"/>
          <w:szCs w:val="18"/>
          <w:b w:val="1"/>
          <w:bCs w:val="1"/>
          <w:i w:val="1"/>
          <w:iCs w:val="1"/>
          <w:color w:val="auto"/>
        </w:rPr>
        <w:t>Renewable Power</w:t>
      </w:r>
      <w:r>
        <w:rPr>
          <w:rFonts w:ascii="Times New Roman" w:cs="Times New Roman" w:eastAsia="Times New Roman" w:hAnsi="Times New Roman"/>
          <w:sz w:val="18"/>
          <w:szCs w:val="18"/>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 w:cs="Times New Roman" w:eastAsia="Times New Roman" w:hAnsi="Times New Roman"/>
          <w:sz w:val="18"/>
          <w:szCs w:val="18"/>
          <w:b w:val="1"/>
          <w:bCs w:val="1"/>
          <w:i w:val="1"/>
          <w:iCs w:val="1"/>
          <w:color w:val="auto"/>
        </w:rPr>
        <w:t>Advanced Clean Trucks Regulation</w:t>
      </w:r>
      <w:r>
        <w:rPr>
          <w:rFonts w:ascii="Times New Roman" w:cs="Times New Roman" w:eastAsia="Times New Roman" w:hAnsi="Times New Roman"/>
          <w:sz w:val="18"/>
          <w:szCs w:val="18"/>
          <w:color w:val="auto"/>
        </w:rPr>
        <w:t>”) and Executive Order N-79-20 issued by the Governor of the State of California in September 2020 (the “</w:t>
      </w:r>
      <w:r>
        <w:rPr>
          <w:rFonts w:ascii="Times New Roman" w:cs="Times New Roman" w:eastAsia="Times New Roman" w:hAnsi="Times New Roman"/>
          <w:sz w:val="18"/>
          <w:szCs w:val="18"/>
          <w:b w:val="1"/>
          <w:bCs w:val="1"/>
          <w:i w:val="1"/>
          <w:iCs w:val="1"/>
          <w:color w:val="auto"/>
        </w:rPr>
        <w:t>September 2020 Executive Order</w:t>
      </w:r>
      <w:r>
        <w:rPr>
          <w:rFonts w:ascii="Times New Roman" w:cs="Times New Roman" w:eastAsia="Times New Roman" w:hAnsi="Times New Roman"/>
          <w:sz w:val="18"/>
          <w:szCs w:val="18"/>
          <w:color w:val="auto"/>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Times New Roman" w:cs="Times New Roman" w:eastAsia="Times New Roman" w:hAnsi="Times New Roman"/>
          <w:sz w:val="18"/>
          <w:szCs w:val="18"/>
          <w:i w:val="1"/>
          <w:iCs w:val="1"/>
          <w:color w:val="auto"/>
        </w:rPr>
        <w:t>“Business—Legal Proceedings—Arbor Hills Matter.”</w:t>
      </w:r>
      <w:r>
        <w:rPr>
          <w:rFonts w:ascii="Times New Roman" w:cs="Times New Roman" w:eastAsia="Times New Roman" w:hAnsi="Times New Roman"/>
          <w:sz w:val="18"/>
          <w:szCs w:val="18"/>
          <w:color w:val="auto"/>
        </w:rPr>
        <w:t xml:space="preserve"> In addition, on July 30, 2021, Richmond Energy, a Company subsidiary, entered into a Consent Order with the Virginia Department of Environmental Quality (“</w:t>
      </w:r>
      <w:r>
        <w:rPr>
          <w:rFonts w:ascii="Times New Roman" w:cs="Times New Roman" w:eastAsia="Times New Roman" w:hAnsi="Times New Roman"/>
          <w:sz w:val="18"/>
          <w:szCs w:val="18"/>
          <w:b w:val="1"/>
          <w:bCs w:val="1"/>
          <w:i w:val="1"/>
          <w:iCs w:val="1"/>
          <w:color w:val="auto"/>
        </w:rPr>
        <w:t>VDEQ</w:t>
      </w:r>
      <w:r>
        <w:rPr>
          <w:rFonts w:ascii="Times New Roman" w:cs="Times New Roman" w:eastAsia="Times New Roman" w:hAnsi="Times New Roman"/>
          <w:sz w:val="18"/>
          <w:szCs w:val="18"/>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w:t>
      </w:r>
    </w:p>
    <w:p>
      <w:pPr>
        <w:spacing w:after="0" w:line="6" w:lineRule="exact"/>
        <w:rPr>
          <w:sz w:val="20"/>
          <w:szCs w:val="20"/>
          <w:color w:val="auto"/>
        </w:rPr>
      </w:pPr>
    </w:p>
    <w:p>
      <w:pPr>
        <w:ind w:right="20" w:firstLine="8"/>
        <w:spacing w:after="0" w:line="260"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development of emissions reduction targets and (vi) establish the special presidential envoy for climate on the National Security Council. At this time, we cannot predict the outcome of any of these executive orders on our operations.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Environmental Protection Agency (“</w:t>
      </w:r>
      <w:r>
        <w:rPr>
          <w:rFonts w:ascii="Times New Roman" w:cs="Times New Roman" w:eastAsia="Times New Roman" w:hAnsi="Times New Roman"/>
          <w:sz w:val="18"/>
          <w:szCs w:val="18"/>
          <w:b w:val="1"/>
          <w:bCs w:val="1"/>
          <w:i w:val="1"/>
          <w:iCs w:val="1"/>
          <w:color w:val="auto"/>
        </w:rPr>
        <w:t>EPA</w:t>
      </w:r>
      <w:r>
        <w:rPr>
          <w:rFonts w:ascii="Times New Roman" w:cs="Times New Roman" w:eastAsia="Times New Roman" w:hAnsi="Times New Roman"/>
          <w:sz w:val="18"/>
          <w:szCs w:val="18"/>
          <w:color w:val="auto"/>
        </w:rPr>
        <w:t>”) annually sets proposed and actual renewable volume obligations (“</w:t>
      </w:r>
      <w:r>
        <w:rPr>
          <w:rFonts w:ascii="Times New Roman" w:cs="Times New Roman" w:eastAsia="Times New Roman" w:hAnsi="Times New Roman"/>
          <w:sz w:val="18"/>
          <w:szCs w:val="18"/>
          <w:b w:val="1"/>
          <w:bCs w:val="1"/>
          <w:i w:val="1"/>
          <w:iCs w:val="1"/>
          <w:color w:val="auto"/>
        </w:rPr>
        <w:t>RVOs</w:t>
      </w:r>
      <w:r>
        <w:rPr>
          <w:rFonts w:ascii="Times New Roman" w:cs="Times New Roman" w:eastAsia="Times New Roman" w:hAnsi="Times New Roman"/>
          <w:sz w:val="18"/>
          <w:szCs w:val="18"/>
          <w:color w:val="auto"/>
        </w:rPr>
        <w:t>”) for the Renewable Identification Numbers (“</w:t>
      </w:r>
      <w:r>
        <w:rPr>
          <w:rFonts w:ascii="Times New Roman" w:cs="Times New Roman" w:eastAsia="Times New Roman" w:hAnsi="Times New Roman"/>
          <w:sz w:val="18"/>
          <w:szCs w:val="18"/>
          <w:b w:val="1"/>
          <w:bCs w:val="1"/>
          <w:i w:val="1"/>
          <w:iCs w:val="1"/>
          <w:color w:val="auto"/>
        </w:rPr>
        <w:t>RIN</w:t>
      </w:r>
      <w:r>
        <w:rPr>
          <w:rFonts w:ascii="Times New Roman" w:cs="Times New Roman" w:eastAsia="Times New Roman" w:hAnsi="Times New Roman"/>
          <w:sz w:val="18"/>
          <w:szCs w:val="18"/>
          <w:color w:val="auto"/>
        </w:rPr>
        <w:t>”) market in accordance with the mandates established by the Energy Independence and Security Act of 2007 (the “</w:t>
      </w:r>
      <w:r>
        <w:rPr>
          <w:rFonts w:ascii="Times New Roman" w:cs="Times New Roman" w:eastAsia="Times New Roman" w:hAnsi="Times New Roman"/>
          <w:sz w:val="18"/>
          <w:szCs w:val="18"/>
          <w:b w:val="1"/>
          <w:bCs w:val="1"/>
          <w:i w:val="1"/>
          <w:iCs w:val="1"/>
          <w:color w:val="auto"/>
        </w:rPr>
        <w:t>EISA</w:t>
      </w:r>
      <w:r>
        <w:rPr>
          <w:rFonts w:ascii="Times New Roman" w:cs="Times New Roman" w:eastAsia="Times New Roman" w:hAnsi="Times New Roman"/>
          <w:sz w:val="18"/>
          <w:szCs w:val="18"/>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 w:cs="Times New Roman" w:eastAsia="Times New Roman" w:hAnsi="Times New Roman"/>
          <w:sz w:val="18"/>
          <w:szCs w:val="18"/>
          <w:b w:val="1"/>
          <w:bCs w:val="1"/>
          <w:i w:val="1"/>
          <w:iCs w:val="1"/>
          <w:color w:val="auto"/>
        </w:rPr>
        <w:t>RFS</w:t>
      </w:r>
      <w:r>
        <w:rPr>
          <w:rFonts w:ascii="Times New Roman" w:cs="Times New Roman" w:eastAsia="Times New Roman" w:hAnsi="Times New Roman"/>
          <w:sz w:val="18"/>
          <w:szCs w:val="18"/>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86"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On the state level, the economics of RNG are enhanced by low-carbon fuel initiatives, particularly a well-established Low Carbon Fuel Standard (“</w:t>
      </w:r>
      <w:r>
        <w:rPr>
          <w:rFonts w:ascii="Times New Roman" w:cs="Times New Roman" w:eastAsia="Times New Roman" w:hAnsi="Times New Roman"/>
          <w:sz w:val="18"/>
          <w:szCs w:val="18"/>
          <w:b w:val="1"/>
          <w:bCs w:val="1"/>
          <w:i w:val="1"/>
          <w:iCs w:val="1"/>
          <w:color w:val="auto"/>
        </w:rPr>
        <w:t>LCFS</w:t>
      </w:r>
      <w:r>
        <w:rPr>
          <w:rFonts w:ascii="Times New Roman" w:cs="Times New Roman" w:eastAsia="Times New Roman" w:hAnsi="Times New Roman"/>
          <w:sz w:val="18"/>
          <w:szCs w:val="18"/>
          <w:color w:val="auto"/>
        </w:rPr>
        <w:t>”) program in California and similar developing programs in Oregon and Washington (with several other states also actively considering similar initiatives). In California’s case, in 2009, the California Air Resource Board (“</w:t>
      </w:r>
      <w:r>
        <w:rPr>
          <w:rFonts w:ascii="Times New Roman" w:cs="Times New Roman" w:eastAsia="Times New Roman" w:hAnsi="Times New Roman"/>
          <w:sz w:val="18"/>
          <w:szCs w:val="18"/>
          <w:b w:val="1"/>
          <w:bCs w:val="1"/>
          <w:i w:val="1"/>
          <w:iCs w:val="1"/>
          <w:color w:val="auto"/>
        </w:rPr>
        <w:t>CARB</w:t>
      </w:r>
      <w:r>
        <w:rPr>
          <w:rFonts w:ascii="Times New Roman" w:cs="Times New Roman" w:eastAsia="Times New Roman" w:hAnsi="Times New Roman"/>
          <w:sz w:val="18"/>
          <w:szCs w:val="18"/>
          <w:color w:val="auto"/>
        </w:rPr>
        <w:t>”) adopted LCFS regulations aimed at reducing the Carbon Intensity (“</w:t>
      </w:r>
      <w:r>
        <w:rPr>
          <w:rFonts w:ascii="Times New Roman" w:cs="Times New Roman" w:eastAsia="Times New Roman" w:hAnsi="Times New Roman"/>
          <w:sz w:val="18"/>
          <w:szCs w:val="18"/>
          <w:b w:val="1"/>
          <w:bCs w:val="1"/>
          <w:i w:val="1"/>
          <w:iCs w:val="1"/>
          <w:color w:val="auto"/>
        </w:rPr>
        <w:t>CI</w:t>
      </w:r>
      <w:r>
        <w:rPr>
          <w:rFonts w:ascii="Times New Roman" w:cs="Times New Roman" w:eastAsia="Times New Roman" w:hAnsi="Times New Roman"/>
          <w:sz w:val="18"/>
          <w:szCs w:val="18"/>
          <w:color w:val="auto"/>
        </w:rPr>
        <w:t>”) of transportation fuel sold and purchased in the state. A CI score is calculated as grams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equivalent per megajoule of energy by the fuel. Under the California and California-type LCFS programs, the CI score is dependent upon a full lifecycle analysis that evaluates the greenhouse gases (“</w:t>
      </w:r>
      <w:r>
        <w:rPr>
          <w:rFonts w:ascii="Times New Roman" w:cs="Times New Roman" w:eastAsia="Times New Roman" w:hAnsi="Times New Roman"/>
          <w:sz w:val="18"/>
          <w:szCs w:val="18"/>
          <w:b w:val="1"/>
          <w:bCs w:val="1"/>
          <w:i w:val="1"/>
          <w:iCs w:val="1"/>
          <w:color w:val="auto"/>
        </w:rPr>
        <w:t>GHG</w:t>
      </w:r>
      <w:r>
        <w:rPr>
          <w:rFonts w:ascii="Times New Roman" w:cs="Times New Roman" w:eastAsia="Times New Roman" w:hAnsi="Times New Roman"/>
          <w:sz w:val="18"/>
          <w:szCs w:val="18"/>
          <w:color w:val="auto"/>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our current electric generating facilities are qualifying small power production facilities (“</w:t>
      </w:r>
      <w:r>
        <w:rPr>
          <w:rFonts w:ascii="Times New Roman" w:cs="Times New Roman" w:eastAsia="Times New Roman" w:hAnsi="Times New Roman"/>
          <w:sz w:val="18"/>
          <w:szCs w:val="18"/>
          <w:b w:val="1"/>
          <w:bCs w:val="1"/>
          <w:i w:val="1"/>
          <w:iCs w:val="1"/>
          <w:color w:val="auto"/>
        </w:rPr>
        <w:t>QFs</w:t>
      </w:r>
      <w:r>
        <w:rPr>
          <w:rFonts w:ascii="Times New Roman" w:cs="Times New Roman" w:eastAsia="Times New Roman" w:hAnsi="Times New Roman"/>
          <w:sz w:val="18"/>
          <w:szCs w:val="18"/>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 w:cs="Times New Roman" w:eastAsia="Times New Roman" w:hAnsi="Times New Roman"/>
          <w:sz w:val="18"/>
          <w:szCs w:val="18"/>
          <w:b w:val="1"/>
          <w:bCs w:val="1"/>
          <w:i w:val="1"/>
          <w:iCs w:val="1"/>
          <w:color w:val="auto"/>
        </w:rPr>
        <w:t>MBR Authority</w:t>
      </w:r>
      <w:r>
        <w:rPr>
          <w:rFonts w:ascii="Times New Roman" w:cs="Times New Roman" w:eastAsia="Times New Roman" w:hAnsi="Times New Roman"/>
          <w:sz w:val="18"/>
          <w:szCs w:val="18"/>
          <w:color w:val="auto"/>
        </w:rPr>
        <w:t>”) or any other approval from the U.S. Federal Energy Regulatory Commission (“</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 w:cs="Times New Roman" w:eastAsia="Times New Roman" w:hAnsi="Times New Roman"/>
          <w:sz w:val="18"/>
          <w:szCs w:val="18"/>
          <w:b w:val="1"/>
          <w:bCs w:val="1"/>
          <w:i w:val="1"/>
          <w:iCs w:val="1"/>
          <w:color w:val="auto"/>
        </w:rPr>
        <w:t>RPS</w:t>
      </w:r>
      <w:r>
        <w:rPr>
          <w:rFonts w:ascii="Times New Roman" w:cs="Times New Roman" w:eastAsia="Times New Roman" w:hAnsi="Times New Roman"/>
          <w:sz w:val="18"/>
          <w:szCs w:val="18"/>
          <w:color w:val="auto"/>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Risks Related to Our Business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volatility in the price of oil, gasoline, diesel, natural gas, RNG, or Environmental Attribute prices could adversely affect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8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w:t>
      </w:r>
    </w:p>
    <w:p>
      <w:pPr>
        <w:spacing w:after="0" w:line="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power or in patterns of power usage, including the potential development of demand-side management tools and practices;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fuels or new technologies for the production of power; (vii) federal and state regulations; and (viii) actions of the Independent System Operators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Regional Transmission Organizations (“</w:t>
      </w:r>
      <w:r>
        <w:rPr>
          <w:rFonts w:ascii="Times New Roman" w:cs="Times New Roman" w:eastAsia="Times New Roman" w:hAnsi="Times New Roman"/>
          <w:sz w:val="18"/>
          <w:szCs w:val="18"/>
          <w:b w:val="1"/>
          <w:bCs w:val="1"/>
          <w:i w:val="1"/>
          <w:iCs w:val="1"/>
          <w:color w:val="auto"/>
        </w:rPr>
        <w:t>RTOs</w:t>
      </w:r>
      <w:r>
        <w:rPr>
          <w:rFonts w:ascii="Times New Roman" w:cs="Times New Roman" w:eastAsia="Times New Roman" w:hAnsi="Times New Roman"/>
          <w:sz w:val="18"/>
          <w:szCs w:val="18"/>
          <w:color w:val="auto"/>
        </w:rPr>
        <w:t>”) that control and administer regional power markets.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volume and composition of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Biogas Capture Business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Dispensing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In addition, other factors related to the development and operation of renewable energy projects could adversely affect our business, including:</w:t>
      </w:r>
    </w:p>
    <w:p>
      <w:pPr>
        <w:spacing w:after="0" w:line="27" w:lineRule="exact"/>
        <w:rPr>
          <w:sz w:val="20"/>
          <w:szCs w:val="20"/>
          <w:color w:val="auto"/>
        </w:rPr>
      </w:pPr>
    </w:p>
    <w:p>
      <w:pPr>
        <w:jc w:val="both"/>
        <w:ind w:firstLine="8"/>
        <w:spacing w:after="0" w:line="250" w:lineRule="auto"/>
        <w:tabs>
          <w:tab w:leader="none" w:pos="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all necessary rights to land access and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and environmental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or supply chain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interconnection and access to utilities.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Business in General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pro forma consolidated indebtedness as of June 30, 2022 would have been approximately $210.5 million, or approximately 41.7% of our total pro forma capitalization of $504.6 million at such date. See </w:t>
      </w:r>
      <w:r>
        <w:rPr>
          <w:rFonts w:ascii="Times New Roman" w:cs="Times New Roman" w:eastAsia="Times New Roman" w:hAnsi="Times New Roman"/>
          <w:sz w:val="18"/>
          <w:szCs w:val="18"/>
          <w:i w:val="1"/>
          <w:iCs w:val="1"/>
          <w:color w:val="auto"/>
        </w:rPr>
        <w:t>“Unaudited Pro Forma Combined Financial Information”</w:t>
      </w:r>
      <w:r>
        <w:rPr>
          <w:rFonts w:ascii="Times New Roman" w:cs="Times New Roman" w:eastAsia="Times New Roman" w:hAnsi="Times New Roman"/>
          <w:sz w:val="18"/>
          <w:szCs w:val="18"/>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225"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measures intended to reduce its spread have, and may continue to,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delay in the adoption of natural gas vehicle fuels by heavy-duty trucks and/or a delay in increasing the use of our vehicle fuels;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oil and diesel prices, especially relative to natural gas prices and for a prolonged period, which may decrease the price-related incentive for operators to adopt trucks that use our vehicle fuels.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relationships with our counterparties and suppliers may experience disruptions as a result of the Business Combination, which may limit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Opco, these material weaknesses identified were as follows:</w:t>
      </w:r>
    </w:p>
    <w:p>
      <w:pPr>
        <w:spacing w:after="0" w:line="225"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an adequate control environment, including internal communications, to allow for timeliness of reviews for the accounting and disclosures of significant and unusual transactions and contracts;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did not have timely and effective reviews over standard account reconciliations and related accounting analysis which resulted in various audit adjustments that we corrected;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controls over application of ASC-606 were not designed and implemented appropriately during the current year.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its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7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3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of 1933, as amended (the “Securities Act”), of which this prospectus is a part or in reliance upon an exemption from registration under the Securities Act. Pursuant to the Investor Rights Agreement, those stockholders are entitled to have the registration statement under the Securities Act of which this prospectus is a part kept effective for a prolonged period of time such that registered resales of their shares of Class A common stock can be made.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this registration statement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Opco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October 13, 2022, the closing price of our Class A common stock was $6.23. Based on this closing price, the aggregate sales price of the Founder Shares would be approximately $48,463,643.</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terms of ArcLight’s placement agent agreements with BofA Securities, Inc. (“</w:t>
      </w:r>
      <w:r>
        <w:rPr>
          <w:rFonts w:ascii="Times New Roman" w:cs="Times New Roman" w:eastAsia="Times New Roman" w:hAnsi="Times New Roman"/>
          <w:sz w:val="18"/>
          <w:szCs w:val="18"/>
          <w:b w:val="1"/>
          <w:bCs w:val="1"/>
          <w:i w:val="1"/>
          <w:iCs w:val="1"/>
          <w:color w:val="auto"/>
        </w:rPr>
        <w:t>BofA</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i w:val="1"/>
          <w:iCs w:val="1"/>
          <w:color w:val="auto"/>
        </w:rPr>
        <w:t>CS</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Citigroup Global Markets Inc. (“</w:t>
      </w:r>
      <w:r>
        <w:rPr>
          <w:rFonts w:ascii="Times New Roman" w:cs="Times New Roman" w:eastAsia="Times New Roman" w:hAnsi="Times New Roman"/>
          <w:sz w:val="18"/>
          <w:szCs w:val="18"/>
          <w:b w:val="1"/>
          <w:bCs w:val="1"/>
          <w:i w:val="1"/>
          <w:iCs w:val="1"/>
          <w:color w:val="auto"/>
        </w:rPr>
        <w:t>Citi</w:t>
      </w:r>
      <w:r>
        <w:rPr>
          <w:rFonts w:ascii="Times New Roman" w:cs="Times New Roman" w:eastAsia="Times New Roman" w:hAnsi="Times New Roman"/>
          <w:sz w:val="18"/>
          <w:szCs w:val="18"/>
          <w:color w:val="auto"/>
        </w:rPr>
        <w:t>” and together with BofA, CS and Barclays, the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8"/>
          <w:szCs w:val="18"/>
          <w:i w:val="1"/>
          <w:iCs w:val="1"/>
          <w:color w:val="auto"/>
        </w:rPr>
        <w:t>Summary—Recent Developments</w:t>
      </w:r>
      <w:r>
        <w:rPr>
          <w:rFonts w:ascii="Times New Roman" w:cs="Times New Roman" w:eastAsia="Times New Roman" w:hAnsi="Times New Roman"/>
          <w:sz w:val="18"/>
          <w:szCs w:val="18"/>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have an adverse effect on the market price of our Class A common stock.</w:t>
      </w:r>
    </w:p>
    <w:p>
      <w:pPr>
        <w:spacing w:after="0" w:line="229"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As of the date of this prospectus, we have 6,223,233 outstanding Public Warrants to purchase 6,223,233 shares of our Class A common stock, exercisable at an exercise price of $11.50 per share, which expire on the earlier to occur of July 21, 2027</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redemption; and (ii) 9,223,261 outstanding Private Warrants to purchase 9,223,261 shares of our Class A common stock, exercisable at an exercise price of $11.50 per share, which expire on the</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earlier to occur of July 21, 2027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Warrants on a cashless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Five years after the Closing of the IBC.</w:t>
      </w:r>
    </w:p>
    <w:p>
      <w:pPr>
        <w:ind w:left="340" w:hanging="332"/>
        <w:spacing w:after="0" w:line="180" w:lineRule="auto"/>
        <w:tabs>
          <w:tab w:leader="none" w:pos="3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Five years after the Closing of the IBC.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Opco, and we are accordingly dependent upon distributions from Opco Fuels to pay dividends and taxes and other expenses.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 that we will be able to comply with the continued listing standards of Nasdaq.</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including:</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the Organizational Documents that could delay or prevent a change of control.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the Bylaws;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rFonts w:ascii="Times New Roman" w:cs="Times New Roman" w:eastAsia="Times New Roman" w:hAnsi="Times New Roman"/>
          <w:sz w:val="18"/>
          <w:szCs w:val="18"/>
          <w:i w:val="1"/>
          <w:iCs w:val="1"/>
          <w:color w:val="auto"/>
        </w:rPr>
        <w:t>“Description of Securities—Anti-Takeover Effects of Provisions of Delaware Law and the Organizational Documents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176"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repurchase up to 2 million shares of our Class A common stock from an investor with whom we entered into a forward purchase agreement in connection with the Business Combination Closing, which would reduce the amount of cash available to us to fund our growth plan.</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If Meteora holds some or all of the 2 million shares on that date, and the per share trading price of our Class A common shares is less than $10.02 per share, we would expect that Meteora will exercise this repurchase right with respect to such shares. The Company has placed $20,040,000 in escrow to secure its purchase obligations to Meteora under the Forward Purchase Agreement and has accounted for such an amount as restricted cash on its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the shares of Class A common stock offered by the Selling Holders pursuant to this prospectus will be sold by the Selling Holders for their respective accounts. We will not receive any of the proceeds from these sales.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for purposes of this section, and other related events as described in Note 1 to the accompanying Notes to the unaudited pro forma condensed combined financial information:</w:t>
      </w:r>
    </w:p>
    <w:p>
      <w:pPr>
        <w:spacing w:after="0" w:line="183" w:lineRule="exact"/>
        <w:rPr>
          <w:sz w:val="20"/>
          <w:szCs w:val="20"/>
          <w:color w:val="auto"/>
        </w:rPr>
      </w:pPr>
    </w:p>
    <w:p>
      <w:pPr>
        <w:ind w:left="66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Opal Fuels LLC (“Opco”) and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referred to herein as the “Business Combination”, including the other events contemplated by the Business Combination Agreement;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purchased 1,000,000 Opco Series A Preferred Units (the “</w:t>
      </w:r>
      <w:r>
        <w:rPr>
          <w:rFonts w:ascii="Times New Roman" w:cs="Times New Roman" w:eastAsia="Times New Roman" w:hAnsi="Times New Roman"/>
          <w:sz w:val="18"/>
          <w:szCs w:val="18"/>
          <w:b w:val="1"/>
          <w:bCs w:val="1"/>
          <w:i w:val="1"/>
          <w:iCs w:val="1"/>
          <w:color w:val="auto"/>
        </w:rPr>
        <w:t>NextEra Subscription</w:t>
      </w:r>
      <w:r>
        <w:rPr>
          <w:rFonts w:ascii="Times New Roman" w:cs="Times New Roman" w:eastAsia="Times New Roman" w:hAnsi="Times New Roman"/>
          <w:sz w:val="18"/>
          <w:szCs w:val="18"/>
          <w:color w:val="auto"/>
        </w:rPr>
        <w:t>”) as of June 30, 2022;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by Opco in May of 2021 (the “</w:t>
      </w:r>
      <w:r>
        <w:rPr>
          <w:rFonts w:ascii="Times New Roman" w:cs="Times New Roman" w:eastAsia="Times New Roman" w:hAnsi="Times New Roman"/>
          <w:sz w:val="18"/>
          <w:szCs w:val="18"/>
          <w:b w:val="1"/>
          <w:bCs w:val="1"/>
          <w:i w:val="1"/>
          <w:iCs w:val="1"/>
          <w:color w:val="auto"/>
        </w:rPr>
        <w:t>Beacon Transaction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Beacon, as of, and for the four months ended April 30, 2021, included elsewhere in this prospectus and</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elsewhere in this prospectus.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6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6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OPAL</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ArcLight</w:t>
            </w:r>
          </w:p>
        </w:tc>
        <w:tc>
          <w:tcPr>
            <w:tcW w:w="320" w:type="dxa"/>
            <w:vAlign w:val="bottom"/>
          </w:tcPr>
          <w:p>
            <w:pPr>
              <w:spacing w:after="0"/>
              <w:rPr>
                <w:sz w:val="16"/>
                <w:szCs w:val="16"/>
                <w:color w:val="auto"/>
              </w:rPr>
            </w:pPr>
          </w:p>
        </w:tc>
        <w:tc>
          <w:tcPr>
            <w:tcW w:w="1100" w:type="dxa"/>
            <w:vAlign w:val="bottom"/>
            <w:gridSpan w:val="3"/>
          </w:tcPr>
          <w:p>
            <w:pPr>
              <w:jc w:val="center"/>
              <w:ind w:right="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6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100" w:type="dxa"/>
            <w:vAlign w:val="bottom"/>
          </w:tcPr>
          <w:p>
            <w:pPr>
              <w:spacing w:after="0"/>
              <w:rPr>
                <w:sz w:val="21"/>
                <w:szCs w:val="21"/>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(Note 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2194a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110,806</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235,661</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311,616</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6a</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(9,259)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(274,187)</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6i</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inventory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5464b</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162,969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302,085</w:t>
            </w: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spares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229,411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311,616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(311,616) 6a</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(6,443)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54,608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60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512,242</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312,381</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(179,708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644,915</w:t>
            </w:r>
          </w:p>
        </w:tc>
        <w:tc>
          <w:tcPr>
            <w:tcW w:w="100" w:type="dxa"/>
            <w:vAlign w:val="bottom"/>
            <w:tcBorders>
              <w:top w:val="single" w:sz="8" w:color="CCEEFF"/>
              <w:bottom w:val="single" w:sz="8" w:color="CCEEFF"/>
            </w:tcBorders>
          </w:tcPr>
          <w:p>
            <w:pPr>
              <w:spacing w:after="0"/>
              <w:rPr>
                <w:sz w:val="18"/>
                <w:szCs w:val="18"/>
                <w:color w:val="auto"/>
              </w:rPr>
            </w:pPr>
          </w:p>
        </w:tc>
      </w:tr>
      <w:tr>
        <w:trPr>
          <w:trHeight w:val="148"/>
        </w:trPr>
        <w:tc>
          <w:tcPr>
            <w:tcW w:w="6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6,2224c</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(1,400)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(6,243)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r>
      <w:tr>
        <w:trPr>
          <w:trHeight w:val="198"/>
        </w:trPr>
        <w:tc>
          <w:tcPr>
            <w:tcW w:w="6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Municipality loan -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r>
      <w:tr>
        <w:trPr>
          <w:trHeight w:val="23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155,758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(30,410) 6d</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51,900</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6k</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51,900</w:t>
            </w:r>
          </w:p>
        </w:tc>
      </w:tr>
      <w:tr>
        <w:trPr>
          <w:trHeight w:val="23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r>
      <w:tr>
        <w:trPr>
          <w:trHeight w:val="236"/>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574"/>
        </w:trPr>
        <w:tc>
          <w:tcPr>
            <w:tcW w:w="60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77"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8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Opco</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84"/>
        </w:trPr>
        <w:tc>
          <w:tcPr>
            <w:tcW w:w="58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of $10.00</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311,516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A-1 preferred units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noncontrolling interest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56,636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136,553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none issued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31,116,305 shares subject to possible redemption)</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7,779,076 shares issued 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A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OPAL Class B common stock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D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110,805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30,410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311,513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512,242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312,381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644,915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5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50,815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50,815</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19,152</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32,297</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(1,818)</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4e</w:t>
            </w:r>
          </w:p>
        </w:tc>
        <w:tc>
          <w:tcPr>
            <w:tcW w:w="100" w:type="dxa"/>
            <w:vAlign w:val="bottom"/>
          </w:tcPr>
          <w:p>
            <w:pPr>
              <w:spacing w:after="0"/>
              <w:rPr>
                <w:sz w:val="18"/>
                <w:szCs w:val="18"/>
                <w:color w:val="auto"/>
              </w:rPr>
            </w:pPr>
          </w:p>
        </w:tc>
        <w:tc>
          <w:tcPr>
            <w:tcW w:w="1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(440) 7c</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7,172</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1,923</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Paid in kind preferred dividend</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2,772</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7b</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(8,124) 7b</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color w:val="auto"/>
              </w:rPr>
              <w:t>(499</w:t>
            </w:r>
            <w:r>
              <w:rPr>
                <w:rFonts w:ascii="Times New Roman" w:cs="Times New Roman" w:eastAsia="Times New Roman" w:hAnsi="Times New Roman"/>
                <w:sz w:val="29"/>
                <w:szCs w:val="29"/>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Stockholders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 and diluted</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unit, basic and diluted</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7,779,076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New OPAL Class A common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basic and 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 forma net income per share attributable to New OPAL Class A</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5"/>
            <w:vMerge w:val="continue"/>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OPAL</w:t>
            </w:r>
          </w:p>
        </w:tc>
        <w:tc>
          <w:tcPr>
            <w:tcW w:w="10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320" w:type="dxa"/>
            <w:vAlign w:val="bottom"/>
          </w:tcPr>
          <w:p>
            <w:pPr>
              <w:spacing w:after="0"/>
              <w:rPr>
                <w:sz w:val="22"/>
                <w:szCs w:val="22"/>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Beacon</w:t>
            </w:r>
          </w:p>
        </w:tc>
        <w:tc>
          <w:tcPr>
            <w:tcW w:w="380" w:type="dxa"/>
            <w:vAlign w:val="bottom"/>
          </w:tcPr>
          <w:p>
            <w:pPr>
              <w:spacing w:after="0"/>
              <w:rPr>
                <w:sz w:val="16"/>
                <w:szCs w:val="16"/>
                <w:color w:val="auto"/>
              </w:rPr>
            </w:pPr>
          </w:p>
        </w:tc>
        <w:tc>
          <w:tcPr>
            <w:tcW w:w="10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Fuels and</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320" w:type="dxa"/>
            <w:vAlign w:val="bottom"/>
          </w:tcPr>
          <w:p>
            <w:pPr>
              <w:spacing w:after="0"/>
              <w:rPr>
                <w:sz w:val="16"/>
                <w:szCs w:val="16"/>
                <w:color w:val="auto"/>
              </w:rPr>
            </w:pPr>
          </w:p>
        </w:tc>
        <w:tc>
          <w:tcPr>
            <w:tcW w:w="110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10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83,672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45,324</w:t>
            </w:r>
          </w:p>
        </w:tc>
        <w:tc>
          <w:tcPr>
            <w:tcW w:w="0" w:type="dxa"/>
            <w:vAlign w:val="bottom"/>
          </w:tcPr>
          <w:p>
            <w:pPr>
              <w:spacing w:after="0"/>
              <w:rPr>
                <w:sz w:val="1"/>
                <w:szCs w:val="1"/>
                <w:color w:val="auto"/>
              </w:rPr>
            </w:pPr>
          </w:p>
        </w:tc>
      </w:tr>
      <w:tr>
        <w:trPr>
          <w:trHeight w:val="24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50,440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5b</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47,472</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sales -</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31,152</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 Fuel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station services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42,838</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42,838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Environmental credit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processing services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5c</w:t>
            </w: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29,836</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4,945</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4f</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7h</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38,981</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11,413</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155,098</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9,047</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(1,434)</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162,711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4,200</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171,856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11,026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1,434</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16,725</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6"/>
                <w:szCs w:val="16"/>
                <w:b w:val="1"/>
                <w:bCs w:val="1"/>
                <w:color w:val="auto"/>
              </w:rPr>
              <w:t>(4,945</w:t>
            </w:r>
            <w:r>
              <w:rPr>
                <w:rFonts w:ascii="Times New Roman" w:cs="Times New Roman" w:eastAsia="Times New Roman" w:hAnsi="Times New Roman"/>
                <w:sz w:val="29"/>
                <w:szCs w:val="29"/>
                <w:b w:val="1"/>
                <w:bCs w:val="1"/>
                <w:color w:val="auto"/>
                <w:vertAlign w:val="superscript"/>
              </w:rPr>
              <w:t>)</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(4,200</w:t>
            </w:r>
            <w:r>
              <w:rPr>
                <w:rFonts w:ascii="Times New Roman" w:cs="Times New Roman" w:eastAsia="Times New Roman" w:hAnsi="Times New Roman"/>
                <w:sz w:val="29"/>
                <w:szCs w:val="29"/>
                <w:b w:val="1"/>
                <w:bCs w:val="1"/>
                <w:color w:val="auto"/>
                <w:vertAlign w:val="superscript"/>
              </w:rPr>
              <w:t>)</w:t>
            </w: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7,580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financing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4g</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7g</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(10,800)</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equity</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 investments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deconsolidation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VIEs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15,025</w:t>
            </w:r>
          </w:p>
        </w:tc>
        <w:tc>
          <w:tcPr>
            <w:tcW w:w="0" w:type="dxa"/>
            <w:vAlign w:val="bottom"/>
          </w:tcPr>
          <w:p>
            <w:pPr>
              <w:spacing w:after="0"/>
              <w:rPr>
                <w:sz w:val="1"/>
                <w:szCs w:val="1"/>
                <w:color w:val="auto"/>
              </w:rPr>
            </w:pPr>
          </w:p>
        </w:tc>
      </w:tr>
      <w:tr>
        <w:trPr>
          <w:trHeight w:val="24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Income before</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 for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income taxes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3"/>
              </w:rPr>
              <w:t>7e</w:t>
            </w: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 in kind preferred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2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(39,931</w:t>
            </w:r>
            <w:r>
              <w:rPr>
                <w:rFonts w:ascii="Times New Roman" w:cs="Times New Roman" w:eastAsia="Times New Roman" w:hAnsi="Times New Roman"/>
                <w:sz w:val="35"/>
                <w:szCs w:val="35"/>
                <w:b w:val="1"/>
                <w:bCs w:val="1"/>
                <w:color w:val="auto"/>
                <w:vertAlign w:val="superscript"/>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40"/>
              <w:spacing w:after="0" w:line="278" w:lineRule="exact"/>
              <w:rPr>
                <w:sz w:val="20"/>
                <w:szCs w:val="20"/>
                <w:color w:val="auto"/>
              </w:rPr>
            </w:pPr>
            <w:r>
              <w:rPr>
                <w:rFonts w:ascii="Times New Roman" w:cs="Times New Roman" w:eastAsia="Times New Roman" w:hAnsi="Times New Roman"/>
                <w:sz w:val="17"/>
                <w:szCs w:val="17"/>
                <w:b w:val="1"/>
                <w:bCs w:val="1"/>
                <w:color w:val="auto"/>
              </w:rPr>
              <w:t>(11,456</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157"/>
        </w:trPr>
        <w:tc>
          <w:tcPr>
            <w:tcW w:w="1940" w:type="dxa"/>
            <w:vAlign w:val="bottom"/>
            <w:tcBorders>
              <w:top w:val="single" w:sz="8" w:color="CCEEFF"/>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per common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basic and diluted</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25,360,688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B</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7,611,848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New</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24,757,483</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OPAL Class A</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37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655"/>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 1 — Description of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Following the Domestication, on July 21, 2022, ArcLight changed its name to “OPAL Fuels Inc.” (which is referred to herein as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and each outstanding ArcLight Class B ordinary share converted into one ArcLight Class A ordinary share, each outstanding ArcLight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 became one share of Class A common stock of New OPAL, par value $0.0001 per share (the “</w:t>
      </w:r>
      <w:r>
        <w:rPr>
          <w:rFonts w:ascii="Times New Roman" w:cs="Times New Roman" w:eastAsia="Times New Roman" w:hAnsi="Times New Roman"/>
          <w:sz w:val="18"/>
          <w:szCs w:val="18"/>
          <w:b w:val="1"/>
          <w:bCs w:val="1"/>
          <w:i w:val="1"/>
          <w:iCs w:val="1"/>
          <w:color w:val="auto"/>
        </w:rPr>
        <w:t>New OPAL Class A common stock</w:t>
      </w:r>
      <w:r>
        <w:rPr>
          <w:rFonts w:ascii="Times New Roman" w:cs="Times New Roman" w:eastAsia="Times New Roman" w:hAnsi="Times New Roman"/>
          <w:sz w:val="18"/>
          <w:szCs w:val="18"/>
          <w:color w:val="auto"/>
        </w:rPr>
        <w:t>”), and each outstanding warrant to purchase one ArcLight Class A ordinary share became a warrant to purchase one share of New OPAL Class A common stock at an exercise price of $11.50 per share.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Following the consummation of the Business Combination on July 21, 2022, the Combined Company (“</w:t>
      </w:r>
      <w:r>
        <w:rPr>
          <w:rFonts w:ascii="Times New Roman" w:cs="Times New Roman" w:eastAsia="Times New Roman" w:hAnsi="Times New Roman"/>
          <w:sz w:val="18"/>
          <w:szCs w:val="18"/>
          <w:b w:val="1"/>
          <w:bCs w:val="1"/>
          <w:i w:val="1"/>
          <w:iCs w:val="1"/>
          <w:color w:val="auto"/>
        </w:rPr>
        <w:t>Combined Company</w:t>
      </w:r>
      <w:r>
        <w:rPr>
          <w:rFonts w:ascii="Times New Roman" w:cs="Times New Roman" w:eastAsia="Times New Roman" w:hAnsi="Times New Roman"/>
          <w:sz w:val="18"/>
          <w:szCs w:val="18"/>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consummation of the Business Combination, the events summarized below, among others, occurred:</w:t>
      </w:r>
    </w:p>
    <w:p>
      <w:pPr>
        <w:spacing w:after="0" w:line="221" w:lineRule="exact"/>
        <w:rPr>
          <w:sz w:val="20"/>
          <w:szCs w:val="20"/>
          <w:color w:val="auto"/>
        </w:rPr>
      </w:pPr>
    </w:p>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at a per share value of $10.00 per share, and (iii) issued 3,059,533 shares of New OPAL Class A common stock to Ares, collectively, in exchange for a number of Class A Units of Opco equal to the 25,171,390 shares of New OPAL Class A common stock issued and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related events that have taken place in connection with the Business Combination are summarized below:</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the Hillman Exchange Agreement with Hillman RNG Investments LLC (“</w:t>
      </w:r>
      <w:r>
        <w:rPr>
          <w:rFonts w:ascii="Times New Roman" w:cs="Times New Roman" w:eastAsia="Times New Roman" w:hAnsi="Times New Roman"/>
          <w:sz w:val="18"/>
          <w:szCs w:val="18"/>
          <w:b w:val="1"/>
          <w:bCs w:val="1"/>
          <w:i w:val="1"/>
          <w:iCs w:val="1"/>
          <w:color w:val="auto"/>
        </w:rPr>
        <w:t>Hillman</w:t>
      </w:r>
      <w:r>
        <w:rPr>
          <w:rFonts w:ascii="Times New Roman" w:cs="Times New Roman" w:eastAsia="Times New Roman" w:hAnsi="Times New Roman"/>
          <w:sz w:val="18"/>
          <w:szCs w:val="18"/>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the Company entered into 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that certain First Amendment to Convertible Note, dated November 29, 2021 (the “</w:t>
      </w:r>
      <w:r>
        <w:rPr>
          <w:rFonts w:ascii="Times New Roman" w:cs="Times New Roman" w:eastAsia="Times New Roman" w:hAnsi="Times New Roman"/>
          <w:sz w:val="18"/>
          <w:szCs w:val="18"/>
          <w:b w:val="1"/>
          <w:bCs w:val="1"/>
          <w:i w:val="1"/>
          <w:iCs w:val="1"/>
          <w:color w:val="auto"/>
        </w:rPr>
        <w:t>Ares First Amendment</w:t>
      </w:r>
      <w:r>
        <w:rPr>
          <w:rFonts w:ascii="Times New Roman" w:cs="Times New Roman" w:eastAsia="Times New Roman" w:hAnsi="Times New Roman"/>
          <w:sz w:val="18"/>
          <w:szCs w:val="18"/>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Sponsor Letter Agreement entered into on December 2, 2021 among ArcLight,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Opco and certain other persons concurrently with the execution of the Business Combination Agreement (the “</w:t>
      </w:r>
      <w:r>
        <w:rPr>
          <w:rFonts w:ascii="Times New Roman" w:cs="Times New Roman" w:eastAsia="Times New Roman" w:hAnsi="Times New Roman"/>
          <w:sz w:val="18"/>
          <w:szCs w:val="18"/>
          <w:b w:val="1"/>
          <w:bCs w:val="1"/>
          <w:i w:val="1"/>
          <w:iCs w:val="1"/>
          <w:color w:val="auto"/>
        </w:rPr>
        <w:t>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Sponsor agreed to subject 10% of its New OPAL Class A common stock (received as a result of the conversion of its ArcLight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immediately prior to the Closing) to vesting and forfeiture conditions relating to VWAP targets for New OPAL Class A common stock sustained over a period of 60 months following the Closing (“</w:t>
      </w:r>
      <w:r>
        <w:rPr>
          <w:rFonts w:ascii="Times New Roman" w:cs="Times New Roman" w:eastAsia="Times New Roman" w:hAnsi="Times New Roman"/>
          <w:sz w:val="18"/>
          <w:szCs w:val="18"/>
          <w:b w:val="1"/>
          <w:bCs w:val="1"/>
          <w:i w:val="1"/>
          <w:iCs w:val="1"/>
          <w:color w:val="auto"/>
        </w:rPr>
        <w:t>Sponsor Earnout Awards</w:t>
      </w:r>
      <w:r>
        <w:rPr>
          <w:rFonts w:ascii="Times New Roman" w:cs="Times New Roman" w:eastAsia="Times New Roman" w:hAnsi="Times New Roman"/>
          <w:sz w:val="18"/>
          <w:szCs w:val="18"/>
          <w:color w:val="auto"/>
        </w:rPr>
        <w:t xml:space="preserve">”). For more information, see the section titled </w:t>
      </w:r>
      <w:r>
        <w:rPr>
          <w:rFonts w:ascii="Times New Roman" w:cs="Times New Roman" w:eastAsia="Times New Roman" w:hAnsi="Times New Roman"/>
          <w:sz w:val="18"/>
          <w:szCs w:val="18"/>
          <w:i w:val="1"/>
          <w:iCs w:val="1"/>
          <w:color w:val="auto"/>
        </w:rPr>
        <w:t>“Certain Relationships and Related Party Transactions—Sponsor Letter Agreement.”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after the Closing, and upon the date on which New OPAL’s annual EBITDA for the calendar year 2023 exceeds $238.0 million (the “</w:t>
      </w:r>
      <w:r>
        <w:rPr>
          <w:rFonts w:ascii="Times New Roman" w:cs="Times New Roman" w:eastAsia="Times New Roman" w:hAnsi="Times New Roman"/>
          <w:sz w:val="18"/>
          <w:szCs w:val="18"/>
          <w:b w:val="1"/>
          <w:bCs w:val="1"/>
          <w:i w:val="1"/>
          <w:iCs w:val="1"/>
          <w:color w:val="auto"/>
        </w:rPr>
        <w:t>First Earnout Triggering Event</w:t>
      </w:r>
      <w:r>
        <w:rPr>
          <w:rFonts w:ascii="Times New Roman" w:cs="Times New Roman" w:eastAsia="Times New Roman" w:hAnsi="Times New Roman"/>
          <w:sz w:val="18"/>
          <w:szCs w:val="18"/>
          <w:color w:val="auto"/>
        </w:rPr>
        <w:t>”), (i) New OPAL will issue to Opco Common Equity holders (the “</w:t>
      </w:r>
      <w:r>
        <w:rPr>
          <w:rFonts w:ascii="Times New Roman" w:cs="Times New Roman" w:eastAsia="Times New Roman" w:hAnsi="Times New Roman"/>
          <w:sz w:val="18"/>
          <w:szCs w:val="18"/>
          <w:b w:val="1"/>
          <w:bCs w:val="1"/>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upon the date on which New OPAL’s annual EBITDA for the calendar year 2024 exceeds $446.0 million (the “</w:t>
      </w:r>
      <w:r>
        <w:rPr>
          <w:rFonts w:ascii="Times New Roman" w:cs="Times New Roman" w:eastAsia="Times New Roman" w:hAnsi="Times New Roman"/>
          <w:sz w:val="18"/>
          <w:szCs w:val="18"/>
          <w:b w:val="1"/>
          <w:bCs w:val="1"/>
          <w:i w:val="1"/>
          <w:iCs w:val="1"/>
          <w:color w:val="auto"/>
        </w:rPr>
        <w:t>Second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(i) New OPAL will issue to the Earnout Participants an aggregate of 5,000,000 additional shares of New OPAL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w:t>
      </w:r>
      <w:r>
        <w:rPr>
          <w:rFonts w:ascii="Times New Roman" w:cs="Times New Roman" w:eastAsia="Times New Roman" w:hAnsi="Times New Roman"/>
          <w:sz w:val="18"/>
          <w:szCs w:val="18"/>
          <w:b w:val="1"/>
          <w:bCs w:val="1"/>
          <w:i w:val="1"/>
          <w:iCs w:val="1"/>
          <w:color w:val="auto"/>
        </w:rPr>
        <w:t>OPAL Earnout Awards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forward share purchase agreement (the “Forward Purchase Agreement”)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July 21, 2022 agreement between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connection with the Closing, Opco and Sponsor entered into a letter agreement (the “</w:t>
      </w:r>
      <w:r>
        <w:rPr>
          <w:rFonts w:ascii="Times New Roman" w:cs="Times New Roman" w:eastAsia="Times New Roman" w:hAnsi="Times New Roman"/>
          <w:sz w:val="18"/>
          <w:szCs w:val="18"/>
          <w:b w:val="1"/>
          <w:bCs w:val="1"/>
          <w:i w:val="1"/>
          <w:iCs w:val="1"/>
          <w:color w:val="auto"/>
        </w:rPr>
        <w:t>Sponsor Side Letter</w:t>
      </w:r>
      <w:r>
        <w:rPr>
          <w:rFonts w:ascii="Times New Roman" w:cs="Times New Roman" w:eastAsia="Times New Roman" w:hAnsi="Times New Roman"/>
          <w:sz w:val="18"/>
          <w:szCs w:val="18"/>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8"/>
          <w:szCs w:val="18"/>
          <w:b w:val="1"/>
          <w:bCs w:val="1"/>
          <w:i w:val="1"/>
          <w:iCs w:val="1"/>
          <w:color w:val="auto"/>
        </w:rPr>
        <w:t>Shortfall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Sponsor shall transfer, pledge or forfeit up to an additional 102,000 of the Sponsor Earnout Awards (shares of New OPAL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subject to vesting conditions noted above), with such maximum number of shares pro-rated on a directly proportionate basis based on the size of the Shortfall Amount relative to $6,800,000.</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Times New Roman" w:cs="Times New Roman" w:eastAsia="Times New Roman" w:hAnsi="Times New Roman"/>
          <w:sz w:val="18"/>
          <w:szCs w:val="18"/>
          <w:b w:val="1"/>
          <w:bCs w:val="1"/>
          <w:i w:val="1"/>
          <w:iCs w:val="1"/>
          <w:color w:val="auto"/>
        </w:rPr>
        <w:t>TRA Participants</w:t>
      </w:r>
      <w:r>
        <w:rPr>
          <w:rFonts w:ascii="Times New Roman" w:cs="Times New Roman" w:eastAsia="Times New Roman" w:hAnsi="Times New Roman"/>
          <w:sz w:val="18"/>
          <w:szCs w:val="18"/>
          <w:color w:val="auto"/>
        </w:rPr>
        <w:t xml:space="preserve">”),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Times New Roman" w:cs="Times New Roman" w:eastAsia="Times New Roman" w:hAnsi="Times New Roman"/>
          <w:sz w:val="18"/>
          <w:szCs w:val="18"/>
          <w:i w:val="1"/>
          <w:iCs w:val="1"/>
          <w:color w:val="auto"/>
        </w:rPr>
        <w:t>“Certain Relationships and Related Party Transactions—Sponsor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May 2022, ArcLight’s and Opco’s Advisors resigned and withdrew from their engagements in connection with the Business Combination. Please see “</w:t>
      </w:r>
      <w:r>
        <w:rPr>
          <w:rFonts w:ascii="Times New Roman" w:cs="Times New Roman" w:eastAsia="Times New Roman" w:hAnsi="Times New Roman"/>
          <w:sz w:val="18"/>
          <w:szCs w:val="18"/>
          <w:i w:val="1"/>
          <w:iCs w:val="1"/>
          <w:color w:val="auto"/>
        </w:rPr>
        <w:t>Summary — Recent Developments</w:t>
      </w:r>
      <w:r>
        <w:rPr>
          <w:rFonts w:ascii="Times New Roman" w:cs="Times New Roman" w:eastAsia="Times New Roman" w:hAnsi="Times New Roman"/>
          <w:sz w:val="18"/>
          <w:szCs w:val="18"/>
          <w:color w:val="auto"/>
        </w:rPr>
        <w:t>” for a description of the potential impacts of such resignation on the Business Combination and Note 6 to this unaudited pro forma condensed combined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30, 2021, Opco and Ares signed the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8"/>
          <w:szCs w:val="18"/>
          <w:b w:val="1"/>
          <w:bCs w:val="1"/>
          <w:i w:val="1"/>
          <w:iCs w:val="1"/>
          <w:color w:val="auto"/>
        </w:rPr>
        <w:t>Convertible Note</w:t>
      </w:r>
      <w:r>
        <w:rPr>
          <w:rFonts w:ascii="Times New Roman" w:cs="Times New Roman" w:eastAsia="Times New Roman" w:hAnsi="Times New Roman"/>
          <w:sz w:val="18"/>
          <w:szCs w:val="18"/>
          <w:color w:val="auto"/>
        </w:rPr>
        <w:t>”) in return for Ares’ assignment of its 58% Class B units in Beacon JV to Opco (the “</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The transfer date of the aforementioned consideration was set to May 1, 2021. As agreed to on April 30, 2021, Opco obtained unilateral control over Beacon JV on May 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i w:val="1"/>
          <w:iCs w:val="1"/>
          <w:color w:val="auto"/>
        </w:rPr>
        <w:t>Transaction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Management’s Adjustments</w:t>
      </w:r>
      <w:r>
        <w:rPr>
          <w:rFonts w:ascii="Times New Roman" w:cs="Times New Roman" w:eastAsia="Times New Roman" w:hAnsi="Times New Roman"/>
          <w:sz w:val="18"/>
          <w:szCs w:val="18"/>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New OPAL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0" w:type="dxa"/>
            <w:vAlign w:val="bottom"/>
            <w:tcBorders>
              <w:bottom w:val="single" w:sz="8" w:color="CCEEFF"/>
            </w:tcBorders>
            <w:gridSpan w:val="2"/>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3,752,181</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Sponsor Shareholders (1)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Ares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Common Equityholders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Hillman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2,021,587</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HoldCo</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 forma common stock at Closing</w:t>
            </w:r>
          </w:p>
        </w:tc>
        <w:tc>
          <w:tcPr>
            <w:tcW w:w="1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170,070,427</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section titled “</w:t>
      </w:r>
      <w:r>
        <w:rPr>
          <w:rFonts w:ascii="Times New Roman" w:cs="Times New Roman" w:eastAsia="Times New Roman" w:hAnsi="Times New Roman"/>
          <w:sz w:val="18"/>
          <w:szCs w:val="18"/>
          <w:i w:val="1"/>
          <w:iCs w:val="1"/>
          <w:color w:val="auto"/>
        </w:rPr>
        <w:t>Description of Securities”.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3 — Accounting for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5 years following the closing;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OPAL Earnout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w:t>
      </w:r>
      <w:r>
        <w:rPr>
          <w:rFonts w:ascii="Times New Roman" w:cs="Times New Roman" w:eastAsia="Times New Roman" w:hAnsi="Times New Roman"/>
          <w:sz w:val="18"/>
          <w:szCs w:val="18"/>
          <w:b w:val="1"/>
          <w:bCs w:val="1"/>
          <w:i w:val="1"/>
          <w:iCs w:val="1"/>
          <w:color w:val="auto"/>
        </w:rPr>
        <w:t>WACC</w:t>
      </w:r>
      <w:r>
        <w:rPr>
          <w:rFonts w:ascii="Times New Roman" w:cs="Times New Roman" w:eastAsia="Times New Roman" w:hAnsi="Times New Roman"/>
          <w:sz w:val="18"/>
          <w:szCs w:val="18"/>
          <w:color w:val="auto"/>
        </w:rPr>
        <w:t>”) — The WACC reflected a derived cost of capital informed by research on cost of capital of a selection of comparable public companies;</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2 years earnout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forecast internally derived by Opco for the earnout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6 months following the closing;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4 — Reclassifications Made to ArcLight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 adjustments have been made to conform ArcLight’s financial statement presentation to that of Opco’s.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balance sheet as of June 30, 2022:</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$219 thousand from ArcLight’s Cash to Cash and cash equivalents.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$546 thousand from ArcLight’s Prepaid expenses to Prepaid expenses and other current assets.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$30 thousand from ArcLight’s Accrued expenses and $6,192 thousand from ArcLight’s Deferred legal fees to Accrued expenses and other current liabilities.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three months ended June 30, 2022:</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$3,125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$440 thousand from ArcLight’s Net gain on investments held in Trust Account to Interest and financing expense,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period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 (inception) to December 31, 2021:</w:t>
      </w:r>
    </w:p>
    <w:p>
      <w:pPr>
        <w:spacing w:after="0" w:line="207"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$4,945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$463 thousand from ArcLight’s Financing costs — warrant liabilities and $13 thousand from ArcLight’s Net gain on investments held in Trust Account to Interest and financing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Reclassifications Made to Beacon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pro forma condensed combined statement of operations for the four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2021 to conform Beacon financial statement presentation to that of Opco’s:</w:t>
      </w:r>
    </w:p>
    <w:p>
      <w:pPr>
        <w:spacing w:after="0" w:line="207"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$1,137 thousand from Renewable gas sales, $12,101 thousand from RIN sales, and $74 thousand from Transportation sales to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$5,937 thousand from Operations and $460 thousand from Repairs and Maintenance to Costs of sales —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$317 thousand from General and administrative and $139 thousand from Insurance to Selling, general and administrative.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$1,049 thousand from Depreciation and $11 thousand from Asset retirement obligation accretion to Depreciation, amortization, and accretion.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an intercompany transaction between Opco and Beacon for the amount of $1,134 thousand from Environmental credit processing service and $1,134 thousand from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Balance Sheet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transaction accounting adjustments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carrying value of Opco’s Series A and Series A-1 Preferred Units to Redeemable preferred noncontrolling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65" w:name="page66"/>
    <w:bookmarkEnd w:id="65"/>
    <w:p>
      <w:pPr>
        <w:ind w:left="324" w:hanging="324"/>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fifty percent (50%) of the principal and accrued interest outstanding pursuant to the Ares Note into New OPAL Class A common stock.</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83" w:lineRule="exact"/>
        <w:rPr>
          <w:rFonts w:ascii="Times New Roman" w:cs="Times New Roman" w:eastAsia="Times New Roman" w:hAnsi="Times New Roman"/>
          <w:sz w:val="18"/>
          <w:szCs w:val="18"/>
          <w:color w:val="auto"/>
        </w:rPr>
      </w:pPr>
    </w:p>
    <w:p>
      <w:pPr>
        <w:jc w:val="both"/>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57"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New OPAL entered into the tax receivable agreement (the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OPAL Holdco and Hillman such persons, together with such other persons from time to time that become party thereto, collectively, the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Pursuant to the Tax Receivable Agreement, New OPAL will be required to pay the TRA Participants 85% of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6" w:name="page67"/>
    <w:bookmarkEnd w:id="66"/>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92"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$5,900 and $46,000 thousand of the Sponsor Earnout Awards and the OPAL Earnout Awards, respectively. Refer to Note 3 for more information.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Adjustments to Unaudited Pro Forma Condensed Combined Statements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three months ended June 30, 2022 are as follows:</w:t>
      </w:r>
    </w:p>
    <w:p>
      <w:pPr>
        <w:spacing w:after="0" w:line="162" w:lineRule="exact"/>
        <w:rPr>
          <w:sz w:val="20"/>
          <w:szCs w:val="20"/>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$4,200 thousand adjustment for estimated costs attributable to a directors’ and officers’ insurance tail policy which will be contingently incurred upon closing of the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8 — Net Income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OPAL has 6,223,233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attributable to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24,757,483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24,761,483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24,761,483</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(Basic) attributable to New OPAL Class A common stockholders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(Diluted) attributable to New OPAL Class A common stockholders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3,752,181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 (3)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3,756,181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3,756,181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dilutive shares of New OPAL Class A Common Stock pursuant to the Forward Purchase Agreement under the reverse treasury stock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Times New Roman" w:cs="Times New Roman" w:eastAsia="Times New Roman" w:hAnsi="Times New Roman"/>
          <w:sz w:val="18"/>
          <w:szCs w:val="18"/>
          <w:b w:val="1"/>
          <w:bCs w:val="1"/>
          <w:i w:val="1"/>
          <w:iCs w:val="1"/>
          <w:color w:val="auto"/>
        </w:rPr>
        <w:t>GGEs</w:t>
      </w:r>
      <w:r>
        <w:rPr>
          <w:rFonts w:ascii="Times New Roman" w:cs="Times New Roman" w:eastAsia="Times New Roman" w:hAnsi="Times New Roman"/>
          <w:sz w:val="18"/>
          <w:szCs w:val="18"/>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Opco was formed in December 2020 as a wholly owned subsidiary of OPAL Holdco under the laws of the State of Delaware. On December 31, 2020, Fortistar and certain of its affiliated entities (for purposes of this discussion, our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21, 2022, we completed the proposed business combination as per the terms of the Business Combination Agreement. 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we received $105.8 million in proceeds from the PIPE Investors, in exchange for which we issued 10,580,600 shares of Class A common stock to the PIPE Investors. We received the remaining $5.0 million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Times New Roman" w:cs="Times New Roman" w:eastAsia="Times New Roman" w:hAnsi="Times New Roman"/>
          <w:sz w:val="18"/>
          <w:szCs w:val="18"/>
          <w:b w:val="1"/>
          <w:bCs w:val="1"/>
          <w:i w:val="1"/>
          <w:iCs w:val="1"/>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 share) and</w:t>
      </w:r>
    </w:p>
    <w:p>
      <w:pPr>
        <w:spacing w:after="0" w:line="3" w:lineRule="exact"/>
        <w:rPr>
          <w:sz w:val="20"/>
          <w:szCs w:val="20"/>
          <w:color w:val="auto"/>
        </w:rPr>
      </w:pPr>
    </w:p>
    <w:p>
      <w:pPr>
        <w:ind w:firstLine="8"/>
        <w:spacing w:after="0" w:line="260" w:lineRule="auto"/>
        <w:tabs>
          <w:tab w:leader="none" w:pos="3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Class C common stock, par value $0.0001 per share,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The resale, or expected or potential resale, of these shares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On December 10, 2021, we entered into a new 50/50 joint venture and formed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to convert an existing electric facility into an RNG facility. As of June 30, 2022, we contributed $16.9 million as our share of capital investment towards the project.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2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elsewhere in this prospectus.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RNG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6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Commercial transportation, including heavy-duty trucking, generates approximately 30% emissions of overall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Markets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172" w:lineRule="exact"/>
        <w:rPr>
          <w:sz w:val="20"/>
          <w:szCs w:val="20"/>
          <w:color w:val="auto"/>
        </w:rPr>
      </w:pPr>
    </w:p>
    <w:p>
      <w:pPr>
        <w:jc w:val="both"/>
        <w:ind w:left="660" w:hanging="328"/>
        <w:spacing w:after="0" w:line="25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Revenues are derived from the production and sale of RNG and Environmental Attributes to public utilities and other credit-worthy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Revenues are derived from the production and sale of both Renewable Power and RECs to public utilities and other credit-worthy counterparties under Power Purchase Agreements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Times New Roman" w:cs="Times New Roman" w:eastAsia="Times New Roman" w:hAnsi="Times New Roman"/>
          <w:sz w:val="18"/>
          <w:szCs w:val="18"/>
          <w:b w:val="1"/>
          <w:bCs w:val="1"/>
          <w:i w:val="1"/>
          <w:iCs w:val="1"/>
          <w:color w:val="auto"/>
        </w:rPr>
        <w:t>MWh</w:t>
      </w:r>
      <w:r>
        <w:rPr>
          <w:rFonts w:ascii="Times New Roman" w:cs="Times New Roman" w:eastAsia="Times New Roman" w:hAnsi="Times New Roman"/>
          <w:sz w:val="18"/>
          <w:szCs w:val="18"/>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Revenues are derived from our services to design and construct RNG vehicle fueling stations for fleet operators,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ongoing 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221" w:lineRule="exact"/>
        <w:rPr>
          <w:sz w:val="20"/>
          <w:szCs w:val="20"/>
          <w:color w:val="auto"/>
        </w:rPr>
      </w:pPr>
    </w:p>
    <w:p>
      <w:pPr>
        <w:ind w:left="660" w:hanging="328"/>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gas we capture; service provider costs; salaries and other indirect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production process; utilities; transportation, storage, and insurance;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 expenses related to the production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 equipment supplier costs; service provider costs; and salaries and other indirect expenses.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cost of services provided to us by an affiliate, and marketing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our period-over-period comparisons below for more information about our performance for the six months ended June 30, 2022 and 2021, as well as the fiscal years ended December 31, 2021 and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 and the Fiscal Years Ended December 31, 2021 and 2020</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statement of operations for the six months ended June 30, 2022 and 2021 and the fiscal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50,815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19,174</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31,641</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70,360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58,815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21,437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(2,285)</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51,250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17,173</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15,124</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54,911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44,480</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48,418</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11,080</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19,804</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7,376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17,888</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37,755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14,440</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45,037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11,185</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7,625</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20,474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4,059</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2,499</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8,338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17,689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100,957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58,529</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42,428</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19,556</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36"/>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3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(3,305)</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(3,103)</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from equity method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2,392</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(2,428)</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 equity method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(19,818)</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66,140</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180"/>
        </w:trPr>
        <w:tc>
          <w:tcPr>
            <w:tcW w:w="324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 income attributable to OPAL</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8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Fuels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line="278" w:lineRule="exact"/>
              <w:rPr>
                <w:sz w:val="20"/>
                <w:szCs w:val="20"/>
                <w:color w:val="auto"/>
              </w:rPr>
            </w:pPr>
            <w:r>
              <w:rPr>
                <w:rFonts w:ascii="Times New Roman" w:cs="Times New Roman" w:eastAsia="Times New Roman" w:hAnsi="Times New Roman"/>
                <w:sz w:val="17"/>
                <w:szCs w:val="17"/>
                <w:color w:val="auto"/>
              </w:rPr>
              <w:t>(6,745</w:t>
            </w:r>
            <w:r>
              <w:rPr>
                <w:rFonts w:ascii="Times New Roman" w:cs="Times New Roman" w:eastAsia="Times New Roman" w:hAnsi="Times New Roman"/>
                <w:sz w:val="32"/>
                <w:szCs w:val="32"/>
                <w:color w:val="auto"/>
                <w:vertAlign w:val="superscript"/>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980" w:type="dxa"/>
            <w:vAlign w:val="bottom"/>
            <w:gridSpan w:val="2"/>
            <w:shd w:val="clear" w:color="auto" w:fill="CCEEFF"/>
          </w:tcPr>
          <w:p>
            <w:pPr>
              <w:jc w:val="right"/>
              <w:ind w:right="81"/>
              <w:spacing w:after="0" w:line="278" w:lineRule="exact"/>
              <w:rPr>
                <w:sz w:val="20"/>
                <w:szCs w:val="20"/>
                <w:color w:val="auto"/>
              </w:rPr>
            </w:pPr>
            <w:r>
              <w:rPr>
                <w:rFonts w:ascii="Times New Roman" w:cs="Times New Roman" w:eastAsia="Times New Roman" w:hAnsi="Times New Roman"/>
                <w:sz w:val="17"/>
                <w:szCs w:val="17"/>
                <w:color w:val="auto"/>
              </w:rPr>
              <w:t>(25,120</w:t>
            </w:r>
            <w:r>
              <w:rPr>
                <w:rFonts w:ascii="Times New Roman" w:cs="Times New Roman" w:eastAsia="Times New Roman" w:hAnsi="Times New Roman"/>
                <w:sz w:val="32"/>
                <w:szCs w:val="32"/>
                <w:color w:val="auto"/>
                <w:vertAlign w:val="superscript"/>
              </w:rPr>
              <w:t>)</w:t>
            </w:r>
          </w:p>
        </w:tc>
        <w:tc>
          <w:tcPr>
            <w:tcW w:w="1100" w:type="dxa"/>
            <w:vAlign w:val="bottom"/>
            <w:gridSpan w:val="2"/>
            <w:shd w:val="clear" w:color="auto" w:fill="CCEEFF"/>
          </w:tcPr>
          <w:p>
            <w:pPr>
              <w:jc w:val="right"/>
              <w:ind w:right="30"/>
              <w:spacing w:after="0" w:line="278" w:lineRule="exact"/>
              <w:rPr>
                <w:sz w:val="20"/>
                <w:szCs w:val="20"/>
                <w:color w:val="auto"/>
              </w:rPr>
            </w:pPr>
            <w:r>
              <w:rPr>
                <w:rFonts w:ascii="Times New Roman" w:cs="Times New Roman" w:eastAsia="Times New Roman" w:hAnsi="Times New Roman"/>
                <w:sz w:val="17"/>
                <w:szCs w:val="17"/>
                <w:color w:val="auto"/>
              </w:rPr>
              <w:t>(137</w:t>
            </w:r>
            <w:r>
              <w:rPr>
                <w:rFonts w:ascii="Times New Roman" w:cs="Times New Roman" w:eastAsia="Times New Roman" w:hAnsi="Times New Roman"/>
                <w:sz w:val="32"/>
                <w:szCs w:val="32"/>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line="278" w:lineRule="exact"/>
              <w:rPr>
                <w:sz w:val="20"/>
                <w:szCs w:val="20"/>
                <w:color w:val="auto"/>
              </w:rPr>
            </w:pPr>
            <w:r>
              <w:rPr>
                <w:rFonts w:ascii="Times New Roman" w:cs="Times New Roman" w:eastAsia="Times New Roman" w:hAnsi="Times New Roman"/>
                <w:sz w:val="17"/>
                <w:szCs w:val="17"/>
                <w:color w:val="auto"/>
              </w:rPr>
              <w:t>(25,358</w:t>
            </w:r>
            <w:r>
              <w:rPr>
                <w:rFonts w:ascii="Times New Roman" w:cs="Times New Roman" w:eastAsia="Times New Roman" w:hAnsi="Times New Roman"/>
                <w:sz w:val="32"/>
                <w:szCs w:val="32"/>
                <w:color w:val="auto"/>
                <w:vertAlign w:val="superscript"/>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66,721</w:t>
            </w:r>
          </w:p>
        </w:tc>
        <w:tc>
          <w:tcPr>
            <w:tcW w:w="980" w:type="dxa"/>
            <w:vAlign w:val="bottom"/>
            <w:gridSpan w:val="2"/>
            <w:shd w:val="clear" w:color="auto" w:fill="CCEEFF"/>
          </w:tcPr>
          <w:p>
            <w:pPr>
              <w:jc w:val="right"/>
              <w:spacing w:after="0" w:line="278" w:lineRule="exact"/>
              <w:rPr>
                <w:sz w:val="20"/>
                <w:szCs w:val="20"/>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32"/>
                <w:szCs w:val="32"/>
                <w:color w:val="auto"/>
                <w:vertAlign w:val="superscript"/>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PPA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sale/disposal of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loss or gain on the sale/disposal of assets for the six months ended June 30, 2022 and 2021.</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gain on interest rate swaps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from equity method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acquisition of equity method investment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entities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we re-assessed our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we have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we remeasured the fair value of the retained investment and recognized a gain of $3.1 million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Paid-in-kind preferred 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$0.2 million and $- paid-in-kind preferred dividend for the years ended December 31, 2021 and 2020,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$5.0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Times New Roman" w:cs="Times New Roman" w:eastAsia="Times New Roman" w:hAnsi="Times New Roman"/>
          <w:sz w:val="18"/>
          <w:szCs w:val="18"/>
          <w:b w:val="1"/>
          <w:bCs w:val="1"/>
          <w:i w:val="1"/>
          <w:iCs w:val="1"/>
          <w:color w:val="auto"/>
        </w:rPr>
        <w:t>DDTL Facility</w:t>
      </w:r>
      <w:r>
        <w:rPr>
          <w:rFonts w:ascii="Times New Roman" w:cs="Times New Roman" w:eastAsia="Times New Roman" w:hAnsi="Times New Roman"/>
          <w:sz w:val="18"/>
          <w:szCs w:val="18"/>
          <w:color w:val="auto"/>
        </w:rPr>
        <w:t>”)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condensed consolidated financial statements for additional information. Additionally, we expect to have an additional $25.0 to 35.0 million available under the OPAL term loan in the second half of 2022, upon meeting the conditions precedent for contribution of three additional RNG plants to the term loan facility.</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holders of Arclight’s Class A ordinary shares representing an aggregate redemption amount of $274,186,522 exercised their right to redeem their shares for cash. In addition, for the six months ended June 30, 2022, we received revenue of approximately $102.3 million, which is lower than the revenue level we expected to receive toward the full year numbers previously disclosed as part of the unaudited prospective financial information our management prepared and provided to the ArcLight Board in connection with the evaluation of the Business Combination. This has resulted primarily from lower than anticipated levels of gas collection at certain operating facilities, delays in commencement of construction of Fueling Stations and delays in completion of construction of certain RNG facilities, which are now in commercial operation. While the second half of 2022 has shown improvement to date and we expect revenue to be higher than that in the first half of the year, we currently anticipate that our full year revenue for 2022 will be lower than previously anticipated.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Notwithstanding these developments, we continue to expect that our currently available cash on hand, together with expected cash flows from operations, available credit under existing debt facilities, as well as other sources of debt or equity financing expected to be accessible, will be sufficient to meet our existing commitments and anticipated capital expenditures associated with our growth plan through June 30, 2023.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resale, or expected or potential resale, of the shares of Class A common stock registered hereby could adversely affect the market price for our Class A common stock. Furthermore, we expect that, because there is a large number of shares being registered, the Selling Holders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These factors could have a negative impact on the Company’s ability to obtain additional financing.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make payments under our various debt instruments when due and pursue opportunities for earlier repayment and/or refinancing if and when these opportunities arise.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cash flows for the six months ended June 30, 2022 and 2021, and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(54,298)</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(22,179)</w:t>
            </w: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financing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121,961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21,453</w:t>
            </w:r>
          </w:p>
        </w:tc>
      </w:tr>
      <w:tr>
        <w:trPr>
          <w:trHeight w:val="221"/>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plan to fund these expenditures primarily through cash on hand, cash generated from operations, and cash from the Business Combination and PIPE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2025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beyond</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term loan</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72,632</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working capital facility</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19,431</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Municipality loan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Convertible note payable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OPAL term loan</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35,226</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83,556</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Lease commitments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246,778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is due to be fully repaid in December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Municipality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left="34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convertible note payable as of June 30, 2022 which includes $5.4 million of payment- 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OPAL term loan.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 represent payments due on our office and vehicle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preparation of financial statements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b w:val="1"/>
          <w:bCs w:val="1"/>
          <w:color w:val="auto"/>
        </w:rPr>
        <w:t>”) requires management to make estimates and assumptions that affect the reported amounts and disclosures in our financial statements.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critical accounting policies discussed below are a subset of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Gas — Fuel Purchase Agreements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Interstate Gas Pipeline Delivery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color w:val="auto"/>
        </w:rPr>
        <w:t>We have operating and maintenance (“</w:t>
      </w:r>
      <w:r>
        <w:rPr>
          <w:rFonts w:ascii="Times New Roman" w:cs="Times New Roman" w:eastAsia="Times New Roman" w:hAnsi="Times New Roman"/>
          <w:sz w:val="18"/>
          <w:szCs w:val="18"/>
          <w:b w:val="1"/>
          <w:bCs w:val="1"/>
          <w:i w:val="1"/>
          <w:iCs w:val="1"/>
          <w:color w:val="auto"/>
        </w:rPr>
        <w:t>O&amp;M</w:t>
      </w:r>
      <w:r>
        <w:rPr>
          <w:rFonts w:ascii="Times New Roman" w:cs="Times New Roman" w:eastAsia="Times New Roman" w:hAnsi="Times New Roman"/>
          <w:sz w:val="18"/>
          <w:szCs w:val="18"/>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Construction Type Contracts — Third Party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our assessment for the six months ended June 30, 2022, there is no impairment recorded on our Plant, Property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 for details on our assets and liabilities regularly recorded at fair value and the respective placements in the fair value hierarchy.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8"/>
          <w:szCs w:val="18"/>
          <w:b w:val="1"/>
          <w:bCs w:val="1"/>
          <w:i w:val="1"/>
          <w:iCs w:val="1"/>
          <w:color w:val="auto"/>
        </w:rPr>
        <w:t>CDC</w:t>
      </w:r>
      <w:r>
        <w:rPr>
          <w:rFonts w:ascii="Times New Roman" w:cs="Times New Roman" w:eastAsia="Times New Roman" w:hAnsi="Times New Roman"/>
          <w:sz w:val="18"/>
          <w:szCs w:val="18"/>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Quantity per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Period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January 1, 2022</w:t>
            </w:r>
          </w:p>
        </w:tc>
        <w:tc>
          <w:tcPr>
            <w:tcW w:w="2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 Pricing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Capture and Conversion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Dispensing and Monetization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revenues are driven principally from the sale of Environmental Attributes that are generated from dispensing RNG as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Environmental Attributes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our Environmental Attributes revenue stream is primarily comprised of RINs, LCFS credits, and RECs.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8"/>
          <w:szCs w:val="18"/>
          <w:i w:val="1"/>
          <w:iCs w:val="1"/>
          <w:color w:val="auto"/>
        </w:rPr>
        <w:t>—Biogas RNG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Power Purchase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Renewable Power projects generally have associated long-term Power Purchase Agreements (“</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8"/>
          <w:szCs w:val="18"/>
          <w:b w:val="1"/>
          <w:bCs w:val="1"/>
          <w:i w:val="1"/>
          <w:iCs w:val="1"/>
          <w:color w:val="auto"/>
        </w:rPr>
        <w:t>RECs</w:t>
      </w:r>
      <w:r>
        <w:rPr>
          <w:rFonts w:ascii="Times New Roman" w:cs="Times New Roman" w:eastAsia="Times New Roman" w:hAnsi="Times New Roman"/>
          <w:sz w:val="18"/>
          <w:szCs w:val="18"/>
          <w:color w:val="auto"/>
        </w:rPr>
        <w:t>”) from Renewable Power projects through the conversion of biogas to Renewable Power.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Fueling Station Construction and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significant experience in the engineering, design, construction and operation of Fueling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Stations that dispense 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8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from the methane molecules. Further treatment of the biogas is often required to remove residual nitrogen and/or oxygen to meet pipeline specifications.</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Landfill Gas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8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Livestock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Highly Fragmented Market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Well-Established Regulatory Framework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18"/>
          <w:szCs w:val="18"/>
          <w:b w:val="1"/>
          <w:bCs w:val="1"/>
          <w:i w:val="1"/>
          <w:iCs w:val="1"/>
          <w:color w:val="auto"/>
        </w:rPr>
        <w:t>D3</w:t>
      </w:r>
      <w:r>
        <w:rPr>
          <w:rFonts w:ascii="Times New Roman" w:cs="Times New Roman" w:eastAsia="Times New Roman" w:hAnsi="Times New Roman"/>
          <w:sz w:val="18"/>
          <w:szCs w:val="18"/>
          <w:color w:val="auto"/>
        </w:rPr>
        <w:t>”) RIN, which is currently the highest priced RIN and commands a premium compared to non-cellulosic renewable fuels such as ethanol and renewable diesel.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Benefits Incentivize Switching to RNG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Projects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Projects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RNG projects in our portfolio as of July 31, 2022: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70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Design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0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70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(MMBtus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OPAL</w:t>
            </w:r>
          </w:p>
        </w:tc>
      </w:tr>
      <w:tr>
        <w:trPr>
          <w:trHeight w:val="277"/>
        </w:trPr>
        <w:tc>
          <w:tcPr>
            <w:tcW w:w="7080" w:type="dxa"/>
            <w:vAlign w:val="bottom"/>
          </w:tcPr>
          <w:p>
            <w:pPr>
              <w:spacing w:after="0"/>
              <w:rPr>
                <w:sz w:val="24"/>
                <w:szCs w:val="24"/>
                <w:color w:val="auto"/>
              </w:rPr>
            </w:pP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1"/>
              </w:rPr>
              <w:t>Per Year)</w:t>
            </w:r>
            <w:r>
              <w:rPr>
                <w:rFonts w:ascii="Times New Roman" w:cs="Times New Roman" w:eastAsia="Times New Roman" w:hAnsi="Times New Roman"/>
                <w:sz w:val="29"/>
                <w:szCs w:val="29"/>
                <w:b w:val="1"/>
                <w:bCs w:val="1"/>
                <w:color w:val="auto"/>
                <w:w w:val="91"/>
                <w:vertAlign w:val="superscript"/>
              </w:rPr>
              <w:t>(1)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Biogas</w:t>
            </w:r>
          </w:p>
        </w:tc>
        <w:tc>
          <w:tcPr>
            <w:tcW w:w="1500" w:type="dxa"/>
            <w:vAlign w:val="bottom"/>
            <w:gridSpan w:val="2"/>
          </w:tcPr>
          <w:p>
            <w:pPr>
              <w:jc w:val="right"/>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Ownership %</w:t>
            </w:r>
            <w:r>
              <w:rPr>
                <w:rFonts w:ascii="Times New Roman" w:cs="Times New Roman" w:eastAsia="Times New Roman" w:hAnsi="Times New Roman"/>
                <w:sz w:val="29"/>
                <w:szCs w:val="29"/>
                <w:b w:val="1"/>
                <w:bCs w:val="1"/>
                <w:color w:val="auto"/>
                <w:w w:val="98"/>
                <w:vertAlign w:val="superscript"/>
              </w:rPr>
              <w:t>(2)</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Greentree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Imperial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River</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Noble Road</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Pine Bend</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Sunoma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4,175,000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BioTown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Hilltop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Michigan 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North Carolina 2</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Prince William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Vander Schaaf</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5,775,000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ind w:left="340" w:right="2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River, Noble Road and Pine Bend have just recently begun operations and are in a ramp-up phase.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Carolina 2 has secured gas rights and site access and is anticipated to begin construction in the second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Projects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688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Nameplate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5"/>
        </w:trPr>
        <w:tc>
          <w:tcPr>
            <w:tcW w:w="6880" w:type="dxa"/>
            <w:vAlign w:val="bottom"/>
          </w:tcPr>
          <w:p>
            <w:pPr>
              <w:spacing w:after="0"/>
              <w:rPr>
                <w:sz w:val="19"/>
                <w:szCs w:val="19"/>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r>
      <w:tr>
        <w:trPr>
          <w:trHeight w:val="216"/>
        </w:trPr>
        <w:tc>
          <w:tcPr>
            <w:tcW w:w="68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(MW Per</w:t>
            </w: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RNG</w:t>
            </w:r>
          </w:p>
        </w:tc>
      </w:tr>
      <w:tr>
        <w:trPr>
          <w:trHeight w:val="277"/>
        </w:trPr>
        <w:tc>
          <w:tcPr>
            <w:tcW w:w="6880" w:type="dxa"/>
            <w:vAlign w:val="bottom"/>
          </w:tcPr>
          <w:p>
            <w:pPr>
              <w:spacing w:after="0"/>
              <w:rPr>
                <w:sz w:val="24"/>
                <w:szCs w:val="24"/>
                <w:color w:val="auto"/>
              </w:rPr>
            </w:pPr>
          </w:p>
        </w:tc>
        <w:tc>
          <w:tcPr>
            <w:tcW w:w="1160" w:type="dxa"/>
            <w:vAlign w:val="bottom"/>
            <w:gridSpan w:val="2"/>
          </w:tcPr>
          <w:p>
            <w:pPr>
              <w:jc w:val="center"/>
              <w:ind w:right="40"/>
              <w:spacing w:after="0" w:line="270" w:lineRule="exact"/>
              <w:rPr>
                <w:sz w:val="20"/>
                <w:szCs w:val="20"/>
                <w:color w:val="auto"/>
              </w:rPr>
            </w:pPr>
            <w:r>
              <w:rPr>
                <w:rFonts w:ascii="Times New Roman" w:cs="Times New Roman" w:eastAsia="Times New Roman" w:hAnsi="Times New Roman"/>
                <w:sz w:val="18"/>
                <w:szCs w:val="18"/>
                <w:b w:val="1"/>
                <w:bCs w:val="1"/>
                <w:color w:val="auto"/>
                <w:w w:val="91"/>
              </w:rPr>
              <w:t>Hour)</w:t>
            </w:r>
            <w:r>
              <w:rPr>
                <w:rFonts w:ascii="Times New Roman" w:cs="Times New Roman" w:eastAsia="Times New Roman" w:hAnsi="Times New Roman"/>
                <w:sz w:val="29"/>
                <w:szCs w:val="29"/>
                <w:b w:val="1"/>
                <w:bCs w:val="1"/>
                <w:color w:val="auto"/>
                <w:w w:val="91"/>
                <w:vertAlign w:val="superscript"/>
              </w:rPr>
              <w:t>(1)</w:t>
            </w:r>
          </w:p>
        </w:tc>
        <w:tc>
          <w:tcPr>
            <w:tcW w:w="18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Candidate?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Michigan 1E</w:t>
            </w:r>
            <w:r>
              <w:rPr>
                <w:rFonts w:ascii="Times New Roman" w:cs="Times New Roman" w:eastAsia="Times New Roman" w:hAnsi="Times New Roman"/>
                <w:sz w:val="29"/>
                <w:szCs w:val="29"/>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57"/>
        </w:trPr>
        <w:tc>
          <w:tcPr>
            <w:tcW w:w="6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Prince William 1E</w:t>
            </w:r>
            <w:r>
              <w:rPr>
                <w:rFonts w:ascii="Times New Roman" w:cs="Times New Roman" w:eastAsia="Times New Roman" w:hAnsi="Times New Roman"/>
                <w:sz w:val="29"/>
                <w:szCs w:val="29"/>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6"/>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Prince William 2E</w:t>
            </w:r>
            <w:r>
              <w:rPr>
                <w:rFonts w:ascii="Times New Roman" w:cs="Times New Roman" w:eastAsia="Times New Roman" w:hAnsi="Times New Roman"/>
                <w:sz w:val="29"/>
                <w:szCs w:val="29"/>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123.77</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RNG Projects in Development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projects listed in the tables above, we are actively performing development work on seven potential projects (“</w:t>
      </w:r>
      <w:r>
        <w:rPr>
          <w:rFonts w:ascii="Times New Roman" w:cs="Times New Roman" w:eastAsia="Times New Roman" w:hAnsi="Times New Roman"/>
          <w:sz w:val="18"/>
          <w:szCs w:val="18"/>
          <w:b w:val="1"/>
          <w:bCs w:val="1"/>
          <w:i w:val="1"/>
          <w:iCs w:val="1"/>
          <w:color w:val="auto"/>
        </w:rPr>
        <w:t>RNG Projects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We have identified key milestones (“</w:t>
      </w:r>
      <w:r>
        <w:rPr>
          <w:rFonts w:ascii="Times New Roman" w:cs="Times New Roman" w:eastAsia="Times New Roman" w:hAnsi="Times New Roman"/>
          <w:sz w:val="18"/>
          <w:szCs w:val="18"/>
          <w:b w:val="1"/>
          <w:bCs w:val="1"/>
          <w:i w:val="1"/>
          <w:iCs w:val="1"/>
          <w:color w:val="auto"/>
        </w:rPr>
        <w:t>Key Milestones</w:t>
      </w:r>
      <w:r>
        <w:rPr>
          <w:rFonts w:ascii="Times New Roman" w:cs="Times New Roman" w:eastAsia="Times New Roman" w:hAnsi="Times New Roman"/>
          <w:sz w:val="18"/>
          <w:szCs w:val="18"/>
          <w:color w:val="auto"/>
        </w:rPr>
        <w:t>”) that these RNG Projects in Development must achieve prior to moving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Vertical Integration of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Project Expertise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Access to Development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Project Portfolio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EHS and Compliance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Capture and Conversion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methane emissions and expanding the use of renewable fuels to displace fossil-based fuels;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industry position as a full-service partner for development opportunities, including through strategic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capabilities to new feedstock sources and technologies.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Methane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8"/>
          <w:szCs w:val="18"/>
          <w:b w:val="1"/>
          <w:bCs w:val="1"/>
          <w:i w:val="1"/>
          <w:iCs w:val="1"/>
          <w:color w:val="auto"/>
        </w:rPr>
        <w:t>BOD</w:t>
      </w:r>
      <w:r>
        <w:rPr>
          <w:rFonts w:ascii="Times New Roman" w:cs="Times New Roman" w:eastAsia="Times New Roman" w:hAnsi="Times New Roman"/>
          <w:sz w:val="18"/>
          <w:szCs w:val="18"/>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Industry Position as a Full-Service Partner for Development Opportunities, Including Through Strategic Transactions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Capabilities to New Feedstock Sources and Technologies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increase its position as a leading provider of RNG to the heavy and medium-duty commercial vehicle market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GHG emissions and expanding the use of renewable fuels to displace fossil-based fuels;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customers to achieve their sustainability and carbon reduction objectives.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GHG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Empowering Our Customers to Achieve their Sustainability and Carbon Reduction Objectives.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88"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other companies operating in the renewable energy and waste-to-energy space, ranging from other project developers to service or equipment providers.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w:t>
      </w:r>
    </w:p>
    <w:p>
      <w:pPr>
        <w:spacing w:after="0" w:line="3" w:lineRule="exact"/>
        <w:rPr>
          <w:sz w:val="20"/>
          <w:szCs w:val="20"/>
          <w:color w:val="auto"/>
        </w:rPr>
      </w:pPr>
    </w:p>
    <w:p>
      <w:pPr>
        <w:jc w:val="both"/>
        <w:ind w:firstLine="8"/>
        <w:spacing w:after="0" w:line="255" w:lineRule="auto"/>
        <w:tabs>
          <w:tab w:leader="none" w:pos="2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b w:val="1"/>
          <w:bCs w:val="1"/>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EPA under the Clean Air Act (the “</w:t>
      </w:r>
      <w:r>
        <w:rPr>
          <w:rFonts w:ascii="Times New Roman" w:cs="Times New Roman" w:eastAsia="Times New Roman" w:hAnsi="Times New Roman"/>
          <w:sz w:val="18"/>
          <w:szCs w:val="18"/>
          <w:b w:val="1"/>
          <w:bCs w:val="1"/>
          <w:i w:val="1"/>
          <w:iCs w:val="1"/>
          <w:color w:val="auto"/>
        </w:rPr>
        <w:t>CAA</w:t>
      </w:r>
      <w:r>
        <w:rPr>
          <w:rFonts w:ascii="Times New Roman" w:cs="Times New Roman" w:eastAsia="Times New Roman" w:hAnsi="Times New Roman"/>
          <w:sz w:val="18"/>
          <w:szCs w:val="18"/>
          <w:color w:val="auto"/>
        </w:rPr>
        <w:t>”) regulates emissions of pollutants to protect the environment and public health and contains provisions for New Source Review (the “</w:t>
      </w:r>
      <w:r>
        <w:rPr>
          <w:rFonts w:ascii="Times New Roman" w:cs="Times New Roman" w:eastAsia="Times New Roman" w:hAnsi="Times New Roman"/>
          <w:sz w:val="18"/>
          <w:szCs w:val="18"/>
          <w:b w:val="1"/>
          <w:bCs w:val="1"/>
          <w:i w:val="1"/>
          <w:iCs w:val="1"/>
          <w:color w:val="auto"/>
        </w:rPr>
        <w:t>NSR</w:t>
      </w:r>
      <w:r>
        <w:rPr>
          <w:rFonts w:ascii="Times New Roman" w:cs="Times New Roman" w:eastAsia="Times New Roman" w:hAnsi="Times New Roman"/>
          <w:sz w:val="18"/>
          <w:szCs w:val="18"/>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(the “</w:t>
      </w:r>
      <w:r>
        <w:rPr>
          <w:rFonts w:ascii="Times New Roman" w:cs="Times New Roman" w:eastAsia="Times New Roman" w:hAnsi="Times New Roman"/>
          <w:sz w:val="18"/>
          <w:szCs w:val="18"/>
          <w:b w:val="1"/>
          <w:bCs w:val="1"/>
          <w:i w:val="1"/>
          <w:iCs w:val="1"/>
          <w:color w:val="auto"/>
        </w:rPr>
        <w:t>RCRA”)</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Qualifying Facilities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Public Utility Regulatory Policies Act (“</w:t>
      </w:r>
      <w:r>
        <w:rPr>
          <w:rFonts w:ascii="Times New Roman" w:cs="Times New Roman" w:eastAsia="Times New Roman" w:hAnsi="Times New Roman"/>
          <w:sz w:val="18"/>
          <w:szCs w:val="18"/>
          <w:b w:val="1"/>
          <w:bCs w:val="1"/>
          <w:i w:val="1"/>
          <w:iCs w:val="1"/>
          <w:color w:val="auto"/>
        </w:rPr>
        <w:t>PURPA</w:t>
      </w:r>
      <w:r>
        <w:rPr>
          <w:rFonts w:ascii="Times New Roman" w:cs="Times New Roman" w:eastAsia="Times New Roman" w:hAnsi="Times New Roman"/>
          <w:sz w:val="18"/>
          <w:szCs w:val="18"/>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Utility 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Production and Sale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Regulations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 of Existing or Probable Government Regulations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8"/>
          <w:szCs w:val="18"/>
          <w:i w:val="1"/>
          <w:iCs w:val="1"/>
          <w:color w:val="auto"/>
        </w:rPr>
        <w:t>Certain Relationships and Related Party Transactions—Administrative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Agreement.</w:t>
      </w:r>
      <w:r>
        <w:rPr>
          <w:rFonts w:ascii="Times New Roman" w:cs="Times New Roman" w:eastAsia="Times New Roman" w:hAnsi="Times New Roman"/>
          <w:sz w:val="18"/>
          <w:szCs w:val="18"/>
          <w:color w:val="auto"/>
        </w:rPr>
        <w:t>” We believe this office space is adequate for our needs for the immediate future and that, should it be necessary, we can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space to accommodate any future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2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See “</w:t>
      </w:r>
      <w:r>
        <w:rPr>
          <w:rFonts w:ascii="Times New Roman" w:cs="Times New Roman" w:eastAsia="Times New Roman" w:hAnsi="Times New Roman"/>
          <w:sz w:val="18"/>
          <w:szCs w:val="18"/>
          <w:i w:val="1"/>
          <w:iCs w:val="1"/>
          <w:color w:val="auto"/>
        </w:rPr>
        <w: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for further summary of our projects.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City of Albany Matter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10, 2020, the City of Albany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commenced an action against two of our subsidiaries, Albany Energy LLC (“</w:t>
      </w:r>
      <w:r>
        <w:rPr>
          <w:rFonts w:ascii="Times New Roman" w:cs="Times New Roman" w:eastAsia="Times New Roman" w:hAnsi="Times New Roman"/>
          <w:sz w:val="18"/>
          <w:szCs w:val="18"/>
          <w:b w:val="1"/>
          <w:bCs w:val="1"/>
          <w:i w:val="1"/>
          <w:iCs w:val="1"/>
          <w:color w:val="auto"/>
        </w:rPr>
        <w:t>Albany Energy</w:t>
      </w:r>
      <w:r>
        <w:rPr>
          <w:rFonts w:ascii="Times New Roman" w:cs="Times New Roman" w:eastAsia="Times New Roman" w:hAnsi="Times New Roman"/>
          <w:sz w:val="18"/>
          <w:szCs w:val="18"/>
          <w:color w:val="auto"/>
        </w:rPr>
        <w:t>”) and NEO Albany L.L.C.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September 23, 2022, the City, NEO and Albany Energy entered into that certain Settlement Agreement and Mutual Release, pursuant to which existing contracts between the parties were ratified and modified, and the City’s claims against NEO and Albany Energy were released.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Arbor Hills Matters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One of our subsidiaries, Arbor Hills Energy LLC (“</w:t>
      </w:r>
      <w:r>
        <w:rPr>
          <w:rFonts w:ascii="Times New Roman" w:cs="Times New Roman" w:eastAsia="Times New Roman" w:hAnsi="Times New Roman"/>
          <w:sz w:val="18"/>
          <w:szCs w:val="18"/>
          <w:b w:val="1"/>
          <w:bCs w:val="1"/>
          <w:i w:val="1"/>
          <w:iCs w:val="1"/>
          <w:color w:val="auto"/>
        </w:rPr>
        <w:t>AHE</w:t>
      </w:r>
      <w:r>
        <w:rPr>
          <w:rFonts w:ascii="Times New Roman" w:cs="Times New Roman" w:eastAsia="Times New Roman" w:hAnsi="Times New Roman"/>
          <w:sz w:val="18"/>
          <w:szCs w:val="18"/>
          <w:color w:val="auto"/>
        </w:rPr>
        <w:t>”), has received various notices of violation from the Michigan Department of Environment, Great Lakes and Energy (“</w:t>
      </w:r>
      <w:r>
        <w:rPr>
          <w:rFonts w:ascii="Times New Roman" w:cs="Times New Roman" w:eastAsia="Times New Roman" w:hAnsi="Times New Roman"/>
          <w:sz w:val="18"/>
          <w:szCs w:val="18"/>
          <w:b w:val="1"/>
          <w:bCs w:val="1"/>
          <w:i w:val="1"/>
          <w:iCs w:val="1"/>
          <w:color w:val="auto"/>
        </w:rPr>
        <w:t>EGLE</w:t>
      </w:r>
      <w:r>
        <w:rPr>
          <w:rFonts w:ascii="Times New Roman" w:cs="Times New Roman" w:eastAsia="Times New Roman" w:hAnsi="Times New Roman"/>
          <w:sz w:val="18"/>
          <w:szCs w:val="18"/>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 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Virginia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Ohio Edison Arbitration Demand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 subsidiary of Opco, and Ohio Edison Company (“</w:t>
      </w:r>
      <w:r>
        <w:rPr>
          <w:rFonts w:ascii="Times New Roman" w:cs="Times New Roman" w:eastAsia="Times New Roman" w:hAnsi="Times New Roman"/>
          <w:sz w:val="18"/>
          <w:szCs w:val="18"/>
          <w:b w:val="1"/>
          <w:bCs w:val="1"/>
          <w:i w:val="1"/>
          <w:iCs w:val="1"/>
          <w:color w:val="auto"/>
        </w:rPr>
        <w:t>Ohio Edison</w:t>
      </w:r>
      <w:r>
        <w:rPr>
          <w:rFonts w:ascii="Times New Roman" w:cs="Times New Roman" w:eastAsia="Times New Roman" w:hAnsi="Times New Roman"/>
          <w:sz w:val="18"/>
          <w:szCs w:val="18"/>
          <w:color w:val="auto"/>
        </w:rPr>
        <w:t>”)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Board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Position with OPAL</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16"/>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Comora</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Dols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director of our board.</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is the Founder and President of Fortistar. Since founding Fortistar in 1993, Mr. Comora has led Fortistar’s growth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decarbonization of power 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8"/>
          <w:szCs w:val="18"/>
          <w:b w:val="1"/>
          <w:bCs w:val="1"/>
          <w:i w:val="1"/>
          <w:iCs w:val="1"/>
          <w:color w:val="auto"/>
        </w:rPr>
        <w:t>Braven Environmental</w:t>
      </w:r>
      <w:r>
        <w:rPr>
          <w:rFonts w:ascii="Times New Roman" w:cs="Times New Roman" w:eastAsia="Times New Roman" w:hAnsi="Times New Roman"/>
          <w:sz w:val="18"/>
          <w:szCs w:val="18"/>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been serving as a Managing Director of Fortistar since July 2008, where he serves as Head of Fortistar’s Investment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Nisar is a member of 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Marco F. Gatti </w:t>
      </w:r>
      <w:r>
        <w:rPr>
          <w:rFonts w:ascii="Times New Roman" w:cs="Times New Roman" w:eastAsia="Times New Roman" w:hAnsi="Times New Roman"/>
          <w:sz w:val="18"/>
          <w:szCs w:val="18"/>
          <w:color w:val="auto"/>
        </w:rPr>
        <w:t>currently serves as a Managing Director or ArcLight Capital. Mr. Gatti joined ArcLight Capital in 2018 and has 11 years of energy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M. Fogarty </w:t>
      </w:r>
      <w:r>
        <w:rPr>
          <w:rFonts w:ascii="Times New Roman" w:cs="Times New Roman" w:eastAsia="Times New Roman" w:hAnsi="Times New Roman"/>
          <w:sz w:val="18"/>
          <w:szCs w:val="18"/>
          <w:color w:val="auto"/>
        </w:rPr>
        <w:t>recently retired from Kraton Corporation, Inc. (“</w:t>
      </w:r>
      <w:r>
        <w:rPr>
          <w:rFonts w:ascii="Times New Roman" w:cs="Times New Roman" w:eastAsia="Times New Roman" w:hAnsi="Times New Roman"/>
          <w:sz w:val="18"/>
          <w:szCs w:val="18"/>
          <w:b w:val="1"/>
          <w:bCs w:val="1"/>
          <w:i w:val="1"/>
          <w:iCs w:val="1"/>
          <w:color w:val="auto"/>
        </w:rPr>
        <w:t>Kraton</w:t>
      </w:r>
      <w:r>
        <w:rPr>
          <w:rFonts w:ascii="Times New Roman" w:cs="Times New Roman" w:eastAsia="Times New Roman" w:hAnsi="Times New Roman"/>
          <w:sz w:val="18"/>
          <w:szCs w:val="18"/>
          <w:color w:val="auto"/>
        </w:rPr>
        <w:t>”), where he served as President, Chief Executive Officer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2008,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since 2009 as Founding Partner and Chief Investment Officer of Lone Peak Partners Management, LP, an investment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with 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8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is the CEO of several waste-related companies. Mr. Dols is the Founder and, since 2002, has served as CEO of Big Truck Rental, which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served as Chief Executive Officer and a Director of Conduent Incorporated, a global digital interactions company, from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persons serve as our executive officers: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 with OPAL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Comora</w:t>
            </w: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Anthony</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David Unger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r>
      <w:tr>
        <w:trPr>
          <w:trHeight w:val="637"/>
        </w:trPr>
        <w:tc>
          <w:tcPr>
            <w:tcW w:w="4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3" w:name="page104"/>
    <w:bookmarkEnd w:id="103"/>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Comora was also with 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Maurer 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 Anthony </w:t>
      </w:r>
      <w:r>
        <w:rPr>
          <w:rFonts w:ascii="Times New Roman" w:cs="Times New Roman" w:eastAsia="Times New Roman" w:hAnsi="Times New Roman"/>
          <w:sz w:val="18"/>
          <w:szCs w:val="18"/>
          <w:color w:val="auto"/>
        </w:rPr>
        <w:t>served as the Chief Financial Officer of Opco from April 2021 up to the closing of the Business Combination where Ms. Anthony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served in the role as Executive Vice President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Falbo </w:t>
      </w:r>
      <w:r>
        <w:rPr>
          <w:rFonts w:ascii="Times New Roman" w:cs="Times New Roman" w:eastAsia="Times New Roman" w:hAnsi="Times New Roman"/>
          <w:sz w:val="18"/>
          <w:szCs w:val="18"/>
          <w:color w:val="auto"/>
        </w:rPr>
        <w:t>served in the role as Chief Operating Officer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Falbo transitioned in 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Edelbach </w:t>
      </w:r>
      <w:r>
        <w:rPr>
          <w:rFonts w:ascii="Times New Roman" w:cs="Times New Roman" w:eastAsia="Times New Roman" w:hAnsi="Times New Roman"/>
          <w:sz w:val="18"/>
          <w:szCs w:val="18"/>
          <w:color w:val="auto"/>
        </w:rPr>
        <w:t>has served in the role as the Executive Vice President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Edelbach 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Hugh Donnell </w:t>
      </w:r>
      <w:r>
        <w:rPr>
          <w:rFonts w:ascii="Times New Roman" w:cs="Times New Roman" w:eastAsia="Times New Roman" w:hAnsi="Times New Roman"/>
          <w:sz w:val="18"/>
          <w:szCs w:val="18"/>
          <w:color w:val="auto"/>
        </w:rPr>
        <w:t>served as Senior Vice President, Business Development and Sustainability at Opco and has been with the company from April 2022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closing of the 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the General Counsel of Opco from June 2021 up to the closing of the Business Combination where Mr. Coghlin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Our board maintains a standing audit committee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but does not currently maintain a standing compensation committee or nominating/governance committee based upon the exceptions from the Nasdaq Listing Rules for “controlled companies.”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purpose and responsibilities of the Audit Committee are set forth in the Audit Committee Charter adopted by our board on July 21,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Our Board adopted a Code of Business Conduct and Ethics on July 21, 2022 (the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2021. Our executive officers are listed below (of which Mr. Comora, Mr. Mauer, Mr. Unger and Mr. Edelbach are Named Executive Officers):</w:t>
      </w:r>
    </w:p>
    <w:p>
      <w:pPr>
        <w:spacing w:after="0" w:line="180"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Anthony,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Falbo,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Unger,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Edelbach,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Hugh Donnell, Senior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8"/>
          <w:szCs w:val="18"/>
          <w:b w:val="1"/>
          <w:bCs w:val="1"/>
          <w:i w:val="1"/>
          <w:iCs w:val="1"/>
          <w:color w:val="auto"/>
        </w:rPr>
        <w:t>2021 Fiscal Year</w:t>
      </w:r>
      <w:r>
        <w:rPr>
          <w:rFonts w:ascii="Times New Roman" w:cs="Times New Roman" w:eastAsia="Times New Roman" w:hAnsi="Times New Roman"/>
          <w:sz w:val="18"/>
          <w:szCs w:val="18"/>
          <w:color w:val="auto"/>
        </w:rPr>
        <w:t>”) and the other Named Executive Officers during the 2021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7"/>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4"/>
                <w:szCs w:val="2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100" w:type="dxa"/>
            <w:vAlign w:val="bottom"/>
          </w:tcPr>
          <w:p>
            <w:pPr>
              <w:jc w:val="right"/>
              <w:ind w:right="27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Adam Comora,</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380,519</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750,000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26,000</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1,156,519</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Scott Edelbach,</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293,623</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202,366</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507,582</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325,923</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340,000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19,835</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685,758</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to NEOs for 2021. Please see additional information below in the section entitled “Annual Incentives.”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2021 fiscal year, our compensation program consisted primarily of the following elements: base salary, short-term annual incentive awards, long-term equity incentives and benefit and perquisite programs.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Participants were entitled to participate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from such predecessors of Opco during their employment. Effective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profits interest equity awards as of December 31, 2021 for each NEO.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or</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Units of Stock That</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Units Of Stock</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Parent Equity Awards</w:t>
            </w:r>
          </w:p>
        </w:tc>
        <w:tc>
          <w:tcPr>
            <w:tcW w:w="10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8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Grant Date</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194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3"/>
              </w:rPr>
              <w:t>Vested (%)</w:t>
            </w:r>
            <w:r>
              <w:rPr>
                <w:rFonts w:ascii="Times New Roman" w:cs="Times New Roman" w:eastAsia="Times New Roman" w:hAnsi="Times New Roman"/>
                <w:sz w:val="29"/>
                <w:szCs w:val="29"/>
                <w:b w:val="1"/>
                <w:bCs w:val="1"/>
                <w:color w:val="auto"/>
                <w:w w:val="93"/>
                <w:vertAlign w:val="superscript"/>
              </w:rPr>
              <w:t>(2)</w:t>
            </w:r>
          </w:p>
        </w:tc>
        <w:tc>
          <w:tcPr>
            <w:tcW w:w="120" w:type="dxa"/>
            <w:vAlign w:val="bottom"/>
          </w:tcPr>
          <w:p>
            <w:pPr>
              <w:spacing w:after="0"/>
              <w:rPr>
                <w:sz w:val="24"/>
                <w:szCs w:val="24"/>
                <w:color w:val="auto"/>
              </w:rPr>
            </w:pPr>
          </w:p>
        </w:tc>
        <w:tc>
          <w:tcPr>
            <w:tcW w:w="168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Not Vested ($)</w:t>
            </w:r>
            <w:r>
              <w:rPr>
                <w:rFonts w:ascii="Times New Roman" w:cs="Times New Roman" w:eastAsia="Times New Roman" w:hAnsi="Times New Roman"/>
                <w:sz w:val="29"/>
                <w:szCs w:val="29"/>
                <w:b w:val="1"/>
                <w:bCs w:val="1"/>
                <w:color w:val="auto"/>
                <w:w w:val="95"/>
                <w:vertAlign w:val="superscript"/>
              </w:rPr>
              <w:t>(3)</w:t>
            </w: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Adam Comora,</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11,172,566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2040" w:type="dxa"/>
            <w:vAlign w:val="bottom"/>
            <w:gridSpan w:val="3"/>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3,720,271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7,448,595</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2,480,253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Scott Edelbach,</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1,861,986</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620,009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1,963,832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1,583,334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Equity Awards vest ratably on each of the first five anniversaries of the Grant Date.</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Equity Awards entitle recipients to indirectly receive a percentage of the profits (“</w:t>
      </w:r>
      <w:r>
        <w:rPr>
          <w:rFonts w:ascii="Times New Roman" w:cs="Times New Roman" w:eastAsia="Times New Roman" w:hAnsi="Times New Roman"/>
          <w:sz w:val="18"/>
          <w:szCs w:val="18"/>
          <w:b w:val="1"/>
          <w:bCs w:val="1"/>
          <w:i w:val="1"/>
          <w:iCs w:val="1"/>
          <w:color w:val="auto"/>
        </w:rPr>
        <w:t>Profits Portion</w:t>
      </w:r>
      <w:r>
        <w:rPr>
          <w:rFonts w:ascii="Times New Roman" w:cs="Times New Roman" w:eastAsia="Times New Roman" w:hAnsi="Times New Roman"/>
          <w:sz w:val="18"/>
          <w:szCs w:val="18"/>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7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member of our board is entitled to reimbursement for reasonable travel and other expenses incurred in connection with attending board meetings and meetings for any committee on which he or she 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shares of all classes of stock that OPAL has the authority to issue is 1,120,000,000 shares, consisting of:</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820,000,000 shares of Common Stock, par value of $0.0001 per share, divided into: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340,000,000 shares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B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C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D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OPAL Preferred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2022, OPAL had 25,671,390 shares of Class A common stock issued and outstanding.</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A common stock is entitled to one vote for each share of Class A common stock held of record by such holder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any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 (as defined in the Second A&amp;R LLC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B common stock will be entitled to one vote for each share of Class B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Dividends of cash or property may not be declared or paid on shares of Class B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Class B Units are issued pursuant to the Second A&amp;R LLC Agreement to any stockholder of OPAL other than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did not have any shares of Class C common stock issued and outstanding. Shares of Class C common stock may be converted to shares of Class A common stock, as discussed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C common stock will be entitled to five votes for each share of Class C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C common stock shall be convertible into one share of Class A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C common stock shall automatically, without any further action, convert into one share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(as defined in the Charter), other than a Transfer to a Qualified Stockholder (as defined in the Charter).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D common stock will be entitled to five votes for each share of Class D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tabs>
          <w:tab w:leader="none" w:pos="3660" w:val="left"/>
        </w:tabs>
        <w:rPr>
          <w:sz w:val="20"/>
          <w:szCs w:val="20"/>
          <w:color w:val="auto"/>
        </w:rPr>
      </w:pPr>
      <w:r>
        <w:rPr>
          <w:rFonts w:ascii="Times New Roman" w:cs="Times New Roman" w:eastAsia="Times New Roman" w:hAnsi="Times New Roman"/>
          <w:sz w:val="18"/>
          <w:szCs w:val="18"/>
          <w:b w:val="1"/>
          <w:bCs w:val="1"/>
          <w:i w:val="1"/>
          <w:iCs w:val="1"/>
          <w:color w:val="auto"/>
        </w:rPr>
        <w:t>Dividends; Stock Splits and Combinations.</w:t>
      </w:r>
      <w:r>
        <w:rPr>
          <w:sz w:val="20"/>
          <w:szCs w:val="20"/>
          <w:color w:val="auto"/>
        </w:rPr>
        <w:tab/>
      </w:r>
      <w:r>
        <w:rPr>
          <w:rFonts w:ascii="Times New Roman" w:cs="Times New Roman" w:eastAsia="Times New Roman" w:hAnsi="Times New Roman"/>
          <w:sz w:val="17"/>
          <w:szCs w:val="17"/>
          <w:color w:val="auto"/>
        </w:rPr>
        <w:t>Dividends of cash or property may not be declared or paid on shares of Class D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that Class B Units are issued pursuant to the Second A&amp;R LLC Agreement to any Qualified Stockholder,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D common stock shall be convertible into one share of Class B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D common stock shall automatically, without any further action, convert into one share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other than a Transfer to a Qualified Stockholder.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Cancellation of Class B common stock and 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OPAL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of the Common Stock, the OPAL Preferred Stock or any future class or series of OPAL Preferred Stock or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OPAL Capital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the Organizational Documents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 by Written Consent; Special Meeting of Stockholder. </w:t>
      </w:r>
      <w:r>
        <w:rPr>
          <w:rFonts w:ascii="Times New Roman" w:cs="Times New Roman" w:eastAsia="Times New Roman" w:hAnsi="Times New Roman"/>
          <w:sz w:val="18"/>
          <w:szCs w:val="18"/>
          <w:color w:val="auto"/>
        </w:rPr>
        <w:t>Subject to, with respect to the OPAL Preferred Stock, the terms of any series of OPAL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and Removal of Directors. </w:t>
      </w:r>
      <w:r>
        <w:rPr>
          <w:rFonts w:ascii="Times New Roman" w:cs="Times New Roman" w:eastAsia="Times New Roman" w:hAnsi="Times New Roman"/>
          <w:sz w:val="18"/>
          <w:szCs w:val="18"/>
          <w:color w:val="auto"/>
        </w:rPr>
        <w:t>Subject to any limitations imposed by applicable law and except for additional directors of OPAL elected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Limitations on Stockholder 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also impose some procedural requirements on stockholders who wish to:</w:t>
      </w:r>
    </w:p>
    <w:p>
      <w:pPr>
        <w:spacing w:after="0" w:line="229"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meeting of stockholders.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7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each stockholder proposing business, as they appear in OPAL’s books;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OPAL, directly or indirectly, held of record and beneficially by the Proponent or Stockholder Associated Person, as such terms are defined in the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persons with whom the stockholder is acting in concert and a description of all arrangements and understandings with those persons;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the text of the proposal and the reasons for conducting such business at the meeting;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Proponent or Stockholder Associated Person in such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Bylaws also set out the timeliness requirements for delivery of such notice.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Organizational Documents provide indemnification for OPAL’s directors and officers to the fullest extent permitted by the DGCL.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of OPAL, such stockholder shall be deemed to have consented to</w:t>
      </w:r>
    </w:p>
    <w:p>
      <w:pPr>
        <w:jc w:val="both"/>
        <w:ind w:firstLine="8"/>
        <w:spacing w:after="0" w:line="255" w:lineRule="auto"/>
        <w:tabs>
          <w:tab w:leader="none" w:pos="22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8"/>
          <w:szCs w:val="18"/>
          <w:b w:val="1"/>
          <w:bCs w:val="1"/>
          <w:i w:val="1"/>
          <w:iCs w:val="1"/>
          <w:color w:val="auto"/>
        </w:rPr>
        <w:t>Enforcement Action</w:t>
      </w:r>
      <w:r>
        <w:rPr>
          <w:rFonts w:ascii="Times New Roman" w:cs="Times New Roman" w:eastAsia="Times New Roman" w:hAnsi="Times New Roman"/>
          <w:sz w:val="18"/>
          <w:szCs w:val="18"/>
          <w:color w:val="auto"/>
        </w:rPr>
        <w:t>”) and (ii) having service of process made upon such stockholder in any such Enforcement Action by service upon such stockholder’s counsel in the Foreign Action as agent for such stockholder.</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person or entity purchasing, holding, owning or otherwise acquiring any interest in any security of OPAL shall be deemed to have notice of and to have consented to the exclusive forum provisions of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—PIPE Investors—Investor Rights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60th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share of Class A common stock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59"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for any 20 trading days within a 30-trading day period ending three trading days before we send the notice of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warrant 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8"/>
          <w:szCs w:val="18"/>
          <w:color w:val="auto"/>
        </w:rPr>
        <w:t>Once the warrants become exercisable, we may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outstanding warrants:</w:t>
      </w:r>
    </w:p>
    <w:p>
      <w:pPr>
        <w:spacing w:after="0" w:line="15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redemption to the warrant holders;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Warrants, as described above.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8"/>
          <w:szCs w:val="18"/>
          <w:i w:val="1"/>
          <w:iCs w:val="1"/>
          <w:color w:val="auto"/>
        </w:rPr>
        <w:t>Warrants — Public Warrants</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share prices in the column headings will equal the unadjusted share price less the decrease in the exercise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Fair Market Value of shares of Class A common stock</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to expiration of warrants)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$10.00</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18.00</w:t>
            </w:r>
          </w:p>
        </w:tc>
        <w:tc>
          <w:tcPr>
            <w:tcW w:w="20" w:type="dxa"/>
            <w:vAlign w:val="bottom"/>
          </w:tcPr>
          <w:p>
            <w:pPr>
              <w:spacing w:after="0"/>
              <w:rPr>
                <w:sz w:val="20"/>
                <w:szCs w:val="20"/>
                <w:color w:val="auto"/>
              </w:rPr>
            </w:pP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0.297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0.337</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0.358</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0.287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0.263</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0.274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0.269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0.263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0.316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0.197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0.181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0.250</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0.162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0.137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0.104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0.042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 warrants when the price per share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87"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except pursuant to limited exceptions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Except as described above under “—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Redemption of warrants when the price per share of Class A common stock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$10.00</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 his,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its warrants for that number of shares of Class A common stock equal to the quotient obtained by dividing (x) the product of the number of shares of Class A common stock underlying the warrants, multiplied by the excess of the “Sponsor fair market value” (as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OPAL’s Common Stock and warrant agent for the Public Warrants and Private Placement Warrants is the Continental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Class A common stock and Public Warrants are listed on Nasdaq under the symbols “OPAL” and “OPALW,”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and Class D common stock by:</w:t>
      </w:r>
    </w:p>
    <w:p>
      <w:pPr>
        <w:spacing w:after="0" w:line="16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or our Class D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Class A common stock is based on 25,671,390 shares of our Class A common stock issued and outstanding and 144,399,037 shares of our Class D common stock issued and outstanding as of October 13,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Class D</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4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16"/>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Comora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Anthony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Unger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 Fogarty(2)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Dols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Comora(3)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officers as a group (15 persons)(4)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885,600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16,877,101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Mendocino Capital, LLC(7)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Meteora Capital(8)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1,659,658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Electron(9)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Nyera II Limited(10)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2,675,337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399" w:lineRule="exact"/>
        <w:rPr>
          <w:sz w:val="20"/>
          <w:szCs w:val="20"/>
          <w:color w:val="auto"/>
        </w:rPr>
      </w:pPr>
    </w:p>
    <w:p>
      <w:pPr>
        <w:ind w:left="340" w:hanging="332"/>
        <w:spacing w:after="0" w:line="188" w:lineRule="auto"/>
        <w:tabs>
          <w:tab w:leader="none" w:pos="340" w:val="left"/>
        </w:tabs>
        <w:numPr>
          <w:ilvl w:val="0"/>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noted, the business address of each of the directors and officers is One North Lexington Avenue,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White Plains, New York 10601.</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held by GBBH Family Limited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both"/>
        <w:ind w:left="340" w:hanging="332"/>
        <w:spacing w:after="0" w:line="253"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8"/>
          <w:szCs w:val="18"/>
          <w:b w:val="1"/>
          <w:bCs w:val="1"/>
          <w:i w:val="1"/>
          <w:iCs w:val="1"/>
          <w:color w:val="auto"/>
        </w:rPr>
        <w:t>Fortistar</w:t>
      </w:r>
      <w:r>
        <w:rPr>
          <w:rFonts w:ascii="Times New Roman" w:cs="Times New Roman" w:eastAsia="Times New Roman" w:hAnsi="Times New Roman"/>
          <w:sz w:val="18"/>
          <w:szCs w:val="18"/>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Transactions—Hillman Restructuring</w:t>
      </w:r>
      <w:r>
        <w:rPr>
          <w:rFonts w:ascii="Times New Roman" w:cs="Times New Roman" w:eastAsia="Times New Roman" w:hAnsi="Times New Roman"/>
          <w:sz w:val="18"/>
          <w:szCs w:val="18"/>
          <w:color w:val="auto"/>
        </w:rPr>
        <w:t>”. Shares of Class D common stock may be converted into shares of Class A common stock as further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“Description of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Class D common stock.” The business address of each of Mr. Comora, OPAL Holdco, Hillman and Fortistar is One North Lexington Avenue, 14th Floor, White Plains, New York 10601.</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302,187 restricted stock units issued to these individuals on October 3, 2022.</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The business address of ARCC Beacon LLC is 245 Park Avenue, 43rd Floor New York, New York 10167.</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374,712 shares of Class A common stock held by Meteora Special Opportunity Fund I, LP (“</w:t>
      </w:r>
      <w:r>
        <w:rPr>
          <w:rFonts w:ascii="Times New Roman" w:cs="Times New Roman" w:eastAsia="Times New Roman" w:hAnsi="Times New Roman"/>
          <w:sz w:val="18"/>
          <w:szCs w:val="18"/>
          <w:b w:val="1"/>
          <w:bCs w:val="1"/>
          <w:i w:val="1"/>
          <w:iCs w:val="1"/>
          <w:color w:val="auto"/>
        </w:rPr>
        <w:t>MSOF</w:t>
      </w:r>
      <w:r>
        <w:rPr>
          <w:rFonts w:ascii="Times New Roman" w:cs="Times New Roman" w:eastAsia="Times New Roman" w:hAnsi="Times New Roman"/>
          <w:sz w:val="18"/>
          <w:szCs w:val="18"/>
          <w:color w:val="auto"/>
        </w:rPr>
        <w:t>”), (ii) 381,715 shares of Class A common stock held by Meteora Select Trading Opportunities Master, LP (“</w:t>
      </w:r>
      <w:r>
        <w:rPr>
          <w:rFonts w:ascii="Times New Roman" w:cs="Times New Roman" w:eastAsia="Times New Roman" w:hAnsi="Times New Roman"/>
          <w:sz w:val="18"/>
          <w:szCs w:val="18"/>
          <w:b w:val="1"/>
          <w:bCs w:val="1"/>
          <w:i w:val="1"/>
          <w:iCs w:val="1"/>
          <w:color w:val="auto"/>
        </w:rPr>
        <w:t>MSTO</w:t>
      </w:r>
      <w:r>
        <w:rPr>
          <w:rFonts w:ascii="Times New Roman" w:cs="Times New Roman" w:eastAsia="Times New Roman" w:hAnsi="Times New Roman"/>
          <w:sz w:val="18"/>
          <w:szCs w:val="18"/>
          <w:color w:val="auto"/>
        </w:rPr>
        <w:t>”) and (iii) 903,231 shares of Class A common stock held by Meteora Capital Partners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serves as investment manager to MSOF, MSTO and MCP. Voting and investment power over the shares held by MSOF, MSTO and MCP resides with its investment manager,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w:t>
      </w:r>
      <w:r>
        <w:rPr>
          <w:rFonts w:ascii="Times New Roman" w:cs="Times New Roman" w:eastAsia="Times New Roman" w:hAnsi="Times New Roman"/>
          <w:sz w:val="18"/>
          <w:szCs w:val="18"/>
          <w:b w:val="1"/>
          <w:bCs w:val="1"/>
          <w:i w:val="1"/>
          <w:iCs w:val="1"/>
          <w:color w:val="auto"/>
        </w:rPr>
        <w:t>BARS</w:t>
      </w:r>
      <w:r>
        <w:rPr>
          <w:rFonts w:ascii="Times New Roman" w:cs="Times New Roman" w:eastAsia="Times New Roman" w:hAnsi="Times New Roman"/>
          <w:sz w:val="18"/>
          <w:szCs w:val="18"/>
          <w:color w:val="auto"/>
        </w:rPr>
        <w:t>”)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Holders from time to time of up to 175,541,507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Held Prior to</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Registered for Sale</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Held After</w:t>
            </w:r>
          </w:p>
        </w:tc>
      </w:tr>
      <w:tr>
        <w:trPr>
          <w:trHeight w:val="2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Holder</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 (1)</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 (2)</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 Harris (3)</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Goncher (4)</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Ja-Chin Audrey Lee (5)</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Berkenfeld (6)</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 (7)</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 (8)</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Arosa Alternative Energy Fund LP (9)</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Arosa Opportunistic Fund LP (10)</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Dmitri Sinenko (11)</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Nyera II Limited (12)</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Goldman Master Fund (13)</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Mendocino Capital, LLC (14)</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Northbank Capital Management, LLC (15)</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Stearns, Conrad and Schmidt Consulting Engineers, Inc. (16)</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Trent Vichie (17)</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 (18)</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3,308,350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1,985,236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1,323,114</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Electron (19)</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460" w:hanging="452"/>
        <w:spacing w:after="0" w:line="252"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ARCC Beacon LLC’s (“</w:t>
      </w:r>
      <w:r>
        <w:rPr>
          <w:rFonts w:ascii="Times New Roman" w:cs="Times New Roman" w:eastAsia="Times New Roman" w:hAnsi="Times New Roman"/>
          <w:sz w:val="18"/>
          <w:szCs w:val="18"/>
          <w:b w:val="1"/>
          <w:bCs w:val="1"/>
          <w:i w:val="1"/>
          <w:iCs w:val="1"/>
          <w:color w:val="auto"/>
        </w:rPr>
        <w:t>ARCC Beacon</w:t>
      </w:r>
      <w:r>
        <w:rPr>
          <w:rFonts w:ascii="Times New Roman" w:cs="Times New Roman" w:eastAsia="Times New Roman" w:hAnsi="Times New Roman"/>
          <w:sz w:val="18"/>
          <w:szCs w:val="18"/>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B Common Stock</w:t>
      </w:r>
      <w:r>
        <w:rPr>
          <w:rFonts w:ascii="Times New Roman" w:cs="Times New Roman" w:eastAsia="Times New Roman" w:hAnsi="Times New Roman"/>
          <w:sz w:val="18"/>
          <w:szCs w:val="18"/>
          <w:color w:val="auto"/>
        </w:rPr>
        <w:t>”) and Ares Voting LLC is the sole holder of the Class C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Ares Management Corporation’s Certificate of Incorporation in effect as of the date of this filing, the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8"/>
          <w:szCs w:val="18"/>
          <w:b w:val="1"/>
          <w:bCs w:val="1"/>
          <w:i w:val="1"/>
          <w:iCs w:val="1"/>
          <w:color w:val="auto"/>
        </w:rPr>
        <w:t>Ares Board Members</w:t>
      </w:r>
      <w:r>
        <w:rPr>
          <w:rFonts w:ascii="Times New Roman" w:cs="Times New Roman" w:eastAsia="Times New Roman" w:hAnsi="Times New Roman"/>
          <w:sz w:val="18"/>
          <w:szCs w:val="18"/>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left="460" w:hanging="452"/>
        <w:spacing w:after="0" w:line="255"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Harris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Goncher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Ms. Lee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Berkenfeld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Hillman Restructuring</w:t>
      </w:r>
      <w:r>
        <w:rPr>
          <w:rFonts w:ascii="Times New Roman" w:cs="Times New Roman" w:eastAsia="Times New Roman" w:hAnsi="Times New Roman"/>
          <w:sz w:val="18"/>
          <w:szCs w:val="18"/>
          <w:color w:val="auto"/>
        </w:rPr>
        <w:t>.” The business address of each of Mr. Comora, OPAL Holdco, Hillman and Fortistar is One North Lexington Avenue 14th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Floor, White Plains, New York 10601.</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both"/>
        <w:ind w:left="460" w:hanging="452"/>
        <w:spacing w:after="0" w:line="261"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The address of the Selling Holder is 1614 Sul Ross Street, Houston, Texas 77006.</w:t>
      </w:r>
    </w:p>
    <w:p>
      <w:pPr>
        <w:spacing w:after="0" w:line="221" w:lineRule="exact"/>
        <w:rPr>
          <w:rFonts w:ascii="Times New Roman" w:cs="Times New Roman" w:eastAsia="Times New Roman" w:hAnsi="Times New Roman"/>
          <w:sz w:val="18"/>
          <w:szCs w:val="18"/>
          <w:color w:val="auto"/>
        </w:rPr>
      </w:pPr>
    </w:p>
    <w:p>
      <w:pPr>
        <w:jc w:val="both"/>
        <w:ind w:left="460" w:hanging="452"/>
        <w:spacing w:after="0" w:line="259"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J. Goldman Master Fund, L.P. (the “</w:t>
      </w:r>
      <w:r>
        <w:rPr>
          <w:rFonts w:ascii="Times New Roman" w:cs="Times New Roman" w:eastAsia="Times New Roman" w:hAnsi="Times New Roman"/>
          <w:sz w:val="18"/>
          <w:szCs w:val="18"/>
          <w:b w:val="1"/>
          <w:bCs w:val="1"/>
          <w:i w:val="1"/>
          <w:iCs w:val="1"/>
          <w:color w:val="auto"/>
        </w:rPr>
        <w:t>Master Fund</w:t>
      </w:r>
      <w:r>
        <w:rPr>
          <w:rFonts w:ascii="Times New Roman" w:cs="Times New Roman" w:eastAsia="Times New Roman" w:hAnsi="Times New Roman"/>
          <w:sz w:val="18"/>
          <w:szCs w:val="18"/>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82"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Bradford Seagraves is the Chief Investment Officer of Northbank Capital Management, LLC (“</w:t>
      </w:r>
      <w:r>
        <w:rPr>
          <w:rFonts w:ascii="Times New Roman" w:cs="Times New Roman" w:eastAsia="Times New Roman" w:hAnsi="Times New Roman"/>
          <w:sz w:val="18"/>
          <w:szCs w:val="18"/>
          <w:b w:val="1"/>
          <w:bCs w:val="1"/>
          <w:i w:val="1"/>
          <w:iCs w:val="1"/>
          <w:color w:val="auto"/>
        </w:rPr>
        <w:t>Northbank</w:t>
      </w:r>
      <w:r>
        <w:rPr>
          <w:rFonts w:ascii="Times New Roman" w:cs="Times New Roman" w:eastAsia="Times New Roman" w:hAnsi="Times New Roman"/>
          <w:sz w:val="18"/>
          <w:szCs w:val="18"/>
          <w:color w:val="auto"/>
        </w:rPr>
        <w:t>”), and may be deemed the beneficial owner of such shares. The business address of Northbank is 133 Southern Comfort Road, Ketchum, Idaho 83340.</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 shares of Class A common stock. Curtis Jang is the Chief Financial Officer of Stearns, Conrad and Schmidt Consulting Engineers, Inc.(“</w:t>
      </w:r>
      <w:r>
        <w:rPr>
          <w:rFonts w:ascii="Times New Roman" w:cs="Times New Roman" w:eastAsia="Times New Roman" w:hAnsi="Times New Roman"/>
          <w:sz w:val="18"/>
          <w:szCs w:val="18"/>
          <w:b w:val="1"/>
          <w:bCs w:val="1"/>
          <w:i w:val="1"/>
          <w:iCs w:val="1"/>
          <w:color w:val="auto"/>
        </w:rPr>
        <w:t>SCS Consulting</w:t>
      </w:r>
      <w:r>
        <w:rPr>
          <w:rFonts w:ascii="Times New Roman" w:cs="Times New Roman" w:eastAsia="Times New Roman" w:hAnsi="Times New Roman"/>
          <w:sz w:val="18"/>
          <w:szCs w:val="18"/>
          <w:color w:val="auto"/>
        </w:rPr>
        <w:t>”), and may be deemed the beneficial owner of such shares. The business address of SCS Consulting is 3900 Kilroy Airport Way, Suite 100, Long Beach, California 90806.</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200,000 shares of Class A common stock. The address of the Selling Holder is 2403 Hatley Dr., Austin Texas 78746.</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(“BARS”)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w:t>
      </w:r>
      <w:r>
        <w:rPr>
          <w:rFonts w:ascii="Times New Roman" w:cs="Times New Roman" w:eastAsia="Times New Roman" w:hAnsi="Times New Roman"/>
          <w:sz w:val="18"/>
          <w:szCs w:val="18"/>
          <w:b w:val="1"/>
          <w:bCs w:val="1"/>
          <w:i w:val="1"/>
          <w:iCs w:val="1"/>
          <w:color w:val="auto"/>
        </w:rPr>
        <w:t>FS2</w:t>
      </w:r>
      <w:r>
        <w:rPr>
          <w:rFonts w:ascii="Times New Roman" w:cs="Times New Roman" w:eastAsia="Times New Roman" w:hAnsi="Times New Roman"/>
          <w:sz w:val="18"/>
          <w:szCs w:val="18"/>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w:t>
      </w:r>
    </w:p>
    <w:p>
      <w:pPr>
        <w:spacing w:after="0" w:line="6" w:lineRule="exact"/>
        <w:rPr>
          <w:sz w:val="20"/>
          <w:szCs w:val="20"/>
          <w:color w:val="auto"/>
        </w:rPr>
      </w:pPr>
    </w:p>
    <w:p>
      <w:pPr>
        <w:jc w:val="both"/>
        <w:ind w:firstLine="8"/>
        <w:spacing w:after="0" w:line="255" w:lineRule="auto"/>
        <w:tabs>
          <w:tab w:leader="none" w:pos="3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Hold Harmless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Flue Gas Offtake and Preferred Partner Agreement</w:t>
      </w:r>
    </w:p>
    <w:p>
      <w:pPr>
        <w:spacing w:after="0" w:line="2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Opco has entered into an agreement with CarbonFree Chemical Holdings, LLC (“</w:t>
      </w:r>
      <w:r>
        <w:rPr>
          <w:rFonts w:ascii="Times New Roman" w:cs="Times New Roman" w:eastAsia="Times New Roman" w:hAnsi="Times New Roman"/>
          <w:sz w:val="18"/>
          <w:szCs w:val="18"/>
          <w:b w:val="1"/>
          <w:bCs w:val="1"/>
          <w:i w:val="1"/>
          <w:iCs w:val="1"/>
          <w:color w:val="auto"/>
        </w:rPr>
        <w:t>CarbonFree</w:t>
      </w:r>
      <w:r>
        <w:rPr>
          <w:rFonts w:ascii="Times New Roman" w:cs="Times New Roman" w:eastAsia="Times New Roman" w:hAnsi="Times New Roman"/>
          <w:sz w:val="18"/>
          <w:szCs w:val="18"/>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from the flue gases produced by the adjacent Opco RNG production facility, transforming it into solid carbonate materials.</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11, 2020, Hillman, Hillman Power Company LLC (“</w:t>
      </w:r>
      <w:r>
        <w:rPr>
          <w:rFonts w:ascii="Times New Roman" w:cs="Times New Roman" w:eastAsia="Times New Roman" w:hAnsi="Times New Roman"/>
          <w:sz w:val="18"/>
          <w:szCs w:val="18"/>
          <w:b w:val="1"/>
          <w:bCs w:val="1"/>
          <w:i w:val="1"/>
          <w:iCs w:val="1"/>
          <w:color w:val="auto"/>
        </w:rPr>
        <w:t>Hillman Power</w:t>
      </w:r>
      <w:r>
        <w:rPr>
          <w:rFonts w:ascii="Times New Roman" w:cs="Times New Roman" w:eastAsia="Times New Roman" w:hAnsi="Times New Roman"/>
          <w:sz w:val="18"/>
          <w:szCs w:val="18"/>
          <w:color w:val="auto"/>
        </w:rPr>
        <w:t>”), and Customers Bank, among others, entered into a Loan and Guaranty Agreement (the “</w:t>
      </w:r>
      <w:r>
        <w:rPr>
          <w:rFonts w:ascii="Times New Roman" w:cs="Times New Roman" w:eastAsia="Times New Roman" w:hAnsi="Times New Roman"/>
          <w:sz w:val="18"/>
          <w:szCs w:val="18"/>
          <w:b w:val="1"/>
          <w:bCs w:val="1"/>
          <w:i w:val="1"/>
          <w:iCs w:val="1"/>
          <w:color w:val="auto"/>
        </w:rPr>
        <w:t>Customers Loan Agreement</w:t>
      </w:r>
      <w:r>
        <w:rPr>
          <w:rFonts w:ascii="Times New Roman" w:cs="Times New Roman" w:eastAsia="Times New Roman" w:hAnsi="Times New Roman"/>
          <w:sz w:val="18"/>
          <w:szCs w:val="18"/>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8"/>
          <w:szCs w:val="18"/>
          <w:b w:val="1"/>
          <w:bCs w:val="1"/>
          <w:i w:val="1"/>
          <w:iCs w:val="1"/>
          <w:color w:val="auto"/>
        </w:rPr>
        <w:t>Pledged 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8"/>
          <w:szCs w:val="18"/>
          <w:b w:val="1"/>
          <w:bCs w:val="1"/>
          <w:i w:val="1"/>
          <w:iCs w:val="1"/>
          <w:color w:val="auto"/>
        </w:rPr>
        <w:t>OPAL Fuels Membership Interests</w:t>
      </w:r>
      <w:r>
        <w:rPr>
          <w:rFonts w:ascii="Times New Roman" w:cs="Times New Roman" w:eastAsia="Times New Roman" w:hAnsi="Times New Roman"/>
          <w:sz w:val="18"/>
          <w:szCs w:val="18"/>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8"/>
          <w:szCs w:val="18"/>
          <w:b w:val="1"/>
          <w:bCs w:val="1"/>
          <w:i w:val="1"/>
          <w:iCs w:val="1"/>
          <w:color w:val="auto"/>
        </w:rPr>
        <w:t>Limited Consent</w:t>
      </w:r>
      <w:r>
        <w:rPr>
          <w:rFonts w:ascii="Times New Roman" w:cs="Times New Roman" w:eastAsia="Times New Roman" w:hAnsi="Times New Roman"/>
          <w:sz w:val="18"/>
          <w:szCs w:val="18"/>
          <w:color w:val="auto"/>
        </w:rPr>
        <w:t>”) pursuant to which Customers Bank consented to the Exchange, amended the Customers Loan Agreement and released its security interest in the Pledged Membership Interests (the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Reorganization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8"/>
          <w:szCs w:val="18"/>
          <w:b w:val="1"/>
          <w:bCs w:val="1"/>
          <w:i w:val="1"/>
          <w:iCs w:val="1"/>
          <w:color w:val="auto"/>
        </w:rPr>
        <w:t>Opco Reorganized Entities</w:t>
      </w:r>
      <w:r>
        <w:rPr>
          <w:rFonts w:ascii="Times New Roman" w:cs="Times New Roman" w:eastAsia="Times New Roman" w:hAnsi="Times New Roman"/>
          <w:sz w:val="18"/>
          <w:szCs w:val="18"/>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8"/>
          <w:szCs w:val="18"/>
          <w:b w:val="1"/>
          <w:bCs w:val="1"/>
          <w:i w:val="1"/>
          <w:iCs w:val="1"/>
          <w:color w:val="auto"/>
        </w:rPr>
        <w:t>Opco Fuels Reorganization</w:t>
      </w:r>
      <w:r>
        <w:rPr>
          <w:rFonts w:ascii="Times New Roman" w:cs="Times New Roman" w:eastAsia="Times New Roman" w:hAnsi="Times New Roman"/>
          <w:sz w:val="18"/>
          <w:szCs w:val="18"/>
          <w:color w:val="auto"/>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PIPE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w:t>
      </w:r>
      <w:r>
        <w:rPr>
          <w:rFonts w:ascii="Times New Roman" w:cs="Times New Roman" w:eastAsia="Times New Roman" w:hAnsi="Times New Roman"/>
          <w:sz w:val="18"/>
          <w:szCs w:val="18"/>
          <w:b w:val="1"/>
          <w:bCs w:val="1"/>
          <w:i w:val="1"/>
          <w:iCs w:val="1"/>
          <w:color w:val="auto"/>
        </w:rPr>
        <w:t>OPAL Holders</w:t>
      </w:r>
      <w:r>
        <w:rPr>
          <w:rFonts w:ascii="Times New Roman" w:cs="Times New Roman" w:eastAsia="Times New Roman" w:hAnsi="Times New Roman"/>
          <w:sz w:val="18"/>
          <w:szCs w:val="18"/>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This discussion assumes that any distributions made by us on our securities and any consideration received by a holder in consideration for the sale or other disposition of our securities will be in U.S. dollars.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or warrants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Class A common stock or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warrants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entities or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other corporations that accumulate earnings to avoid U.S. federal income tax.</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Class A common stock or warrants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expect to pay any distributions on our Class A common stock in the foreseeable future. If we pay distributions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Holders—Gain or Loss on Sale, Taxable Exchange or Other Taxable Disposition of Class A Common Stock</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8"/>
          <w:szCs w:val="18"/>
          <w:color w:val="auto"/>
        </w:rPr>
        <w:t>Upon a sale or other taxable disposition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Except as discussed below with respect to the cashless exercise of a warrant, a U.S. holder generally will not recognize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or loss on the 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It is unclear whether the U.S. holder’s holding period for the Class A common stock received upon exercise of the warrants will begin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following the date of exercise or on the date of exercise of the warrants; in either case, the holding period will not include the period during which the U.S. holder held the warrants.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17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sale, exchange (other than by exercise), redemption (other than a redemption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or expiration of a warrant, a U.S. holder will generally recognize taxable gain or loss in an amount equal to the difference between</w:t>
      </w:r>
    </w:p>
    <w:p>
      <w:pPr>
        <w:spacing w:after="0" w:line="1" w:lineRule="exact"/>
        <w:rPr>
          <w:sz w:val="20"/>
          <w:szCs w:val="20"/>
          <w:color w:val="auto"/>
        </w:rPr>
      </w:pPr>
    </w:p>
    <w:p>
      <w:pPr>
        <w:jc w:val="both"/>
        <w:ind w:firstLine="8"/>
        <w:spacing w:after="0" w:line="252" w:lineRule="auto"/>
        <w:tabs>
          <w:tab w:leader="none" w:pos="2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redemption of warrants for Class A common stock described in the section of this registration statement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is expected to treated as a tax-free recapitalization for U.S. federal income tax purposes. Accordingly, a U.S. holder should not recognize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Class A common stock for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warrant may be exercised or to the exercise price of the warrant in certain events, as discussed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An adjustment which has the effect of preventing dilution generally is not taxable. The U.S. holders of the warrants would, however, be treated as receiving a 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Times New Roman" w:cs="Times New Roman" w:eastAsia="Times New Roman" w:hAnsi="Times New Roman"/>
          <w:sz w:val="18"/>
          <w:szCs w:val="18"/>
          <w:i w:val="1"/>
          <w:iCs w:val="1"/>
          <w:color w:val="auto"/>
        </w:rPr>
        <w:t>U.S. Holders—Taxation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 such increased interest.</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requirements may apply to dividends paid to a U.S. holder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Class A common stock or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any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Class A Common Stock and Warrants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5" w:name="page136"/>
    <w:bookmarkEnd w:id="13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of a Warrant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Holders—Sale, Exchange, Redemption or Expiration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 and Warrants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Redemption of Warrants for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federal income tax treatment for a non-U.S. holder of a redemption of warrants for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described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will correspond to the U.S. federal income tax treatment for a U.S. holder of a redemption of warrants for common stock, as described above in “</w:t>
      </w:r>
      <w:r>
        <w:rPr>
          <w:rFonts w:ascii="Times New Roman" w:cs="Times New Roman" w:eastAsia="Times New Roman" w:hAnsi="Times New Roman"/>
          <w:sz w:val="18"/>
          <w:szCs w:val="18"/>
          <w:i w:val="1"/>
          <w:iCs w:val="1"/>
          <w:color w:val="auto"/>
        </w:rPr>
        <w:t>U.S. Holders—Sale, Exchange,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Expiration of a Warrant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Class A Common Stock and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non-U.S. holder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federal income or withholding tax in respect of gain recognized on a sale, taxable exchange or other taxable disposition of our Class A common stock or an expiration or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An adjustment to the number of shares of Class A common stock for which a warrant may be exercised 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of a warrant may result in a constructive distribution from us to a non-U.S. holder of such warrant in the same manner as described above under “</w:t>
      </w:r>
      <w:r>
        <w:rPr>
          <w:rFonts w:ascii="Times New Roman" w:cs="Times New Roman" w:eastAsia="Times New Roman" w:hAnsi="Times New Roman"/>
          <w:sz w:val="18"/>
          <w:szCs w:val="18"/>
          <w:i w:val="1"/>
          <w:iCs w:val="1"/>
          <w:color w:val="auto"/>
        </w:rPr>
        <w:t>U.S. Holders—Possible Constructive Distributions</w:t>
      </w:r>
      <w:r>
        <w:rPr>
          <w:rFonts w:ascii="Times New Roman" w:cs="Times New Roman" w:eastAsia="Times New Roman" w:hAnsi="Times New Roman"/>
          <w:sz w:val="18"/>
          <w:szCs w:val="18"/>
          <w:color w:val="auto"/>
        </w:rPr>
        <w:t>.” Any such constructive distribution received by a non-U.S. holder would be subject to U.S. federal income tax (including any applicable withholding) in the same manner as described above under “</w:t>
      </w:r>
      <w:r>
        <w:rPr>
          <w:rFonts w:ascii="Times New Roman" w:cs="Times New Roman" w:eastAsia="Times New Roman" w:hAnsi="Times New Roman"/>
          <w:sz w:val="18"/>
          <w:szCs w:val="18"/>
          <w:i w:val="1"/>
          <w:iCs w:val="1"/>
          <w:color w:val="auto"/>
        </w:rPr>
        <w:t>Non-U.S. Holders—Taxation of Distributions</w:t>
      </w:r>
      <w:r>
        <w:rPr>
          <w:rFonts w:ascii="Times New Roman" w:cs="Times New Roman" w:eastAsia="Times New Roman" w:hAnsi="Times New Roman"/>
          <w:sz w:val="18"/>
          <w:szCs w:val="18"/>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returns will be filed with the IRS in connection with payments of dividends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a sale or 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commonly referred to as “FATCA” impose withholding of 30% on payments of dividends (including constructive dividends)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registering the possible resale by the Selling Holders of up to 175,541,507 shares of Class A common stock.</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distributions by any Selling Holder or its affiliates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76"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Holders.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Holders, or perform services for us or the Selling Holders, in the ordinary course of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Sheppard, Mullin, Richter &amp; Hampton LLP will pass upon the validity of the Class A common stock offered by this prospectus and certain other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Beacon RNG LLC as of April 30, 2021, December 31, 2020 and December 31, 2019 and for the four-month period ended April 30, 2021, and for the year ended December 31, 2020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and six months ended June 30, 2022 and for the three months ended June 30, 2021 and for the period</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504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from January 13, 2021 (inception) through June 30, 2021 (Unaudited)</w:t>
            </w:r>
          </w:p>
        </w:tc>
        <w:tc>
          <w:tcPr>
            <w:tcW w:w="48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00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Shareholders’ Equity for the three and six months ended June 30, 2022 and for the period from January 13, 2021</w:t>
            </w:r>
          </w:p>
        </w:tc>
        <w:tc>
          <w:tcPr>
            <w:tcW w:w="2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(inception) through June 30, 2021 (Unaudited)</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80" w:type="dxa"/>
            <w:vAlign w:val="bottom"/>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six months ended June 30, 2022 and for the three months ended June 30, 2021 and for the period from</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6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January 13, 2021 (inception) through June 30, 2021 (Unaudited)</w:t>
            </w:r>
          </w:p>
        </w:tc>
        <w:tc>
          <w:tcPr>
            <w:tcW w:w="4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8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F-24</w:t>
            </w: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Changes in Shareholders’ Equity for the period from January 13, 2021 (inception) through December 31, 2021</w:t>
            </w:r>
          </w:p>
        </w:tc>
        <w:tc>
          <w:tcPr>
            <w:tcW w:w="1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F-28</w:t>
            </w:r>
          </w:p>
        </w:tc>
      </w:tr>
      <w:tr>
        <w:trPr>
          <w:trHeight w:val="432"/>
        </w:trPr>
        <w:tc>
          <w:tcPr>
            <w:tcW w:w="2160" w:type="dxa"/>
            <w:vAlign w:val="bottom"/>
            <w:tcBorders>
              <w:top w:val="single" w:sz="8" w:color="0000EE"/>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360" w:type="dxa"/>
            <w:vAlign w:val="bottom"/>
            <w:tcBorders>
              <w:top w:val="single" w:sz="8" w:color="CCEEFF"/>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OPAL FUELS LLC FINANCIAL STATEMENTS</w:t>
            </w:r>
          </w:p>
        </w:tc>
        <w:tc>
          <w:tcPr>
            <w:tcW w:w="1000" w:type="dxa"/>
            <w:vAlign w:val="bottom"/>
            <w:tcBorders>
              <w:top w:val="single" w:sz="8" w:color="CCEEFF"/>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Six Months Ended June 30, 2022 and 2021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F-45</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Preferred Units and Members’ Equity for the Six Months Ended June 30,</w:t>
            </w:r>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32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F-46</w:t>
            </w:r>
          </w:p>
        </w:tc>
      </w:tr>
      <w:tr>
        <w:trPr>
          <w:trHeight w:val="20"/>
        </w:trPr>
        <w:tc>
          <w:tcPr>
            <w:tcW w:w="180" w:type="dxa"/>
            <w:vAlign w:val="bottom"/>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 (unaudited)</w:t>
            </w:r>
          </w:p>
        </w:tc>
        <w:tc>
          <w:tcPr>
            <w:tcW w:w="19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F-48</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F-49</w:t>
            </w:r>
          </w:p>
        </w:tc>
      </w:tr>
      <w:tr>
        <w:trPr>
          <w:trHeight w:val="675"/>
        </w:trPr>
        <w:tc>
          <w:tcPr>
            <w:tcW w:w="180" w:type="dxa"/>
            <w:vAlign w:val="bottom"/>
            <w:tcBorders>
              <w:top w:val="single" w:sz="8" w:color="0000EE"/>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54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F-77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2021 and 2020 (restated)</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F-78</w:t>
            </w: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Redeemable Preferred Units and Members’ Equity (Deficit) for the Years Ended December 31,</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9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2021, 2020 (restated) and 2019 (restated)</w:t>
            </w:r>
          </w:p>
        </w:tc>
        <w:tc>
          <w:tcPr>
            <w:tcW w:w="65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F-81</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(restated)</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F-84</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BEACON RNG LLC FINANCIAL STATEMENTS</w:t>
            </w:r>
          </w:p>
        </w:tc>
        <w:tc>
          <w:tcPr>
            <w:tcW w:w="10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Beacon RNG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Auditor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F-132</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 as of April 30, 2021</w:t>
            </w:r>
          </w:p>
        </w:tc>
        <w:tc>
          <w:tcPr>
            <w:tcW w:w="67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Members’ Equity for the period Ended April 30, 2021</w:t>
            </w:r>
          </w:p>
        </w:tc>
        <w:tc>
          <w:tcPr>
            <w:tcW w:w="3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20"/>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F-138</w:t>
            </w:r>
          </w:p>
        </w:tc>
      </w:tr>
      <w:tr>
        <w:trPr>
          <w:trHeight w:val="21"/>
        </w:trPr>
        <w:tc>
          <w:tcPr>
            <w:tcW w:w="2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1"/>
        </w:trPr>
        <w:tc>
          <w:tcPr>
            <w:tcW w:w="4660" w:type="dxa"/>
            <w:vAlign w:val="bottom"/>
            <w:tcBorders>
              <w:bottom w:val="single" w:sz="8" w:color="0000EE"/>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Consolidated Balance Sheets as of December 31, 2020 and 2019</w:t>
            </w:r>
          </w:p>
        </w:tc>
        <w:tc>
          <w:tcPr>
            <w:tcW w:w="5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F-144</w:t>
            </w:r>
          </w:p>
        </w:tc>
      </w:tr>
      <w:tr>
        <w:trPr>
          <w:trHeight w:val="175"/>
        </w:trPr>
        <w:tc>
          <w:tcPr>
            <w:tcW w:w="10240" w:type="dxa"/>
            <w:vAlign w:val="bottom"/>
            <w:tcBorders>
              <w:top w:val="single" w:sz="8" w:color="CCEE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2020 and for the period from March 11, 2019 (Inception) through December 31,</w:t>
            </w:r>
          </w:p>
        </w:tc>
        <w:tc>
          <w:tcPr>
            <w:tcW w:w="1000" w:type="dxa"/>
            <w:vAlign w:val="bottom"/>
            <w:tcBorders>
              <w:top w:val="single" w:sz="8" w:color="CCEEFF"/>
            </w:tcBorders>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F-145</w:t>
            </w:r>
          </w:p>
        </w:tc>
      </w:tr>
      <w:tr>
        <w:trPr>
          <w:trHeight w:val="20"/>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Members’ Equity for the Year Ended 2020 and for the period from March 11, 2019 (Inception)</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5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2019</w:t>
            </w:r>
          </w:p>
        </w:tc>
        <w:tc>
          <w:tcPr>
            <w:tcW w:w="5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2020 and for the period from March 11, 2019 (Inception) through December 31,</w:t>
            </w:r>
          </w:p>
        </w:tc>
        <w:tc>
          <w:tcPr>
            <w:tcW w:w="1000" w:type="dxa"/>
            <w:vAlign w:val="bottom"/>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F-147</w:t>
            </w:r>
          </w:p>
        </w:tc>
      </w:tr>
      <w:tr>
        <w:trPr>
          <w:trHeight w:val="21"/>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F-148</w:t>
            </w: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color w:val="auto"/>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144" w:name="page145"/>
    <w:bookmarkEnd w:id="144"/>
    <w:p>
      <w:pPr>
        <w:ind w:left="4900"/>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219,127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811,526</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546,368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701,663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159,954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311,615,892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311,175,471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312,381,387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312,848,614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68,531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94,497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103,518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6,193,192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3,966,447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16,218,840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25,795,700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22,515,550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311,515,892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(excluding 31,116,305 shares subject to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 at 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(21,650,833)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(39,081,329)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(21,650,055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312,381,387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312,848,614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1,733,643</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394,413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3,124,650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(1,733,643)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(394,413)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(3,124,650)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(522,889)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4,325,040</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(11,225,560)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279,890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415,868</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5,020,798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(11,221,256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10,297,171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(11,412,563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3,287,155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(11,615,669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7,172,521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(11,935,452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A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31,116,305</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18,823,444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B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7,779,076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CHANGES IN SHAREHOLDERS’ DEFICIT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(39,081,329)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(39,080,551)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3,885,366</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3,885,366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 (unaudited)</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(35,195,963)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(35,195,185)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amount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(352,842)</w:t>
            </w:r>
          </w:p>
        </w:tc>
        <w:tc>
          <w:tcPr>
            <w:tcW w:w="1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(352,842)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3,287,155</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 (unaudited)</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(21,650,833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(21,650,055</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60" w:type="dxa"/>
            <w:vAlign w:val="bottom"/>
            <w:gridSpan w:val="20"/>
          </w:tcPr>
          <w:p>
            <w:pPr>
              <w:ind w:left="1500"/>
              <w:spacing w:after="0"/>
              <w:rPr>
                <w:sz w:val="20"/>
                <w:szCs w:val="20"/>
                <w:color w:val="auto"/>
              </w:rPr>
            </w:pPr>
            <w:r>
              <w:rPr>
                <w:rFonts w:ascii="Times New Roman" w:cs="Times New Roman" w:eastAsia="Times New Roman" w:hAnsi="Times New Roman"/>
                <w:sz w:val="18"/>
                <w:szCs w:val="18"/>
                <w:b w:val="1"/>
                <w:bCs w:val="1"/>
                <w:color w:val="auto"/>
              </w:rPr>
              <w:t>For The Three Months Ended and For the Period From January 13, 2021 (inception) through June 30,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13, 2021 (inception)</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possible redemption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(319,783)</w:t>
            </w: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(319,783)</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 March 31, 2021 (unaudited)</w:t>
            </w: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 (23,206,450)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(23,205,672)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(11,615,669)</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(11,615,669)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 June 30, 2021 (unaudited)</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32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(34,822,119</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(34,821,341</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January 13,</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(inception)</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through</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6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7,172,521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(11,935,452)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10,954,400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462,620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315,249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(1,225,548)</w:t>
            </w: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49,767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(64,595)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105,056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legal fees</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2,226,745</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(311,163,050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9,223,261</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(6,295,461)</w:t>
            </w:r>
          </w:p>
        </w:tc>
      </w:tr>
      <w:tr>
        <w:trPr>
          <w:trHeight w:val="236"/>
        </w:trPr>
        <w:tc>
          <w:tcPr>
            <w:tcW w:w="2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w:t>
            </w: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313,919,208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w:t>
            </w:r>
          </w:p>
        </w:tc>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(592,399)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Pr>
          <w:p>
            <w:pPr>
              <w:spacing w:after="0"/>
              <w:rPr>
                <w:sz w:val="17"/>
                <w:szCs w:val="17"/>
                <w:color w:val="auto"/>
              </w:rPr>
            </w:pPr>
          </w:p>
        </w:tc>
      </w:tr>
      <w:tr>
        <w:trPr>
          <w:trHeight w:val="24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811,526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 end of the period</w:t>
            </w:r>
          </w:p>
        </w:tc>
        <w:tc>
          <w:tcPr>
            <w:tcW w:w="6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219,127</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w:t>
            </w: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352,842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144,842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r>
        <w:rPr>
          <w:rFonts w:ascii="Times New Roman" w:cs="Times New Roman" w:eastAsia="Times New Roman" w:hAnsi="Times New Roman"/>
          <w:sz w:val="29"/>
          <w:szCs w:val="29"/>
          <w:color w:val="auto"/>
          <w:vertAlign w:val="superscript"/>
        </w:rPr>
        <w:t>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1-Description of Organization, Business Operations and 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 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Financing (Private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Rights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Business Combination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approximately $219,000 in its operating bank account and working capital of approximately $662,000.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June 30, 2022 and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of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Associated with the Initial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Ordinary Share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Pr>
          <w:p>
            <w:pPr>
              <w:spacing w:after="0"/>
              <w:rPr>
                <w:sz w:val="21"/>
                <w:szCs w:val="21"/>
                <w:color w:val="auto"/>
              </w:rPr>
            </w:pPr>
          </w:p>
        </w:tc>
        <w:tc>
          <w:tcPr>
            <w:tcW w:w="2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ind w:right="335" w:firstLine="324"/>
        <w:spacing w:after="0" w:line="292"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13, 2021</w:t>
            </w:r>
          </w:p>
        </w:tc>
      </w:tr>
      <w:tr>
        <w:trPr>
          <w:trHeight w:val="216"/>
        </w:trPr>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w:t>
            </w:r>
          </w:p>
        </w:tc>
      </w:tr>
      <w:tr>
        <w:trPr>
          <w:trHeight w:val="245"/>
        </w:trPr>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37"/>
        </w:trPr>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r>
    </w:tbl>
    <w:p>
      <w:pPr>
        <w:spacing w:after="0" w:line="200" w:lineRule="exact"/>
        <w:rPr>
          <w:sz w:val="20"/>
          <w:szCs w:val="20"/>
          <w:color w:val="auto"/>
        </w:rPr>
      </w:pPr>
    </w:p>
    <w:p>
      <w:pPr>
        <w:spacing w:after="0" w:line="214" w:lineRule="exact"/>
        <w:rPr>
          <w:sz w:val="20"/>
          <w:szCs w:val="20"/>
          <w:color w:val="auto"/>
        </w:rPr>
      </w:pPr>
    </w:p>
    <w:p>
      <w:pPr>
        <w:ind w:left="345" w:hanging="345"/>
        <w:spacing w:after="0"/>
        <w:tabs>
          <w:tab w:leader="none" w:pos="3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(9,292,535)  $   (2,323,134)  $   (8,560,232)  $   (3,375,220)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31,116,305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18,823,444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-359410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55" w:space="720"/>
            <w:col w:w="5265"/>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3-Initial Public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4-Private Placement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and Shareholder Rights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Class A Ordinary Shares Subject to Possible Redemption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Class A ordinary shares subject to possible redemption reflected on the condensed balance sheets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on Class A ordinary shares subject to possible redemption amount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23,086,620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December 31, 2021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3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352,842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311,515,892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8-Shareholders’ Deficit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Preference Shares-The Company is authorized to issue 5,000,000 preference shares with a par value of $0.0001 per share. As of June 30, 2022 and December 31, 2021, there were no preference shares issued or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9-Derivative Warrant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aggregate of 15,446,522 warrants outstanding, comprised of 6,223,261 and 9,223,261 Public Warrants and Private Placement Warrants, respectively.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w:t>
      </w:r>
    </w:p>
    <w:p>
      <w:pPr>
        <w:spacing w:after="0" w:line="3" w:lineRule="exact"/>
        <w:rPr>
          <w:sz w:val="20"/>
          <w:szCs w:val="20"/>
          <w:color w:val="auto"/>
        </w:rPr>
      </w:pPr>
    </w:p>
    <w:p>
      <w:pPr>
        <w:jc w:val="both"/>
        <w:ind w:firstLine="8"/>
        <w:spacing w:after="0" w:line="252" w:lineRule="auto"/>
        <w:tabs>
          <w:tab w:leader="none" w:pos="2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311,615,892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6,534,420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9,684,420</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311,175,471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95"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derivative warrant liabilities for the period from January 13, 2021 (inception) through June 30, 2022 is summarized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Transfer to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3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40" w:type="dxa"/>
            <w:vAlign w:val="bottom"/>
          </w:tcPr>
          <w:p>
            <w:pPr>
              <w:spacing w:after="0"/>
              <w:rPr>
                <w:sz w:val="21"/>
                <w:szCs w:val="21"/>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8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14,995,760</w:t>
            </w:r>
          </w:p>
        </w:tc>
        <w:tc>
          <w:tcPr>
            <w:tcW w:w="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40" w:type="dxa"/>
            <w:vAlign w:val="bottom"/>
          </w:tcPr>
          <w:p>
            <w:pPr>
              <w:spacing w:after="0"/>
              <w:rPr>
                <w:sz w:val="20"/>
                <w:szCs w:val="20"/>
                <w:color w:val="auto"/>
              </w:rPr>
            </w:pPr>
          </w:p>
        </w:tc>
        <w:tc>
          <w:tcPr>
            <w:tcW w:w="13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(10,455,080)</w:t>
            </w:r>
          </w:p>
        </w:tc>
      </w:tr>
      <w:tr>
        <w:trPr>
          <w:trHeight w:val="263"/>
        </w:trPr>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4,506,850</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10,862,170</w:t>
            </w:r>
          </w:p>
        </w:tc>
        <w:tc>
          <w:tcPr>
            <w:tcW w:w="40" w:type="dxa"/>
            <w:vAlign w:val="bottom"/>
          </w:tcPr>
          <w:p>
            <w:pPr>
              <w:spacing w:after="0"/>
              <w:rPr>
                <w:sz w:val="22"/>
                <w:szCs w:val="22"/>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960" w:hanging="955"/>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15,402,850   $  15,402,850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4174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50" w:lineRule="exact"/>
        <w:rPr>
          <w:sz w:val="20"/>
          <w:szCs w:val="20"/>
          <w:color w:val="auto"/>
        </w:rPr>
      </w:pPr>
    </w:p>
    <w:p>
      <w:pPr>
        <w:ind w:left="3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Public</w:t>
      </w:r>
      <w:r>
        <w:rPr>
          <w:sz w:val="20"/>
          <w:szCs w:val="20"/>
          <w:color w:val="auto"/>
        </w:rPr>
        <w:tab/>
      </w:r>
      <w:r>
        <w:rPr>
          <w:rFonts w:ascii="Times New Roman" w:cs="Times New Roman" w:eastAsia="Times New Roman" w:hAnsi="Times New Roman"/>
          <w:sz w:val="18"/>
          <w:szCs w:val="18"/>
          <w:b w:val="1"/>
          <w:bCs w:val="1"/>
          <w:color w:val="auto"/>
        </w:rPr>
        <w:t>Private</w:t>
      </w:r>
    </w:p>
    <w:p>
      <w:pPr>
        <w:spacing w:after="0" w:line="31" w:lineRule="exact"/>
        <w:rPr>
          <w:sz w:val="20"/>
          <w:szCs w:val="20"/>
          <w:color w:val="auto"/>
        </w:rPr>
      </w:pPr>
    </w:p>
    <w:p>
      <w:pPr>
        <w:ind w:left="200"/>
        <w:spacing w:after="0"/>
        <w:tabs>
          <w:tab w:leader="none" w:pos="1540" w:val="left"/>
          <w:tab w:leader="none" w:pos="3040" w:val="left"/>
        </w:tabs>
        <w:rPr>
          <w:sz w:val="20"/>
          <w:szCs w:val="20"/>
          <w:color w:val="auto"/>
        </w:rPr>
      </w:pP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9"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(3,135,910)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(3,135,910)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31, 2022</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(2,582,520)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(2,582,520)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June 30, 2022</w:t>
            </w: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6,534,420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6,534,420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Company cash held in trust, net of redemptions, and $110,806,000 in aggregate gross proceeds to New OPAL from the PIPE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811,526</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701,663</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311,175,471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94,497</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3,966,447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10,890,707</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25,795,700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 of $10.00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 authorized; no n on-redeemable shares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(39,081,329)</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FOR THE PERIOD FROM JANUARY 13, 2021 (INCEPTION) THROUGH 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(4,944,523)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(10,799,940)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(11,250,139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25,360,688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13, 2021 (inception)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175,731</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(16,194,662)</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(39,081,329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(39,080,551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7"/>
          <w:szCs w:val="17"/>
          <w:b w:val="1"/>
          <w:bCs w:val="1"/>
          <w:color w:val="auto"/>
        </w:rPr>
        <w:t>FOR THE PERIOD FROM JANUARY 13, 2021 (INCEPTION) THROUGH DECEMBER 31,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(16,194,662)</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26,800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10,799,940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(12,421)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(861,617)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(181,236)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24,497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3,966,447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(1,944,632)</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2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(171,742)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311,163,050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(6,295,461)</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313,919,208</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811,526</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hanging="535"/>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7" w:lineRule="exact"/>
        <w:rPr>
          <w:sz w:val="20"/>
          <w:szCs w:val="20"/>
          <w:color w:val="auto"/>
        </w:rPr>
      </w:pPr>
    </w:p>
    <w:p>
      <w:pPr>
        <w:ind w:left="520" w:hanging="515"/>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w:t>
      </w:r>
    </w:p>
    <w:p>
      <w:pPr>
        <w:spacing w:after="0" w:line="27" w:lineRule="exact"/>
        <w:rPr>
          <w:sz w:val="20"/>
          <w:szCs w:val="20"/>
          <w:color w:val="auto"/>
        </w:rPr>
      </w:pPr>
    </w:p>
    <w:p>
      <w:pPr>
        <w:ind w:left="620" w:hanging="615"/>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9" w:lineRule="exact"/>
        <w:rPr>
          <w:sz w:val="20"/>
          <w:szCs w:val="20"/>
          <w:color w:val="auto"/>
        </w:rPr>
      </w:pPr>
    </w:p>
    <w:p>
      <w:pPr>
        <w:ind w:left="520" w:hanging="515"/>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144,842</w:t>
      </w:r>
    </w:p>
    <w:p>
      <w:pPr>
        <w:spacing w:after="0" w:line="9" w:lineRule="exact"/>
        <w:rPr>
          <w:rFonts w:ascii="Times New Roman" w:cs="Times New Roman" w:eastAsia="Times New Roman" w:hAnsi="Times New Roman"/>
          <w:sz w:val="18"/>
          <w:szCs w:val="18"/>
          <w:color w:val="auto"/>
        </w:rPr>
      </w:pPr>
    </w:p>
    <w:p>
      <w:pPr>
        <w:ind w:left="300" w:hanging="295"/>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10,890,707</w:t>
      </w:r>
    </w:p>
    <w:p>
      <w:pPr>
        <w:spacing w:after="0" w:line="9"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38" w:orient="portrait"/>
          <w:cols w:equalWidth="0" w:num="2">
            <w:col w:w="9460" w:space="560"/>
            <w:col w:w="1180"/>
          </w:cols>
          <w:pgMar w:left="320" w:top="873" w:right="37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w:t>
      </w:r>
    </w:p>
    <w:p>
      <w:pPr>
        <w:jc w:val="both"/>
        <w:ind w:firstLine="8"/>
        <w:spacing w:after="0" w:line="250" w:lineRule="auto"/>
        <w:tabs>
          <w:tab w:leader="none" w:pos="2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7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On December 2, 2021, the Company, OPAL HoldCo LLC, a Delaware limited liability company (“</w:t>
      </w:r>
      <w:r>
        <w:rPr>
          <w:rFonts w:ascii="Times New Roman" w:cs="Times New Roman" w:eastAsia="Times New Roman" w:hAnsi="Times New Roman"/>
          <w:sz w:val="18"/>
          <w:szCs w:val="18"/>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i w:val="1"/>
          <w:iCs w:val="1"/>
          <w:color w:val="auto"/>
        </w:rPr>
        <w:t>OPAL Fuels</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(collectively,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the Company’s name will be changed to “OPAL Fuels Inc.” (“</w:t>
      </w:r>
      <w:r>
        <w:rPr>
          <w:rFonts w:ascii="Times New Roman" w:cs="Times New Roman" w:eastAsia="Times New Roman" w:hAnsi="Times New Roman"/>
          <w:sz w:val="18"/>
          <w:szCs w:val="18"/>
          <w:i w:val="1"/>
          <w:iCs w:val="1"/>
          <w:color w:val="auto"/>
        </w:rPr>
        <w:t>New OPAL</w:t>
      </w:r>
      <w:r>
        <w:rPr>
          <w:rFonts w:ascii="Times New Roman" w:cs="Times New Roman" w:eastAsia="Times New Roman" w:hAnsi="Times New Roman"/>
          <w:sz w:val="18"/>
          <w:szCs w:val="18"/>
          <w:color w:val="auto"/>
        </w:rPr>
        <w:t>”), (B) each outstanding Class A ordinary share of the Company will become one share of Class A common stock, par value $0.0001 per share, of New OPAL (the “</w:t>
      </w:r>
      <w:r>
        <w:rPr>
          <w:rFonts w:ascii="Times New Roman" w:cs="Times New Roman" w:eastAsia="Times New Roman" w:hAnsi="Times New Roman"/>
          <w:sz w:val="18"/>
          <w:szCs w:val="18"/>
          <w:i w:val="1"/>
          <w:iCs w:val="1"/>
          <w:color w:val="auto"/>
        </w:rPr>
        <w:t>New OPAL Class A Common Stock</w:t>
      </w:r>
      <w:r>
        <w:rPr>
          <w:rFonts w:ascii="Times New Roman" w:cs="Times New Roman" w:eastAsia="Times New Roman" w:hAnsi="Times New Roman"/>
          <w:sz w:val="18"/>
          <w:szCs w:val="18"/>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”)to be re-classified into a number of common units (collectively, the “</w:t>
      </w:r>
      <w:r>
        <w:rPr>
          <w:rFonts w:ascii="Times New Roman" w:cs="Times New Roman" w:eastAsia="Times New Roman" w:hAnsi="Times New Roman"/>
          <w:sz w:val="18"/>
          <w:szCs w:val="18"/>
          <w:i w:val="1"/>
          <w:iCs w:val="1"/>
          <w:color w:val="auto"/>
        </w:rPr>
        <w:t>OPAL Units</w:t>
      </w:r>
      <w:r>
        <w:rPr>
          <w:rFonts w:ascii="Times New Roman" w:cs="Times New Roman" w:eastAsia="Times New Roman" w:hAnsi="Times New Roman"/>
          <w:sz w:val="18"/>
          <w:szCs w:val="18"/>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(C) the Company will contribute the (x) the amount of cash in the trust account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Times New Roman" w:cs="Times New Roman" w:eastAsia="Times New Roman" w:hAnsi="Times New Roman"/>
          <w:sz w:val="18"/>
          <w:szCs w:val="18"/>
          <w:i w:val="1"/>
          <w:iCs w:val="1"/>
          <w:color w:val="auto"/>
        </w:rPr>
        <w:t>Public Share Redemptions</w:t>
      </w:r>
      <w:r>
        <w:rPr>
          <w:rFonts w:ascii="Times New Roman" w:cs="Times New Roman" w:eastAsia="Times New Roman" w:hAnsi="Times New Roman"/>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Times New Roman" w:cs="Times New Roman" w:eastAsia="Times New Roman" w:hAnsi="Times New Roman"/>
          <w:sz w:val="18"/>
          <w:szCs w:val="18"/>
          <w:i w:val="1"/>
          <w:iCs w:val="1"/>
          <w:color w:val="auto"/>
        </w:rPr>
        <w:t>Hillman</w:t>
      </w:r>
      <w:r>
        <w:rPr>
          <w:rFonts w:ascii="Times New Roman" w:cs="Times New Roman" w:eastAsia="Times New Roman" w:hAnsi="Times New Roman"/>
          <w:sz w:val="18"/>
          <w:szCs w:val="18"/>
          <w:color w:val="auto"/>
        </w:rPr>
        <w:t>”) a number of shares of Class D common stock, par value $0.0001 per share, of New OPAL (the “</w:t>
      </w:r>
      <w:r>
        <w:rPr>
          <w:rFonts w:ascii="Times New Roman" w:cs="Times New Roman" w:eastAsia="Times New Roman" w:hAnsi="Times New Roman"/>
          <w:sz w:val="18"/>
          <w:szCs w:val="18"/>
          <w:i w:val="1"/>
          <w:iCs w:val="1"/>
          <w:color w:val="auto"/>
        </w:rPr>
        <w:t>New OPAL Class D Common Stock</w:t>
      </w:r>
      <w:r>
        <w:rPr>
          <w:rFonts w:ascii="Times New Roman" w:cs="Times New Roman" w:eastAsia="Times New Roman" w:hAnsi="Times New Roman"/>
          <w:sz w:val="18"/>
          <w:szCs w:val="18"/>
          <w:color w:val="auto"/>
        </w:rPr>
        <w:t>”), and distribute to Ares (together with OPAL HoldCo and Hillman, collectively, the “</w:t>
      </w:r>
      <w:r>
        <w:rPr>
          <w:rFonts w:ascii="Times New Roman" w:cs="Times New Roman" w:eastAsia="Times New Roman" w:hAnsi="Times New Roman"/>
          <w:sz w:val="18"/>
          <w:szCs w:val="18"/>
          <w:i w:val="1"/>
          <w:iCs w:val="1"/>
          <w:color w:val="auto"/>
        </w:rPr>
        <w:t>OPAL Equityholders</w:t>
      </w:r>
      <w:r>
        <w:rPr>
          <w:rFonts w:ascii="Times New Roman" w:cs="Times New Roman" w:eastAsia="Times New Roman" w:hAnsi="Times New Roman"/>
          <w:sz w:val="18"/>
          <w:szCs w:val="18"/>
          <w:color w:val="auto"/>
        </w:rPr>
        <w:t>”) shares of Class B common stock, par value $0.0001 per share, of New OPAL (the “</w:t>
      </w:r>
      <w:r>
        <w:rPr>
          <w:rFonts w:ascii="Times New Roman" w:cs="Times New Roman" w:eastAsia="Times New Roman" w:hAnsi="Times New Roman"/>
          <w:sz w:val="18"/>
          <w:szCs w:val="18"/>
          <w:i w:val="1"/>
          <w:iCs w:val="1"/>
          <w:color w:val="auto"/>
        </w:rPr>
        <w:t>New OPAL Class B Common Stock</w:t>
      </w:r>
      <w:r>
        <w:rPr>
          <w:rFonts w:ascii="Times New Roman" w:cs="Times New Roman" w:eastAsia="Times New Roman" w:hAnsi="Times New Roman"/>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20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w:t>
      </w:r>
      <w:r>
        <w:rPr>
          <w:rFonts w:ascii="Times New Roman" w:cs="Times New Roman" w:eastAsia="Times New Roman" w:hAnsi="Times New Roman"/>
          <w:sz w:val="18"/>
          <w:szCs w:val="18"/>
          <w:i w:val="1"/>
          <w:iCs w:val="1"/>
          <w:color w:val="auto"/>
        </w:rPr>
        <w:t>First Earnout Triggering Event</w:t>
      </w:r>
      <w:r>
        <w:rPr>
          <w:rFonts w:ascii="Times New Roman" w:cs="Times New Roman" w:eastAsia="Times New Roman" w:hAnsi="Times New Roman"/>
          <w:sz w:val="18"/>
          <w:szCs w:val="18"/>
          <w:color w:val="auto"/>
        </w:rPr>
        <w:t>”), New OPAL will issue to OPAL HoldCo, Ares and Hillman (collectively, the “</w:t>
      </w:r>
      <w:r>
        <w:rPr>
          <w:rFonts w:ascii="Times New Roman" w:cs="Times New Roman" w:eastAsia="Times New Roman" w:hAnsi="Times New Roman"/>
          <w:sz w:val="18"/>
          <w:szCs w:val="18"/>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if New OPAL’s annual EBITDA for the calendar year 2024 exceeds $446,000,000 (the “</w:t>
      </w:r>
      <w:r>
        <w:rPr>
          <w:rFonts w:ascii="Times New Roman" w:cs="Times New Roman" w:eastAsia="Times New Roman" w:hAnsi="Times New Roman"/>
          <w:sz w:val="18"/>
          <w:szCs w:val="18"/>
          <w:i w:val="1"/>
          <w:iCs w:val="1"/>
          <w:color w:val="auto"/>
        </w:rPr>
        <w:t>Second Earnout Triggering Event</w:t>
      </w:r>
      <w:r>
        <w:rPr>
          <w:rFonts w:ascii="Times New Roman" w:cs="Times New Roman" w:eastAsia="Times New Roman" w:hAnsi="Times New Roman"/>
          <w:sz w:val="18"/>
          <w:szCs w:val="18"/>
          <w:color w:val="auto"/>
        </w:rPr>
        <w:t>”), New OPAL will issue to the Earnout Participants an aggregate of 5,000,000 additional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9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w:t>
      </w: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certain investors, including, among others, an affiliate of the Company, as well as additional third-party investors.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Agreements provide that the Company will grant the investors in the PIPE Investment certain customary registration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w:t>
      </w:r>
      <w:r>
        <w:rPr>
          <w:rFonts w:ascii="Times New Roman" w:cs="Times New Roman" w:eastAsia="Times New Roman" w:hAnsi="Times New Roman"/>
          <w:sz w:val="18"/>
          <w:szCs w:val="18"/>
          <w:i w:val="1"/>
          <w:iCs w:val="1"/>
          <w:color w:val="auto"/>
        </w:rPr>
        <w:t>New OPAL Holders</w:t>
      </w:r>
      <w:r>
        <w:rPr>
          <w:rFonts w:ascii="Times New Roman" w:cs="Times New Roman" w:eastAsia="Times New Roman" w:hAnsi="Times New Roman"/>
          <w:sz w:val="18"/>
          <w:szCs w:val="18"/>
          <w:color w:val="auto"/>
        </w:rPr>
        <w:t>”) will enter into an Investor Rights Agreement (the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$812,000 in its operating bank account and working capital of approximately $1.4 million.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760" w:hanging="334"/>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income (loss) per share for each ordinary share class: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3200" w:firstLine="162"/>
        <w:spacing w:after="0" w:line="360"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period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January 13,</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(inception) through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gridSpan w:val="3"/>
          </w:tcPr>
          <w:p>
            <w:pPr>
              <w:spacing w:after="0"/>
              <w:rPr>
                <w:sz w:val="21"/>
                <w:szCs w:val="21"/>
                <w:color w:val="auto"/>
              </w:rPr>
            </w:pPr>
          </w:p>
        </w:tc>
      </w:tr>
      <w:tr>
        <w:trPr>
          <w:trHeight w:val="648"/>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(12,456,056)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(3,738,606)</w:t>
            </w:r>
          </w:p>
        </w:tc>
      </w:tr>
      <w:tr>
        <w:trPr>
          <w:trHeight w:val="453"/>
        </w:trPr>
        <w:tc>
          <w:tcPr>
            <w:tcW w:w="180" w:type="dxa"/>
            <w:vAlign w:val="bottom"/>
          </w:tcPr>
          <w:p>
            <w:pPr>
              <w:spacing w:after="0"/>
              <w:rPr>
                <w:sz w:val="24"/>
                <w:szCs w:val="24"/>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25,360,688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updates,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&amp;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Shareholder Rights Agreement</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&amp; Contingencies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Legal Fees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Class A ordinary shares subject to possible redemption reflected on the balance sheet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Accretion on Class A ordinary shares subject to possible redemption 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311,163,050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Deficit</w:t>
      </w:r>
    </w:p>
    <w:p>
      <w:pPr>
        <w:spacing w:after="0" w:line="22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 with a par value of $0.0001 per share.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7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Shareholders’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there were no preference shares issued or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Warrant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the Company had 6,223,261 and 9,223,261 Public Warrants and Private Placement Warrants, respectively, outstanding.</w:t>
      </w:r>
    </w:p>
    <w:p>
      <w:pPr>
        <w:spacing w:after="0" w:line="2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warrants is not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 when the price per Class A ordinary share equals or exceeds $18.00:</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ordinary shares when the price per Class A ordinary share equals or exceeds $10.00:</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760" w:hanging="334"/>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760" w:hanging="334"/>
        <w:spacing w:after="0" w:line="266"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held in Trust Account – money market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311,175,471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Public Warrants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10,392,850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 Private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ind w:left="382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22,</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change in the level 3 fair value of the derivative warrant liabilities for the period from January 13, 2021 (inception) through December 31, 2021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14,995,760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(10,455,080)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4,506,850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10,862,170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$23,864 and $1,991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$100 and $40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$496 and $113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162,969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86,975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$36,653 and $27,794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cash (includes $1,164 and $1,163 at June 30, 2022 and December 31, 2021, respectively, related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(includes $217 and $544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related party (includes $939 and $—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 and $1,722 at June 30, 2022 and December 31, 2021, respectively, related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$184 and $—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$1,418 and $756 at June 30, 2022 and December 31, 2021, respectively,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$17,469 and $16,199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authorized, and 300,000 units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units, subject to redemption, $100 par value, 2,000,000 units authorized, and 1,000,000 and 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 issued and outstanding at June 30, 2022 and December 31, 2021, respectively.</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units authorized, and 1,000 units issued and outstanding at June 30, 2022</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2021</w:t>
            </w:r>
          </w:p>
        </w:tc>
        <w:tc>
          <w:tcPr>
            <w:tcW w:w="32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47,681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47,592</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OPAL Fuels LLC members’ equity</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56,636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63,559</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17,638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74,274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64,747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19,174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17,888</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28,757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11,185</w:t>
            </w: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unit amounts: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 UNITS AND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8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172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Series A-1 Preferred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0" w:type="dxa"/>
            <w:vAlign w:val="bottom"/>
          </w:tcPr>
          <w:p>
            <w:pPr>
              <w:spacing w:after="0"/>
              <w:rPr>
                <w:sz w:val="16"/>
                <w:szCs w:val="16"/>
                <w:color w:val="auto"/>
              </w:rPr>
            </w:pPr>
          </w:p>
        </w:tc>
        <w:tc>
          <w:tcPr>
            <w:tcW w:w="94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6"/>
                <w:szCs w:val="16"/>
                <w:color w:val="auto"/>
              </w:rPr>
            </w:pPr>
          </w:p>
        </w:tc>
        <w:tc>
          <w:tcPr>
            <w:tcW w:w="106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Members’</w:t>
            </w:r>
          </w:p>
        </w:tc>
        <w:tc>
          <w:tcPr>
            <w:tcW w:w="116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6"/>
                <w:szCs w:val="16"/>
                <w:color w:val="auto"/>
              </w:rPr>
            </w:pPr>
          </w:p>
        </w:tc>
        <w:tc>
          <w:tcPr>
            <w:tcW w:w="7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60" w:type="dxa"/>
            <w:vAlign w:val="bottom"/>
          </w:tcPr>
          <w:p>
            <w:pPr>
              <w:spacing w:after="0"/>
              <w:rPr>
                <w:sz w:val="21"/>
                <w:szCs w:val="21"/>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86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0" w:type="dxa"/>
            <w:vAlign w:val="bottom"/>
          </w:tcPr>
          <w:p>
            <w:pPr>
              <w:spacing w:after="0"/>
              <w:rPr>
                <w:sz w:val="21"/>
                <w:szCs w:val="21"/>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184"/>
        </w:trPr>
        <w:tc>
          <w:tcPr>
            <w:tcW w:w="15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December</w:t>
            </w: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64,747</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9"/>
                <w:szCs w:val="29"/>
                <w:color w:val="auto"/>
                <w:vertAlign w:val="superscript"/>
              </w:rPr>
              <w:t>(1)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to</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 non-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9"/>
                <w:szCs w:val="29"/>
                <w:color w:val="auto"/>
                <w:vertAlign w:val="superscript"/>
              </w:rPr>
              <w:t>(2)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Paid-in-kind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171"/>
        </w:trPr>
        <w:tc>
          <w:tcPr>
            <w:tcW w:w="15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June 30,</w:t>
            </w: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352"/>
        <w:spacing w:after="0" w:line="196" w:lineRule="auto"/>
        <w:tabs>
          <w:tab w:leader="none" w:pos="36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Represents partner’s contribution towards a newly formed joint venture Emerald RNG LLC. See Note.12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additional information.</w:t>
      </w:r>
    </w:p>
    <w:p>
      <w:pPr>
        <w:spacing w:after="0" w:line="87" w:lineRule="exact"/>
        <w:rPr>
          <w:rFonts w:ascii="Times New Roman" w:cs="Times New Roman" w:eastAsia="Times New Roman" w:hAnsi="Times New Roman"/>
          <w:sz w:val="30"/>
          <w:szCs w:val="30"/>
          <w:color w:val="auto"/>
          <w:vertAlign w:val="superscript"/>
        </w:rPr>
      </w:pPr>
    </w:p>
    <w:p>
      <w:pPr>
        <w:ind w:left="360" w:hanging="352"/>
        <w:spacing w:after="0" w:line="197" w:lineRule="auto"/>
        <w:tabs>
          <w:tab w:leader="none" w:pos="36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issued 1,000,000 redeemable preferred units to NextEra Energy(“</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xml:space="preserve">”) for aggregate proceeds of $100,000. The issuance costs of $267 were reduced from retained earnings. Please see Note.13 </w:t>
      </w:r>
      <w:r>
        <w:rPr>
          <w:rFonts w:ascii="Times New Roman" w:cs="Times New Roman" w:eastAsia="Times New Roman" w:hAnsi="Times New Roman"/>
          <w:sz w:val="18"/>
          <w:szCs w:val="18"/>
          <w:i w:val="1"/>
          <w:iCs w:val="1"/>
          <w:color w:val="auto"/>
        </w:rPr>
        <w:t>Redeemable preferred units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21"/>
                <w:szCs w:val="2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36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20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1"/>
                <w:szCs w:val="21"/>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Initial non-controlling interest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partner’s contribution from sale of non-controlling interest in an RNG facility.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8,437</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6,551</w:t>
            </w: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on acquisition of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1,975</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11,809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Senior secured credit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redeemable preferred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7,522</w:t>
            </w:r>
          </w:p>
        </w:tc>
      </w:tr>
      <w:tr>
        <w:trPr>
          <w:trHeight w:val="23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58,225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16,334</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31,722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 and $168 capitalized, respectively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long-term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 payable and Accrued capital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3"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OPAL Fuels LLC (including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for vehicle fleets across the country that use RNG and CNG to displace diesel as their transportation fuel. RNG is derived from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expressly stated, all dollar amounts set forth in these notes are presented in thousands of dollars except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$100,279.</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2" w:name="page193"/>
    <w:bookmarkEnd w:id="19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prepared in accordance with generally accepted accounting principles in the United States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all other entities in which the Company has a controlling financial interest: Fortistar Methane 3 LLC (“</w:t>
      </w:r>
      <w:r>
        <w:rPr>
          <w:rFonts w:ascii="Times New Roman" w:cs="Times New Roman" w:eastAsia="Times New Roman" w:hAnsi="Times New Roman"/>
          <w:sz w:val="18"/>
          <w:szCs w:val="18"/>
          <w:b w:val="1"/>
          <w:bCs w:val="1"/>
          <w:i w:val="1"/>
          <w:iCs w:val="1"/>
          <w:color w:val="auto"/>
        </w:rPr>
        <w:t>FM3</w:t>
      </w:r>
      <w:r>
        <w:rPr>
          <w:rFonts w:ascii="Times New Roman" w:cs="Times New Roman" w:eastAsia="Times New Roman" w:hAnsi="Times New Roman"/>
          <w:sz w:val="18"/>
          <w:szCs w:val="18"/>
          <w:color w:val="auto"/>
        </w:rPr>
        <w:t>”), Fortistar Methane 4 LLC, Sunoma Holdings, LLC (“</w:t>
      </w:r>
      <w:r>
        <w:rPr>
          <w:rFonts w:ascii="Times New Roman" w:cs="Times New Roman" w:eastAsia="Times New Roman" w:hAnsi="Times New Roman"/>
          <w:sz w:val="18"/>
          <w:szCs w:val="18"/>
          <w:b w:val="1"/>
          <w:bCs w:val="1"/>
          <w:i w:val="1"/>
          <w:iCs w:val="1"/>
          <w:color w:val="auto"/>
        </w:rPr>
        <w:t>Sunoma</w:t>
      </w:r>
      <w:r>
        <w:rPr>
          <w:rFonts w:ascii="Times New Roman" w:cs="Times New Roman" w:eastAsia="Times New Roman" w:hAnsi="Times New Roman"/>
          <w:sz w:val="18"/>
          <w:szCs w:val="18"/>
          <w:color w:val="auto"/>
        </w:rPr>
        <w:t>”),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Sapphire RNG LLC (“</w:t>
      </w:r>
      <w:r>
        <w:rPr>
          <w:rFonts w:ascii="Times New Roman" w:cs="Times New Roman" w:eastAsia="Times New Roman" w:hAnsi="Times New Roman"/>
          <w:sz w:val="18"/>
          <w:szCs w:val="18"/>
          <w:b w:val="1"/>
          <w:bCs w:val="1"/>
          <w:i w:val="1"/>
          <w:iCs w:val="1"/>
          <w:color w:val="auto"/>
        </w:rPr>
        <w:t>Sapphire</w:t>
      </w:r>
      <w:r>
        <w:rPr>
          <w:rFonts w:ascii="Times New Roman" w:cs="Times New Roman" w:eastAsia="Times New Roman" w:hAnsi="Times New Roman"/>
          <w:sz w:val="18"/>
          <w:szCs w:val="18"/>
          <w:color w:val="auto"/>
        </w:rPr>
        <w:t>”), New River LLC (“</w:t>
      </w:r>
      <w:r>
        <w:rPr>
          <w:rFonts w:ascii="Times New Roman" w:cs="Times New Roman" w:eastAsia="Times New Roman" w:hAnsi="Times New Roman"/>
          <w:sz w:val="18"/>
          <w:szCs w:val="18"/>
          <w:b w:val="1"/>
          <w:bCs w:val="1"/>
          <w:i w:val="1"/>
          <w:iCs w:val="1"/>
          <w:color w:val="auto"/>
        </w:rPr>
        <w:t>New River</w:t>
      </w:r>
      <w:r>
        <w:rPr>
          <w:rFonts w:ascii="Times New Roman" w:cs="Times New Roman" w:eastAsia="Times New Roman" w:hAnsi="Times New Roman"/>
          <w:sz w:val="18"/>
          <w:szCs w:val="18"/>
          <w:color w:val="auto"/>
        </w:rPr>
        <w:t>”), Reynolds NRG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Central Valley LLC (“</w:t>
      </w:r>
      <w:r>
        <w:rPr>
          <w:rFonts w:ascii="Times New Roman" w:cs="Times New Roman" w:eastAsia="Times New Roman" w:hAnsi="Times New Roman"/>
          <w:sz w:val="18"/>
          <w:szCs w:val="18"/>
          <w:b w:val="1"/>
          <w:bCs w:val="1"/>
          <w:i w:val="1"/>
          <w:iCs w:val="1"/>
          <w:color w:val="auto"/>
        </w:rPr>
        <w:t>Central Valley</w:t>
      </w:r>
      <w:r>
        <w:rPr>
          <w:rFonts w:ascii="Times New Roman" w:cs="Times New Roman" w:eastAsia="Times New Roman" w:hAnsi="Times New Roman"/>
          <w:sz w:val="18"/>
          <w:szCs w:val="18"/>
          <w:color w:val="auto"/>
        </w:rPr>
        <w:t>”), Fortistar Contracting LLC, Fortistar RNG LLC, and TruStar Energy LLC (“</w:t>
      </w:r>
      <w:r>
        <w:rPr>
          <w:rFonts w:ascii="Times New Roman" w:cs="Times New Roman" w:eastAsia="Times New Roman" w:hAnsi="Times New Roman"/>
          <w:sz w:val="18"/>
          <w:szCs w:val="18"/>
          <w:b w:val="1"/>
          <w:bCs w:val="1"/>
          <w:i w:val="1"/>
          <w:iCs w:val="1"/>
          <w:color w:val="auto"/>
        </w:rPr>
        <w:t>TruStar</w:t>
      </w:r>
      <w:r>
        <w:rPr>
          <w:rFonts w:ascii="Times New Roman" w:cs="Times New Roman" w:eastAsia="Times New Roman" w:hAnsi="Times New Roman"/>
          <w:sz w:val="18"/>
          <w:szCs w:val="18"/>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Times New Roman" w:cs="Times New Roman" w:eastAsia="Times New Roman" w:hAnsi="Times New Roman"/>
          <w:sz w:val="18"/>
          <w:szCs w:val="18"/>
          <w:b w:val="1"/>
          <w:bCs w:val="1"/>
          <w:i w:val="1"/>
          <w:iCs w:val="1"/>
          <w:color w:val="auto"/>
        </w:rPr>
        <w:t>VIE</w:t>
      </w:r>
      <w:r>
        <w:rPr>
          <w:rFonts w:ascii="Times New Roman" w:cs="Times New Roman" w:eastAsia="Times New Roman" w:hAnsi="Times New Roman"/>
          <w:sz w:val="18"/>
          <w:szCs w:val="18"/>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Times New Roman" w:cs="Times New Roman" w:eastAsia="Times New Roman" w:hAnsi="Times New Roman"/>
          <w:sz w:val="18"/>
          <w:szCs w:val="18"/>
          <w:b w:val="1"/>
          <w:bCs w:val="1"/>
          <w:i w:val="1"/>
          <w:iCs w:val="1"/>
          <w:color w:val="auto"/>
        </w:rPr>
        <w:t>Pine Bend</w:t>
      </w:r>
      <w:r>
        <w:rPr>
          <w:rFonts w:ascii="Times New Roman" w:cs="Times New Roman" w:eastAsia="Times New Roman" w:hAnsi="Times New Roman"/>
          <w:sz w:val="18"/>
          <w:szCs w:val="18"/>
          <w:color w:val="auto"/>
        </w:rPr>
        <w:t>”), 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and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xml:space="preserve">”) under the equity method. The Company’s interests in Beacon for the period between January 1, 2021 and April 30, 2021 were accounted for under the equity method. Please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additional information. Beacon was consolidated after acquisition of remaining ownership interests increasing the ownership interest from 44.3% to 100% on May 1, 2021.</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that may be expected for the entire year.</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Equity Securities Subject to Contractual Sale Restrictions </w:t>
      </w:r>
      <w:r>
        <w:rPr>
          <w:rFonts w:ascii="Times New Roman" w:cs="Times New Roman" w:eastAsia="Times New Roman" w:hAnsi="Times New Roman"/>
          <w:sz w:val="18"/>
          <w:szCs w:val="18"/>
          <w:color w:val="auto"/>
        </w:rPr>
        <w:t>which states that a contractual restriction on the sale of an equity security is not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held as collateral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allowance for doubtful accounts was $100 and $0 at June 30,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in accordance with FASB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xml:space="preserve">”) 410, </w:t>
      </w:r>
      <w:r>
        <w:rPr>
          <w:rFonts w:ascii="Times New Roman" w:cs="Times New Roman" w:eastAsia="Times New Roman" w:hAnsi="Times New Roman"/>
          <w:sz w:val="18"/>
          <w:szCs w:val="18"/>
          <w:i w:val="1"/>
          <w:iCs w:val="1"/>
          <w:color w:val="auto"/>
        </w:rPr>
        <w:t>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Environmental Obligations, </w:t>
      </w:r>
      <w:r>
        <w:rPr>
          <w:rFonts w:ascii="Times New Roman" w:cs="Times New Roman" w:eastAsia="Times New Roman" w:hAnsi="Times New Roman"/>
          <w:sz w:val="18"/>
          <w:szCs w:val="18"/>
          <w:color w:val="auto"/>
        </w:rPr>
        <w:t>which requires entities to record the fair value of a liability for an asset retirement obligation in the period in which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estimated the value of its total asset retirement obligations to be $5,887 and $5,738,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June 30,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Asset retirement obligation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1002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that allows for the recognition of revenue from performance obligations in the amount of consideration to which there is a right to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w:t>
      </w:r>
      <w:r>
        <w:rPr>
          <w:rFonts w:ascii="Times New Roman" w:cs="Times New Roman" w:eastAsia="Times New Roman" w:hAnsi="Times New Roman"/>
          <w:sz w:val="18"/>
          <w:szCs w:val="18"/>
          <w:b w:val="1"/>
          <w:bCs w:val="1"/>
          <w:i w:val="1"/>
          <w:iCs w:val="1"/>
          <w:color w:val="auto"/>
        </w:rPr>
        <w:t>Producers</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i w:val="1"/>
          <w:iCs w:val="1"/>
          <w:color w:val="auto"/>
        </w:rPr>
        <w:t>System</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i w:val="1"/>
          <w:iCs w:val="1"/>
          <w:color w:val="auto"/>
        </w:rPr>
        <w:t>MWhs</w:t>
      </w:r>
      <w:r>
        <w:rPr>
          <w:rFonts w:ascii="Times New Roman" w:cs="Times New Roman" w:eastAsia="Times New Roman" w:hAnsi="Times New Roman"/>
          <w:sz w:val="18"/>
          <w:szCs w:val="18"/>
          <w:color w:val="auto"/>
        </w:rPr>
        <w:t>”) produced at that site. This revenue is recognized when LFG is collected and renewable power is delivered.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5" w:name="page196"/>
    <w:bookmarkEnd w:id="19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disaggregation of revenue according to product line:</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approximately 22.3% and 16.0%, respectively, of revenue was recognized over time, and the remainder was for products and services transferred at a point in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and estimated earnings in excess of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assets 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Contract liabilities 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Other Entities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equity method investments were as follows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 Bend</w:t>
            </w:r>
          </w:p>
        </w:tc>
        <w:tc>
          <w:tcPr>
            <w:tcW w:w="3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21,082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Noble Road</w:t>
            </w:r>
          </w:p>
        </w:tc>
        <w:tc>
          <w:tcPr>
            <w:tcW w:w="4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GREP</w:t>
            </w:r>
          </w:p>
        </w:tc>
        <w:tc>
          <w:tcPr>
            <w:tcW w:w="4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 in other entities</w:t>
            </w: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0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which held a note receivable of $10,450 to Biotown Bio 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(loss) income from equity method 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(loss) income from equity method investments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w:t>
            </w:r>
          </w:p>
        </w:tc>
      </w:tr>
    </w:tbl>
    <w:p>
      <w:pPr>
        <w:spacing w:after="0" w:line="184" w:lineRule="exact"/>
        <w:rPr>
          <w:sz w:val="20"/>
          <w:szCs w:val="20"/>
          <w:color w:val="auto"/>
        </w:rPr>
      </w:pPr>
    </w:p>
    <w:p>
      <w:pPr>
        <w:ind w:left="360" w:right="20" w:hanging="352"/>
        <w:spacing w:after="0" w:line="195" w:lineRule="auto"/>
        <w:tabs>
          <w:tab w:leader="none" w:pos="36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123,520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324,004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six months ended June 30, 2022 and June 30, 2021 was $6,005 and $3,723,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June 30, 2022 and December 31, 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the six months ended June 30, 2022 and 2021 was $398 and $231, respectively. At June 30, 2022, estimated future amortization expense for intangible assets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50"/>
        </w:trPr>
        <w:tc>
          <w:tcPr>
            <w:tcW w:w="100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tcBorders>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3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3,453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0"/>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F-56</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Borrowings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June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(73,145)</w:t>
            </w: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Senior secured facility, term loan, net of debt issuance costs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OPAL term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(13,425)</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OPAL term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17,524</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Convertible note payable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58,710</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borrowings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134,083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principal maturities of debt are expected as follows, excluding any subsequent refinancing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12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Sunoma loan</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22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80" w:type="dxa"/>
            <w:vAlign w:val="bottom"/>
          </w:tcPr>
          <w:p>
            <w:pPr>
              <w:spacing w:after="0"/>
              <w:rPr>
                <w:sz w:val="18"/>
                <w:szCs w:val="18"/>
                <w:color w:val="auto"/>
              </w:rPr>
            </w:pP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80" w:type="dxa"/>
            <w:vAlign w:val="bottom"/>
            <w:shd w:val="clear" w:color="auto" w:fill="CCEEFF"/>
          </w:tcPr>
          <w:p>
            <w:pPr>
              <w:spacing w:after="0"/>
              <w:rPr>
                <w:sz w:val="19"/>
                <w:szCs w:val="19"/>
                <w:color w:val="auto"/>
              </w:rPr>
            </w:pPr>
          </w:p>
        </w:tc>
      </w:tr>
      <w:tr>
        <w:trPr>
          <w:trHeight w:val="27"/>
        </w:trPr>
        <w:tc>
          <w:tcPr>
            <w:tcW w:w="3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244,113</w:t>
            </w:r>
          </w:p>
        </w:tc>
        <w:tc>
          <w:tcPr>
            <w:tcW w:w="80" w:type="dxa"/>
            <w:vAlign w:val="bottom"/>
          </w:tcPr>
          <w:p>
            <w:pPr>
              <w:spacing w:after="0"/>
              <w:rPr>
                <w:sz w:val="21"/>
                <w:szCs w:val="2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a (ii) working capital letter of credit facility (“</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of up to $19,000 and a (iii) Debt service reserve and liquidity facility (“</w:t>
      </w:r>
      <w:r>
        <w:rPr>
          <w:rFonts w:ascii="Times New Roman" w:cs="Times New Roman" w:eastAsia="Times New Roman" w:hAnsi="Times New Roman"/>
          <w:sz w:val="18"/>
          <w:szCs w:val="18"/>
          <w:b w:val="1"/>
          <w:bCs w:val="1"/>
          <w:i w:val="1"/>
          <w:iCs w:val="1"/>
          <w:color w:val="auto"/>
        </w:rPr>
        <w:t>Debt Reserve and Liquidity Facility</w:t>
      </w:r>
      <w:r>
        <w:rPr>
          <w:rFonts w:ascii="Times New Roman" w:cs="Times New Roman" w:eastAsia="Times New Roman" w:hAnsi="Times New Roman"/>
          <w:sz w:val="18"/>
          <w:szCs w:val="18"/>
          <w:color w:val="auto"/>
        </w:rPr>
        <w:t>”) of up to $6,000.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$14,300 to the lenders in connection with the transaction. As of June 30, 2022 and December 31, 2021, $72,632 and $73,869, respectively, was outstanding under the Senior secured facility, term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0" w:name="page201"/>
    <w:bookmarkEnd w:id="20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August 27, 2020, Sunoma entered into a debt agreement with Live Oak Banking Company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are secured by the assets of Sunoma.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1" w:name="page202"/>
    <w:bookmarkEnd w:id="201"/>
    <w:p>
      <w:pPr>
        <w:ind w:left="34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(ii) the minimum current ratio cannot be less than 1.0 (iii) minimum debt service coverage ratio of trailing four quarters cannot be less than 1.25.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apply after the construction is complete and the facility meets certain predetermined operational standards and documentation criteria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converts to a term loan which is expected to be in third quarter of 2022.</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Times New Roman" w:cs="Times New Roman" w:eastAsia="Times New Roman" w:hAnsi="Times New Roman"/>
          <w:sz w:val="18"/>
          <w:szCs w:val="18"/>
          <w:b w:val="1"/>
          <w:bCs w:val="1"/>
          <w:i w:val="1"/>
          <w:iCs w:val="1"/>
          <w:color w:val="auto"/>
        </w:rPr>
        <w:t>USDA</w:t>
      </w:r>
      <w:r>
        <w:rPr>
          <w:rFonts w:ascii="Times New Roman" w:cs="Times New Roman" w:eastAsia="Times New Roman" w:hAnsi="Times New Roman"/>
          <w:sz w:val="18"/>
          <w:szCs w:val="18"/>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significant assets of Sunoma are parenthesized in the condensed consolidated balance sheets as June 30, 2022 and December 31, 2021. Refer to Note 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Intermediate Holdco</w:t>
      </w:r>
      <w:r>
        <w:rPr>
          <w:rFonts w:ascii="Times New Roman" w:cs="Times New Roman" w:eastAsia="Times New Roman" w:hAnsi="Times New Roman"/>
          <w:sz w:val="18"/>
          <w:szCs w:val="18"/>
          <w:color w:val="auto"/>
        </w:rPr>
        <w:t>”) as the borrower and Bank of America N.A., Customers Bank, Citi Bank N.A., Barclays Bank PLC as lenders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as administrative agent and Customers Bank as Syndication Agent, which permitted borrowings of up to $125,000. Of the $125,000, $10,000 remain available to be drawn.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2022, the Company entered into a loan amendment (a) to extend from September 30, 2022 to (i) October 31, 2022 the availability period for the borrowing under the Term A-2 Commitments of up to an aggregate of $25 million in Term A-2 Loans, which has now been drawn, and (ii) March 31, 2023 the availability period for the borrowing under the Term A-2 Commitments of a single final borrowing of Term A-2 Loans not to exceed $10 million, to be made upon the Company’s satisfaction of certain final conditions specifically applicable to its New River and Pine Bend projects, and (b) to amend the principal repayment amortization schedule for Term A-2 Loans.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the Company acquired the remaining ownership interests in Beacon and signed an unsecured, contingently convertible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2" w:name="page203"/>
    <w:bookmarkEnd w:id="20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account for the Note using the fair value option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Senior secured facility was 4.25% including a margin plus LIBOR.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OPAL term loan was 4.93%.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six months ended June 30, 2022, the interest rate on the Sunoma loan was 7.75%.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payment-in-kind interest rate on Convertible note payable was 8.00%. The change in fair value of the Note recorded as interest expense between May 1, 2021 and June 30, 2022 was $5,410.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3" w:name="page204"/>
    <w:bookmarkEnd w:id="203"/>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the weighted average interest rate on Municipality loan was 3.00%.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effective interest rate for this period was 4.23%.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interest rate on TruStar revolver credit facility was 3.34%.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interest rate on Municipality loan was 3.00%.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expense for the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Sunoma loan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mark-to-market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20" w:hanging="352"/>
        <w:spacing w:after="0" w:line="195" w:lineRule="auto"/>
        <w:tabs>
          <w:tab w:leader="none" w:pos="36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$690 and $403 for the six months ended June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condensed consolidated balance sheets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5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45"/>
        </w:trPr>
        <w:tc>
          <w:tcPr>
            <w:tcW w:w="5760" w:type="dxa"/>
            <w:vAlign w:val="bottom"/>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5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Derivative financial liability, current</w:t>
            </w:r>
          </w:p>
        </w:tc>
      </w:tr>
      <w:tr>
        <w:trPr>
          <w:trHeight w:val="2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swaps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portion</w:t>
            </w:r>
          </w:p>
        </w:tc>
      </w:tr>
      <w:tr>
        <w:trPr>
          <w:trHeight w:val="237"/>
        </w:trPr>
        <w:tc>
          <w:tcPr>
            <w:tcW w:w="576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800" w:type="dxa"/>
            <w:vAlign w:val="bottom"/>
            <w:tcBorders>
              <w:top w:val="single" w:sz="8" w:color="CCEEFF"/>
            </w:tcBorders>
          </w:tcPr>
          <w:p>
            <w:pPr>
              <w:spacing w:after="0"/>
              <w:rPr>
                <w:sz w:val="20"/>
                <w:szCs w:val="20"/>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derivative instruments on the condensed consolidated statement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Gain</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16"/>
        </w:trPr>
        <w:tc>
          <w:tcPr>
            <w:tcW w:w="5760" w:type="dxa"/>
            <w:vAlign w:val="bottom"/>
          </w:tcPr>
          <w:p>
            <w:pPr>
              <w:spacing w:after="0"/>
              <w:rPr>
                <w:sz w:val="18"/>
                <w:szCs w:val="18"/>
                <w:color w:val="auto"/>
              </w:rPr>
            </w:pPr>
          </w:p>
        </w:tc>
        <w:tc>
          <w:tcPr>
            <w:tcW w:w="21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45"/>
        </w:trPr>
        <w:tc>
          <w:tcPr>
            <w:tcW w:w="57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from Derivatives</w:t>
            </w:r>
          </w:p>
        </w:tc>
      </w:tr>
      <w:tr>
        <w:trPr>
          <w:trHeight w:val="237"/>
        </w:trPr>
        <w:tc>
          <w:tcPr>
            <w:tcW w:w="5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7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7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2800" w:type="dxa"/>
            <w:vAlign w:val="bottom"/>
          </w:tcPr>
          <w:p>
            <w:pPr>
              <w:spacing w:after="0"/>
              <w:rPr>
                <w:sz w:val="20"/>
                <w:szCs w:val="20"/>
                <w:color w:val="auto"/>
              </w:rPr>
            </w:pPr>
          </w:p>
        </w:tc>
      </w:tr>
      <w:tr>
        <w:trPr>
          <w:trHeight w:val="184"/>
        </w:trPr>
        <w:tc>
          <w:tcPr>
            <w:tcW w:w="57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Realized and unrealized gain on</w:t>
            </w:r>
          </w:p>
        </w:tc>
      </w:tr>
      <w:tr>
        <w:trPr>
          <w:trHeight w:val="282"/>
        </w:trPr>
        <w:tc>
          <w:tcPr>
            <w:tcW w:w="57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line="275" w:lineRule="exact"/>
              <w:rPr>
                <w:sz w:val="20"/>
                <w:szCs w:val="20"/>
                <w:color w:val="auto"/>
              </w:rPr>
            </w:pPr>
            <w:r>
              <w:rPr>
                <w:rFonts w:ascii="Times New Roman" w:cs="Times New Roman" w:eastAsia="Times New Roman" w:hAnsi="Times New Roman"/>
                <w:sz w:val="17"/>
                <w:szCs w:val="17"/>
                <w:color w:val="auto"/>
              </w:rPr>
              <w:t>(328</w:t>
            </w:r>
            <w:r>
              <w:rPr>
                <w:rFonts w:ascii="Times New Roman" w:cs="Times New Roman" w:eastAsia="Times New Roman" w:hAnsi="Times New Roman"/>
                <w:sz w:val="31"/>
                <w:szCs w:val="31"/>
                <w:color w:val="auto"/>
                <w:vertAlign w:val="superscript"/>
              </w:rPr>
              <w: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gridSpan w:val="3"/>
            <w:shd w:val="clear" w:color="auto" w:fill="CCEEFF"/>
          </w:tcPr>
          <w:p>
            <w:pPr>
              <w:ind w:left="120"/>
              <w:spacing w:after="0" w:line="275" w:lineRule="exact"/>
              <w:rPr>
                <w:sz w:val="20"/>
                <w:szCs w:val="20"/>
                <w:color w:val="auto"/>
              </w:rPr>
            </w:pPr>
            <w:r>
              <w:rPr>
                <w:rFonts w:ascii="Times New Roman" w:cs="Times New Roman" w:eastAsia="Times New Roman" w:hAnsi="Times New Roman"/>
                <w:sz w:val="31"/>
                <w:szCs w:val="31"/>
                <w:color w:val="auto"/>
                <w:vertAlign w:val="subscript"/>
              </w:rPr>
              <w:t>(17</w:t>
            </w:r>
            <w:r>
              <w:rPr>
                <w:rFonts w:ascii="Times New Roman" w:cs="Times New Roman" w:eastAsia="Times New Roman" w:hAnsi="Times New Roman"/>
                <w:sz w:val="17"/>
                <w:szCs w:val="17"/>
                <w:color w:val="auto"/>
              </w:rPr>
              <w:t>)  interest rate swaps, net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the Company’s condensed consolidated balance sheets and the effect of netting arrangements and collateral on its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Assets/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Offset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of Recognized</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swap contracts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power purchase agreement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 Year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85"/>
              </w:rPr>
              <w:t>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effect of commodity swaps on the condensed consolidated statements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gain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w:t>
            </w:r>
          </w:p>
        </w:tc>
        <w:tc>
          <w:tcPr>
            <w:tcW w:w="15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154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 loss</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0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color w:val="auto"/>
              </w:rPr>
              <w:t>F-63</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6" w:name="page207"/>
    <w:bookmarkEnd w:id="206"/>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59"/>
        </w:trPr>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w:t>
            </w:r>
          </w:p>
        </w:tc>
      </w:tr>
      <w:tr>
        <w:trPr>
          <w:trHeight w:val="19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6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current portion</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loss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16"/>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current</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regarding fair value measurements which establishes a three-tier fair value hierarchy and prioritizes the inputs used in valuation techniques that measure fair value. These tiers include: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7" w:name="page208"/>
    <w:bookmarkEnd w:id="20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Amerex Energy Services (“</w:t>
      </w:r>
      <w:r>
        <w:rPr>
          <w:rFonts w:ascii="Times New Roman" w:cs="Times New Roman" w:eastAsia="Times New Roman" w:hAnsi="Times New Roman"/>
          <w:sz w:val="18"/>
          <w:szCs w:val="18"/>
          <w:b w:val="1"/>
          <w:bCs w:val="1"/>
          <w:i w:val="1"/>
          <w:iCs w:val="1"/>
          <w:color w:val="auto"/>
        </w:rPr>
        <w:t>Amerex</w:t>
      </w:r>
      <w:r>
        <w:rPr>
          <w:rFonts w:ascii="Times New Roman" w:cs="Times New Roman" w:eastAsia="Times New Roman" w:hAnsi="Times New Roman"/>
          <w:sz w:val="18"/>
          <w:szCs w:val="18"/>
          <w:color w:val="auto"/>
        </w:rPr>
        <w:t>”) and Tradition Energy (“</w:t>
      </w:r>
      <w:r>
        <w:rPr>
          <w:rFonts w:ascii="Times New Roman" w:cs="Times New Roman" w:eastAsia="Times New Roman" w:hAnsi="Times New Roman"/>
          <w:sz w:val="18"/>
          <w:szCs w:val="18"/>
          <w:b w:val="1"/>
          <w:bCs w:val="1"/>
          <w:i w:val="1"/>
          <w:iCs w:val="1"/>
          <w:color w:val="auto"/>
        </w:rPr>
        <w:t>Tradition</w:t>
      </w:r>
      <w:r>
        <w:rPr>
          <w:rFonts w:ascii="Times New Roman" w:cs="Times New Roman" w:eastAsia="Times New Roman" w:hAnsi="Times New Roman"/>
          <w:sz w:val="18"/>
          <w:szCs w:val="18"/>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Times New Roman" w:cs="Times New Roman" w:eastAsia="Times New Roman" w:hAnsi="Times New Roman"/>
          <w:sz w:val="18"/>
          <w:szCs w:val="18"/>
          <w:b w:val="1"/>
          <w:bCs w:val="1"/>
          <w:i w:val="1"/>
          <w:iCs w:val="1"/>
          <w:color w:val="auto"/>
        </w:rPr>
        <w:t>DCF</w:t>
      </w:r>
      <w:r>
        <w:rPr>
          <w:rFonts w:ascii="Times New Roman" w:cs="Times New Roman" w:eastAsia="Times New Roman" w:hAnsi="Times New Roman"/>
          <w:sz w:val="18"/>
          <w:szCs w:val="18"/>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June 30, 2022 or December 31, 2021.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June 30, 2022 and December 31, 2021, set forth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 of June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6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5,807</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655"/>
        </w:trPr>
        <w:tc>
          <w:tcPr>
            <w:tcW w:w="5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F-65</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9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six months ended June 30, 2022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2022 and 2021, the Company received contributions from its Ultimate Parent of $0 and $7,522,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made distributions to its Ultimate Parent of $0 and $3,695 for the six months ended June 30,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an RNG production facility for $12,020 which was funded with cash on hand. Reynolds held an equity investment of 1,570 Class B units in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representing 20% interest for a cash consideration of $1,570 which owns 50% of BioTown Biogas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Yet to be</w:t>
            </w:r>
          </w:p>
        </w:tc>
      </w:tr>
      <w:tr>
        <w:trPr>
          <w:trHeight w:val="245"/>
        </w:trPr>
        <w:tc>
          <w:tcPr>
            <w:tcW w:w="7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Letters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Fulfilled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River RNG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2020, the Company signed a management, operations, and maintenance services agreement (“</w:t>
      </w:r>
      <w:r>
        <w:rPr>
          <w:rFonts w:ascii="Times New Roman" w:cs="Times New Roman" w:eastAsia="Times New Roman" w:hAnsi="Times New Roman"/>
          <w:sz w:val="18"/>
          <w:szCs w:val="18"/>
          <w:b w:val="1"/>
          <w:bCs w:val="1"/>
          <w:i w:val="1"/>
          <w:iCs w:val="1"/>
          <w:color w:val="auto"/>
        </w:rPr>
        <w:t>Administrative services agreement</w:t>
      </w:r>
      <w:r>
        <w:rPr>
          <w:rFonts w:ascii="Times New Roman" w:cs="Times New Roman" w:eastAsia="Times New Roman" w:hAnsi="Times New Roman"/>
          <w:sz w:val="18"/>
          <w:szCs w:val="18"/>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0" w:name="page211"/>
    <w:bookmarkEnd w:id="210"/>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an affiliate of the Ultimate Parent. As per the agreement, Costar provides information technology (“</w:t>
      </w: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 - fixed compensation</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6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6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Accounts payable, related party in the amounts of $1,141 and $166,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Reportable Segments and Geographic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76" w:lineRule="exact"/>
        <w:rPr>
          <w:sz w:val="20"/>
          <w:szCs w:val="20"/>
          <w:color w:val="auto"/>
        </w:rPr>
      </w:pPr>
    </w:p>
    <w:p>
      <w:pPr>
        <w:jc w:val="both"/>
        <w:ind w:left="660" w:hanging="328"/>
        <w:spacing w:after="0" w:line="26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3 (“</w:t>
      </w:r>
      <w:r>
        <w:rPr>
          <w:rFonts w:ascii="Times New Roman" w:cs="Times New Roman" w:eastAsia="Times New Roman" w:hAnsi="Times New Roman"/>
          <w:sz w:val="18"/>
          <w:szCs w:val="18"/>
          <w:b w:val="1"/>
          <w:bCs w:val="1"/>
          <w:i w:val="1"/>
          <w:iCs w:val="1"/>
          <w:color w:val="auto"/>
        </w:rPr>
        <w:t>RP3</w:t>
      </w:r>
      <w:r>
        <w:rPr>
          <w:rFonts w:ascii="Times New Roman" w:cs="Times New Roman" w:eastAsia="Times New Roman" w:hAnsi="Times New Roman"/>
          <w:sz w:val="18"/>
          <w:szCs w:val="18"/>
          <w:color w:val="auto"/>
        </w:rPr>
        <w:t>”) portfolio generates renewable power through methane-rich landfills and digester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collection systems primarily located in Southern California. RP3 sells renewable power to public utilities throughout the United States. The Renewable Power 4 (“</w:t>
      </w:r>
      <w:r>
        <w:rPr>
          <w:rFonts w:ascii="Times New Roman" w:cs="Times New Roman" w:eastAsia="Times New Roman" w:hAnsi="Times New Roman"/>
          <w:sz w:val="18"/>
          <w:szCs w:val="18"/>
          <w:b w:val="1"/>
          <w:bCs w:val="1"/>
          <w:i w:val="1"/>
          <w:iCs w:val="1"/>
          <w:color w:val="auto"/>
        </w:rPr>
        <w:t>RP4</w:t>
      </w:r>
      <w:r>
        <w:rPr>
          <w:rFonts w:ascii="Times New Roman" w:cs="Times New Roman" w:eastAsia="Times New Roman" w:hAnsi="Times New Roman"/>
          <w:sz w:val="18"/>
          <w:szCs w:val="18"/>
          <w:color w:val="auto"/>
        </w:rPr>
        <w:t>”) portfolio generates renewable power through methane-rich landfills and digester gas collection systems. RP4 sells renewable power to public utilities throughout the United States.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This division relates to all RNG supply and dispensing related activities directly related to the generation and sale of brown gas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credits.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in the process of being ratified and the building of RNG generation facilities.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88"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 It includes</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across the US. Includes a manufacturing division that builds Compact Fueling Systems (CFS) and Defueling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CNG Construction of Fueling Stations. Design/build and serve as general contractor for typically Guarantee Maxim Price (GMP) or fixed priced contracts for customers typically lasting less than one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1" w:name="page212"/>
    <w:bookmarkEnd w:id="211"/>
    <w:p>
      <w:pPr>
        <w:ind w:left="733" w:hanging="328"/>
        <w:spacing w:after="0"/>
        <w:tabs>
          <w:tab w:leader="none" w:pos="73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Consists of a multitude of activities managed and maintained at a corporate level primarily including but not limited to:</w:t>
      </w:r>
    </w:p>
    <w:p>
      <w:pPr>
        <w:spacing w:after="0" w:line="229"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accounting, finance, sales activities such as: payroll, stock compensation expense, travel and other related costs</w:t>
      </w:r>
    </w:p>
    <w:p>
      <w:pPr>
        <w:spacing w:after="0" w:line="225"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professional fees (Audit, tax, legal etc.)</w:t>
      </w:r>
    </w:p>
    <w:p>
      <w:pPr>
        <w:spacing w:after="0" w:line="225" w:lineRule="exact"/>
        <w:rPr>
          <w:sz w:val="20"/>
          <w:szCs w:val="20"/>
          <w:color w:val="auto"/>
        </w:rPr>
      </w:pPr>
    </w:p>
    <w:p>
      <w:pPr>
        <w:jc w:val="both"/>
        <w:ind w:left="73"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2"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17,177</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213" w:hanging="213"/>
        <w:spacing w:after="0"/>
        <w:tabs>
          <w:tab w:leader="none" w:pos="213"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73"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33" w:right="3360" w:hanging="5344"/>
        <w:spacing w:after="0" w:line="783" w:lineRule="auto"/>
        <w:tabs>
          <w:tab w:leader="none" w:pos="5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amortization of intangible assets and depreciation expense not allocated to any segment.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-296545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873"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Renewable Power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13,642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Fuel Station Services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3,414</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22"/>
                <w:szCs w:val="22"/>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9"/>
                <w:szCs w:val="29"/>
                <w:color w:val="auto"/>
                <w:vertAlign w:val="superscript"/>
              </w:rPr>
              <w:t>(1) (2)</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(19,660)</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Pr>
          <w:p>
            <w:pPr>
              <w:spacing w:after="0"/>
              <w:rPr>
                <w:sz w:val="22"/>
                <w:szCs w:val="22"/>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tcBorders>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includes $19,818 gain on acquisition of equity method investment for the six months ended June 30, 2021.</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Purchases of Property, Plant, and Equipment: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17,528</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total assets associated with Fortistar Contracting LLC as the Company does not maintain segment-level records for these balances.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3" w:name="page214"/>
    <w:bookmarkEnd w:id="2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held equity interests in five VIEs — Sunoma, GREP, Emerald, Sapphire, and Central Valley.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GREP has been presented as an equity method investment and the remaining four VIEs Sunoma, Emerald, Sapphire, and Central Valley are consolidated by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determined that each of these entities are VIEs and in its capacity as a managing member except for Emerald and Sapphire,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the primary beneficiary. The Company is deemed as a primary beneficiary based on two conditions:</w:t>
      </w:r>
    </w:p>
    <w:p>
      <w:pPr>
        <w:spacing w:after="0" w:line="207" w:lineRule="exact"/>
        <w:rPr>
          <w:sz w:val="20"/>
          <w:szCs w:val="20"/>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and they are reported under the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4" w:name="page215"/>
    <w:bookmarkEnd w:id="21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are parenthesized in the condensed consolidated balance sheets and are included in the asset totals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24,460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7"/>
        </w:trPr>
        <w:tc>
          <w:tcPr>
            <w:tcW w:w="4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vMerge w:val="continue"/>
            <w:shd w:val="clear" w:color="auto" w:fill="CCEEFF"/>
          </w:tcPr>
          <w:p>
            <w:pPr>
              <w:spacing w:after="0"/>
              <w:rPr>
                <w:sz w:val="21"/>
                <w:szCs w:val="21"/>
                <w:color w:val="auto"/>
              </w:rPr>
            </w:pP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expenses</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4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4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OPAL Fuels LLC equity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42,050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1"/>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right"/>
              <w:ind w:right="3040"/>
              <w:spacing w:after="0"/>
              <w:rPr>
                <w:sz w:val="20"/>
                <w:szCs w:val="20"/>
                <w:color w:val="auto"/>
              </w:rPr>
            </w:pPr>
            <w:r>
              <w:rPr>
                <w:rFonts w:ascii="Times New Roman" w:cs="Times New Roman" w:eastAsia="Times New Roman" w:hAnsi="Times New Roman"/>
                <w:sz w:val="18"/>
                <w:szCs w:val="18"/>
                <w:color w:val="auto"/>
              </w:rPr>
              <w:t>F-72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13. Redeemable Preferred Units and Equity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the Company issued the 14 newly authorized common units and 300,000 Series A-1 preferred units to Hillman in return for Hillman’s non-controlling interest in four RNG project subsidiaries.</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December 31, 2021 to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A units 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kind dividends on issued and outstanding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7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net (loss) income per unit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per unit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i w:val="1"/>
          <w:iCs w:val="1"/>
          <w:color w:val="auto"/>
        </w:rPr>
        <w:t>Richmond</w:t>
      </w:r>
      <w:r>
        <w:rPr>
          <w:rFonts w:ascii="Times New Roman" w:cs="Times New Roman" w:eastAsia="Times New Roman" w:hAnsi="Times New Roman"/>
          <w:sz w:val="18"/>
          <w:szCs w:val="18"/>
          <w:color w:val="auto"/>
        </w:rPr>
        <w:t>”)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dated as of November 3, 2010. The Force Majeure declaration stated that inspections of its Old Dominion landfill gas-to-electric facility (the “</w:t>
      </w:r>
      <w:r>
        <w:rPr>
          <w:rFonts w:ascii="Times New Roman" w:cs="Times New Roman" w:eastAsia="Times New Roman" w:hAnsi="Times New Roman"/>
          <w:sz w:val="18"/>
          <w:szCs w:val="18"/>
          <w:b w:val="1"/>
          <w:bCs w:val="1"/>
          <w:i w:val="1"/>
          <w:i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On February 8, 2022, Richmond paid ODEC $467 pursuant to the Settlement Agreement; liquidated damages for calendar year 2022, if any, will be assessed by ODEC during the first quarter of 2023.</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As previously announced,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and, after the Domestication as described below,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 Cayman Islands exempted company, entered into that certain Business Combination Agreement, dated December 2, 2021 (the “Business Combination Agreement”), by and among ArcLight,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Domestication Date</w:t>
      </w:r>
      <w:r>
        <w:rPr>
          <w:rFonts w:ascii="Times New Roman" w:cs="Times New Roman" w:eastAsia="Times New Roman" w:hAnsi="Times New Roman"/>
          <w:sz w:val="18"/>
          <w:szCs w:val="18"/>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(iii) each issued and outstanding whole warrant to purchase Class A ordinary shares of ArcLight automatically converted into a warrant to acquire one share of Class A common stock at an exercise price of $11.50 per share (each an “</w:t>
      </w:r>
      <w:r>
        <w:rPr>
          <w:rFonts w:ascii="Times New Roman" w:cs="Times New Roman" w:eastAsia="Times New Roman" w:hAnsi="Times New Roman"/>
          <w:sz w:val="18"/>
          <w:szCs w:val="18"/>
          <w:b w:val="1"/>
          <w:bCs w:val="1"/>
          <w:i w:val="1"/>
          <w:iCs w:val="1"/>
          <w:color w:val="auto"/>
        </w:rPr>
        <w:t>OPAL warrant</w:t>
      </w:r>
      <w:r>
        <w:rPr>
          <w:rFonts w:ascii="Times New Roman" w:cs="Times New Roman" w:eastAsia="Times New Roman" w:hAnsi="Times New Roman"/>
          <w:sz w:val="18"/>
          <w:szCs w:val="18"/>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7" w:name="page218"/>
    <w:bookmarkEnd w:id="217"/>
    <w:p>
      <w:pPr>
        <w:ind w:left="340"/>
        <w:spacing w:after="0"/>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contemplated by the Business Combination Agreement:</w:t>
      </w:r>
    </w:p>
    <w:p>
      <w:pPr>
        <w:spacing w:after="0" w:line="229" w:lineRule="exact"/>
        <w:rPr>
          <w:sz w:val="20"/>
          <w:szCs w:val="20"/>
          <w:color w:val="auto"/>
        </w:rPr>
      </w:pPr>
    </w:p>
    <w:p>
      <w:pPr>
        <w:jc w:val="both"/>
        <w:ind w:left="820" w:hanging="488"/>
        <w:spacing w:after="0" w:line="266"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Times New Roman" w:cs="Times New Roman" w:eastAsia="Times New Roman" w:hAnsi="Times New Roman"/>
          <w:sz w:val="18"/>
          <w:szCs w:val="18"/>
          <w:b w:val="1"/>
          <w:bCs w:val="1"/>
          <w:i w:val="1"/>
          <w:iCs w:val="1"/>
          <w:color w:val="auto"/>
        </w:rPr>
        <w:t>Opco Common Units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79"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and Opco in turn distributed to pre-closing members of Opco, 144,399,037 shares of Class D common stock, par value $0.0001 per share, of OPAL (the “</w:t>
      </w:r>
      <w:r>
        <w:rPr>
          <w:rFonts w:ascii="Times New Roman" w:cs="Times New Roman" w:eastAsia="Times New Roman" w:hAnsi="Times New Roman"/>
          <w:sz w:val="18"/>
          <w:szCs w:val="18"/>
          <w:b w:val="1"/>
          <w:bCs w:val="1"/>
          <w:i w:val="1"/>
          <w:iCs w:val="1"/>
          <w:color w:val="auto"/>
        </w:rPr>
        <w:t>Class D common stock</w:t>
      </w:r>
      <w:r>
        <w:rPr>
          <w:rFonts w:ascii="Times New Roman" w:cs="Times New Roman" w:eastAsia="Times New Roman" w:hAnsi="Times New Roman"/>
          <w:sz w:val="18"/>
          <w:szCs w:val="18"/>
          <w:color w:val="auto"/>
        </w:rPr>
        <w:t>”) (such shares of Class D common stock do not have any economic value but entitle the holder thereof to five votes per share) with the number of such shares of Class D common stock equal to the number of Opco Common Units held by each pre-closing member of Opco;</w:t>
      </w:r>
    </w:p>
    <w:p>
      <w:pPr>
        <w:spacing w:after="0" w:line="17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issued directly to ARCC Beacon LLC, a Delaware limited liability company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3,059,533 shares of Class A common stock;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issued to OPAL 25,171,390 Class A Units of Opco (the foregoing transactions being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OPAL received $105,806 in proceeds from the PIPE Investors, in exchange for which it 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above, the consummation of the PIPE Investment, and the separation of the former ArcLight units, there are currently (i) 25,671,390 shares of Class A common stock issued and outstanding, (ii) 144,399,037 shares of Class D common stock issued and outstanding, (iii) no shares of Class B common stock, par value $0.0001 per share, of OPAL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and (iv) no shares of Class C common stock, par value $0.0001 per share, of OPAL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8" w:name="page219"/>
    <w:bookmarkEnd w:id="218"/>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19, 2022, Sunoma completed the conversion of the construction loan into a permanent loan and increased the commitment from $20,000 to $23,000.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15, 2022, the Company received a redemption notice from Biotown for the Note receivable and the Company subsequently received $11,555 including the prepayment penalty of $546 and accrued interest.</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4, 2022, OPAL Fuels Intermediate Holdco 2 LLC (“</w:t>
      </w:r>
      <w:r>
        <w:rPr>
          <w:rFonts w:ascii="Times New Roman" w:cs="Times New Roman" w:eastAsia="Times New Roman" w:hAnsi="Times New Roman"/>
          <w:sz w:val="18"/>
          <w:szCs w:val="18"/>
          <w:b w:val="1"/>
          <w:bCs w:val="1"/>
          <w:i w:val="1"/>
          <w:iCs w:val="1"/>
          <w:color w:val="auto"/>
        </w:rPr>
        <w:t>OPAL Intermediate Holdco 2</w:t>
      </w:r>
      <w:r>
        <w:rPr>
          <w:rFonts w:ascii="Times New Roman" w:cs="Times New Roman" w:eastAsia="Times New Roman" w:hAnsi="Times New Roman"/>
          <w:sz w:val="18"/>
          <w:szCs w:val="18"/>
          <w:color w:val="auto"/>
        </w:rPr>
        <w:t>”), a wholly-owned subsidiary of the Company, as borrower, together with its direct and indirect subsidiaries, as guarantors, entered into a new senior secured credit facility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2020 and 2019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$1,991 and $5,088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$40 and $– at December 31, 2021 and December 31, 2020, respectively,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$113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$27,359 and $18,834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non-current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Restricted cash (includes $1,163 and $2,199 at December 31, 2021 and December 31, 2020, respectively, related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(includes $544 and $864 at December 31, 2021 and December 31, 2020, respectively, related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 VIEs)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$1,722 $— and $3,300 at December 31, 2021 and December 31,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 and $776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under power sales agreement,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F-78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$756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Municipality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142,116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net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72,256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$16,199 and $470 at December 31, 2021 and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and 0 units authorized, and 300,000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0 units issued and outstanding at December 31, 2021 and 2020,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preferred units, subject to redemption, $100 par value, 2,000,000 and 0 units authorized, and 0 and 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 issued and outstanding at December 31, 2021 and 2020, respectively, $100,000 subscription for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unissued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and 986 units authorized, and 1,000 and 986 units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December 31, 2021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49,170</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15,967</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(25,396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Non-controlling interest in subsidiaries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45,324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41,075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42,838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 (loss) on derivative financial instruments, net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32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tcPr>
          <w:p>
            <w:pPr>
              <w:spacing w:after="0"/>
              <w:rPr>
                <w:sz w:val="14"/>
                <w:szCs w:val="14"/>
                <w:color w:val="auto"/>
              </w:rPr>
            </w:pPr>
          </w:p>
        </w:tc>
        <w:tc>
          <w:tcPr>
            <w:tcW w:w="9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2,268</w:t>
            </w:r>
          </w:p>
        </w:tc>
        <w:tc>
          <w:tcPr>
            <w:tcW w:w="2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732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32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(804</w:t>
            </w:r>
          </w:p>
        </w:tc>
        <w:tc>
          <w:tcPr>
            <w:tcW w:w="2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34"/>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50"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jc w:val="both"/>
        <w:ind w:left="340" w:hanging="332"/>
        <w:spacing w:after="0" w:line="255"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120" w:type="dxa"/>
            <w:vAlign w:val="bottom"/>
            <w:tcBorders>
              <w:right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3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20" w:type="dxa"/>
            <w:vAlign w:val="bottom"/>
          </w:tcPr>
          <w:p>
            <w:pPr>
              <w:spacing w:after="0"/>
              <w:rPr>
                <w:sz w:val="22"/>
                <w:szCs w:val="22"/>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3"/>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3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1100" w:type="dxa"/>
            <w:vAlign w:val="bottom"/>
            <w:gridSpan w:val="2"/>
          </w:tcPr>
          <w:p>
            <w:pPr>
              <w:jc w:val="right"/>
              <w:ind w:right="360"/>
              <w:spacing w:after="0" w:line="270" w:lineRule="exact"/>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4"/>
                <w:szCs w:val="24"/>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previously reported</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7"/>
        </w:trPr>
        <w:tc>
          <w:tcPr>
            <w:tcW w:w="23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restated</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22,550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Net loss</w:t>
            </w:r>
            <w:r>
              <w:rPr>
                <w:rFonts w:ascii="Times New Roman" w:cs="Times New Roman" w:eastAsia="Times New Roman" w:hAnsi="Times New Roman"/>
                <w:sz w:val="25"/>
                <w:szCs w:val="25"/>
                <w:color w:val="auto"/>
                <w:vertAlign w:val="superscript"/>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23"/>
                <w:szCs w:val="23"/>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Assignment of related party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line of credit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38,939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redeemable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 and</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issued in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non-</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controlling interests</w:t>
            </w:r>
            <w:r>
              <w:rPr>
                <w:rFonts w:ascii="Times New Roman" w:cs="Times New Roman" w:eastAsia="Times New Roman" w:hAnsi="Times New Roman"/>
                <w:sz w:val="29"/>
                <w:szCs w:val="29"/>
                <w:color w:val="auto"/>
                <w:vertAlign w:val="superscript"/>
              </w:rPr>
              <w:t>(4)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3"/>
                <w:szCs w:val="23"/>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(29,913)</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Deconsolidation of entities</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(30,679)</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Paid-in-kind preferred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3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dividends</w:t>
            </w:r>
            <w:r>
              <w:rPr>
                <w:rFonts w:ascii="Times New Roman" w:cs="Times New Roman" w:eastAsia="Times New Roman" w:hAnsi="Times New Roman"/>
                <w:sz w:val="29"/>
                <w:szCs w:val="29"/>
                <w:color w:val="auto"/>
                <w:vertAlign w:val="superscript"/>
              </w:rPr>
              <w:t>(4)</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58"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340" w:hanging="332"/>
        <w:spacing w:after="0" w:line="25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5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2021, two of our RNG facilities, Pine Bend and Noble Road (defined below) were deconsolidated and accounted for under equity method as per ASC 323. Please refer to Note 6, Investment in </w:t>
      </w:r>
      <w:r>
        <w:rPr>
          <w:rFonts w:ascii="Times New Roman" w:cs="Times New Roman" w:eastAsia="Times New Roman" w:hAnsi="Times New Roman"/>
          <w:sz w:val="18"/>
          <w:szCs w:val="18"/>
          <w:i w:val="1"/>
          <w:iCs w:val="1"/>
          <w:color w:val="auto"/>
        </w:rPr>
        <w:t>Other Entities</w:t>
      </w:r>
      <w:r>
        <w:rPr>
          <w:rFonts w:ascii="Times New Roman" w:cs="Times New Roman" w:eastAsia="Times New Roman" w:hAnsi="Times New Roman"/>
          <w:sz w:val="18"/>
          <w:szCs w:val="18"/>
          <w:color w:val="auto"/>
        </w:rPr>
        <w:t xml:space="preserve"> and Note 17, Variable Interest Entities for additional information.</w:t>
      </w:r>
    </w:p>
    <w:p>
      <w:pPr>
        <w:ind w:left="340" w:hanging="332"/>
        <w:spacing w:after="0" w:line="26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for additional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(Recovery) provision for bad debts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capitalized development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transfer of equipment to construction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 current and non-current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investment in other entity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note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F-82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b w:val="1"/>
                <w:bCs w:val="1"/>
                <w:color w:val="auto"/>
                <w:w w:val="98"/>
              </w:rPr>
              <w:t>(Restated)</w:t>
            </w:r>
            <w:r>
              <w:rPr>
                <w:rFonts w:ascii="Times New Roman" w:cs="Times New Roman" w:eastAsia="Times New Roman" w:hAnsi="Times New Roman"/>
                <w:sz w:val="29"/>
                <w:szCs w:val="29"/>
                <w:b w:val="1"/>
                <w:bCs w:val="1"/>
                <w:color w:val="auto"/>
                <w:w w:val="98"/>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business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VIEs, net of cash</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(21,208)</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termination of PPA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35"/>
        </w:trPr>
        <w:tc>
          <w:tcPr>
            <w:tcW w:w="732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jc w:val="right"/>
              <w:ind w:right="10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jc w:val="right"/>
              <w:ind w:right="8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75"/>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tcPr>
          <w:p>
            <w:pPr>
              <w:jc w:val="right"/>
              <w:ind w:right="167"/>
              <w:spacing w:after="0" w:line="68" w:lineRule="exact"/>
              <w:rPr>
                <w:sz w:val="20"/>
                <w:szCs w:val="20"/>
                <w:color w:val="auto"/>
              </w:rPr>
            </w:pPr>
            <w:r>
              <w:rPr>
                <w:rFonts w:ascii="Times New Roman" w:cs="Times New Roman" w:eastAsia="Times New Roman" w:hAnsi="Times New Roman"/>
                <w:sz w:val="7"/>
                <w:szCs w:val="7"/>
                <w:color w:val="auto"/>
              </w:rPr>
              <w:t>(117,204</w:t>
            </w:r>
          </w:p>
        </w:tc>
        <w:tc>
          <w:tcPr>
            <w:tcW w:w="240" w:type="dxa"/>
            <w:vAlign w:val="bottom"/>
          </w:tcPr>
          <w:p>
            <w:pPr>
              <w:spacing w:after="0"/>
              <w:rPr>
                <w:sz w:val="6"/>
                <w:szCs w:val="6"/>
                <w:color w:val="auto"/>
              </w:rPr>
            </w:pPr>
          </w:p>
        </w:tc>
        <w:tc>
          <w:tcPr>
            <w:tcW w:w="1080" w:type="dxa"/>
            <w:vAlign w:val="bottom"/>
            <w:gridSpan w:val="2"/>
          </w:tcPr>
          <w:p>
            <w:pPr>
              <w:jc w:val="right"/>
              <w:ind w:right="147"/>
              <w:spacing w:after="0" w:line="68" w:lineRule="exact"/>
              <w:rPr>
                <w:sz w:val="20"/>
                <w:szCs w:val="20"/>
                <w:color w:val="auto"/>
              </w:rPr>
            </w:pPr>
            <w:r>
              <w:rPr>
                <w:rFonts w:ascii="Times New Roman" w:cs="Times New Roman" w:eastAsia="Times New Roman" w:hAnsi="Times New Roman"/>
                <w:sz w:val="7"/>
                <w:szCs w:val="7"/>
                <w:color w:val="auto"/>
              </w:rPr>
              <w:t>(22,179</w:t>
            </w:r>
          </w:p>
        </w:tc>
        <w:tc>
          <w:tcPr>
            <w:tcW w:w="240" w:type="dxa"/>
            <w:vAlign w:val="bottom"/>
          </w:tcPr>
          <w:p>
            <w:pPr>
              <w:spacing w:after="0"/>
              <w:rPr>
                <w:sz w:val="6"/>
                <w:szCs w:val="6"/>
                <w:color w:val="auto"/>
              </w:rPr>
            </w:pPr>
          </w:p>
        </w:tc>
        <w:tc>
          <w:tcPr>
            <w:tcW w:w="980" w:type="dxa"/>
            <w:vAlign w:val="bottom"/>
            <w:gridSpan w:val="2"/>
          </w:tcPr>
          <w:p>
            <w:pPr>
              <w:jc w:val="right"/>
              <w:ind w:right="27"/>
              <w:spacing w:after="0" w:line="68" w:lineRule="exact"/>
              <w:rPr>
                <w:sz w:val="20"/>
                <w:szCs w:val="20"/>
                <w:color w:val="auto"/>
              </w:rPr>
            </w:pPr>
            <w:r>
              <w:rPr>
                <w:rFonts w:ascii="Times New Roman" w:cs="Times New Roman" w:eastAsia="Times New Roman" w:hAnsi="Times New Roman"/>
                <w:sz w:val="7"/>
                <w:szCs w:val="7"/>
                <w:color w:val="auto"/>
              </w:rPr>
              <w:t>(29,848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 – affiliate</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15,679</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and long-term debt,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(3,607)</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Senior secured facility –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(4,901)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Senior secured facility – working capital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(5,182)</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Trustar revolver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21,579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7,804</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16,639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 related party</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13,361</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member</w:t>
            </w:r>
          </w:p>
        </w:tc>
        <w:tc>
          <w:tcPr>
            <w:tcW w:w="240" w:type="dxa"/>
            <w:vAlign w:val="bottom"/>
          </w:tcPr>
          <w:p>
            <w:pPr>
              <w:spacing w:after="0"/>
              <w:rPr>
                <w:sz w:val="20"/>
                <w:szCs w:val="20"/>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7,531</w:t>
            </w:r>
          </w:p>
        </w:tc>
        <w:tc>
          <w:tcPr>
            <w:tcW w:w="240" w:type="dxa"/>
            <w:vAlign w:val="bottom"/>
          </w:tcPr>
          <w:p>
            <w:pPr>
              <w:spacing w:after="0"/>
              <w:rPr>
                <w:sz w:val="20"/>
                <w:szCs w:val="20"/>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15,128</w:t>
            </w:r>
          </w:p>
        </w:tc>
        <w:tc>
          <w:tcPr>
            <w:tcW w:w="240" w:type="dxa"/>
            <w:vAlign w:val="bottom"/>
          </w:tcPr>
          <w:p>
            <w:pPr>
              <w:spacing w:after="0"/>
              <w:rPr>
                <w:sz w:val="20"/>
                <w:szCs w:val="20"/>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13,827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$756 and $0 capitalized,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4,339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payable related to business acquisition, excluding paid-in-kind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55,410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Accrued capital expenses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of debt to Parent Company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OPAL Fuels LLC (including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color w:val="auto"/>
        </w:rPr>
        <w:t>“CNG”</w:t>
      </w:r>
      <w:r>
        <w:rPr>
          <w:rFonts w:ascii="Times New Roman" w:cs="Times New Roman" w:eastAsia="Times New Roman" w:hAnsi="Times New Roman"/>
          <w:sz w:val="18"/>
          <w:szCs w:val="18"/>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which, in turn, is an indirect subsidiary of Fortistar LLC (the </w:t>
      </w:r>
      <w:r>
        <w:rPr>
          <w:rFonts w:ascii="Times New Roman" w:cs="Times New Roman" w:eastAsia="Times New Roman" w:hAnsi="Times New Roman"/>
          <w:sz w:val="18"/>
          <w:szCs w:val="18"/>
          <w:b w:val="1"/>
          <w:b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the Company amended its limited liability agreement (“LLCA”) which converted the outstanding membership interests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986 common units. Therefore, the earnings per unit has been presented retrospectively for all periods presented in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 as of December 31, 2021 was $42,054, out of which $2,740 is restricted.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$94,988 of our outstanding debt excluding interest repayment due on Sunoma loan coming due in 2022 which is reflected in our working capital deficit of $55,141.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our projected capital expenditures to fund our growth plans.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80" w:lineRule="exact"/>
        <w:rPr>
          <w:sz w:val="20"/>
          <w:szCs w:val="20"/>
          <w:color w:val="auto"/>
        </w:rPr>
      </w:pPr>
    </w:p>
    <w:p>
      <w:pPr>
        <w:jc w:val="both"/>
        <w:ind w:left="660" w:hanging="328"/>
        <w:spacing w:after="0" w:line="258"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83" w:lineRule="exact"/>
        <w:rPr>
          <w:sz w:val="20"/>
          <w:szCs w:val="20"/>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projected revenues for 2022 are already under existing fixed contract arrangements.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ability to postpone our uncommitted capital expenditures without significantly impacting our revenue generation capabilities for the upcoming 12 months from the date of the financial statements are issued.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would be able to pay the debt coming due in 2022 with the availability under the existing facilities together with the cash on hand and cash flows from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Restatements of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commodity swap contracts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required the Company to record mark to market unrealized gain (loss) in its consolidated statements of operations and a corresponding asset or liability for the remaining contract period on the consolidated balance sheets as of and for the years ended December 31, 2020, 2019 and 2018.</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taxes collected on behalf of customers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recording of invoices in the wrong period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tables shows the effect of the restatement on each affected financial statement line item: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51,205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76,192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(25,396)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637"/>
        </w:trPr>
        <w:tc>
          <w:tcPr>
            <w:tcW w:w="4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F-88</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2020</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117,706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135,542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(17,836)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(25,371)</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55,682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119,702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115,207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114,747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432"/>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tc>
      </w:tr>
      <w:tr>
        <w:trPr>
          <w:trHeight w:val="452"/>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655"/>
        </w:trPr>
        <w:tc>
          <w:tcPr>
            <w:tcW w:w="4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F-89</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3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29"/>
                <w:szCs w:val="29"/>
                <w:b w:val="1"/>
                <w:bCs w:val="1"/>
                <w:color w:val="auto"/>
                <w:vertAlign w:val="superscript"/>
              </w:rPr>
              <w:t>(1)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3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16"/>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(1) Includes $3,078 adjustment to opening retained earnings as of December 31, 2018.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4"/>
                <w:szCs w:val="24"/>
                <w:color w:val="auto"/>
              </w:rPr>
            </w:pPr>
          </w:p>
        </w:tc>
        <w:tc>
          <w:tcPr>
            <w:tcW w:w="3660" w:type="dxa"/>
            <w:vAlign w:val="bottom"/>
            <w:gridSpan w:val="7"/>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Restated</w:t>
            </w:r>
            <w:r>
              <w:rPr>
                <w:rFonts w:ascii="Times New Roman" w:cs="Times New Roman" w:eastAsia="Times New Roman" w:hAnsi="Times New Roman"/>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also includes $3,300 included in the Supplementary cash flow information as accrued expenses for purchase of Plant, property and equipment.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 DISCLOSURE ON THE BALANCE SHEET (in parenthesis)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F-90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2020-06, </w:t>
      </w:r>
      <w:r>
        <w:rPr>
          <w:rFonts w:ascii="Times New Roman" w:cs="Times New Roman" w:eastAsia="Times New Roman" w:hAnsi="Times New Roman"/>
          <w:sz w:val="18"/>
          <w:szCs w:val="18"/>
          <w:i w:val="1"/>
          <w:iCs w:val="1"/>
          <w:color w:val="auto"/>
        </w:rPr>
        <w: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and Derivatives and Hedging — Contracts in Entity’s Own Equity </w:t>
      </w:r>
      <w:r>
        <w:rPr>
          <w:rFonts w:ascii="Times New Roman" w:cs="Times New Roman" w:eastAsia="Times New Roman" w:hAnsi="Times New Roman"/>
          <w:sz w:val="18"/>
          <w:szCs w:val="18"/>
          <w:color w:val="auto"/>
        </w:rPr>
        <w:t>which simplified the accounting for convertible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was effective 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modified the disclosure requirements on fair value measurements. 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simplified the test for goodwill impairment. Neither of these standards have a significant impact on the Company.</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subject to certain exceptions. ASU 2018-07 expands the scope of ASC Topic 718, Compensation-Stock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held as collateral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 – 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Awards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Ultimate Parent granted equity-based awards to employees in 2020 and 2019 in the form of residual equity interests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Profits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new awards granted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8"/>
          <w:szCs w:val="18"/>
          <w:i w:val="1"/>
          <w:iCs w:val="1"/>
          <w:color w:val="auto"/>
        </w:rPr>
        <w:t>Intangibles — Goodwill and Other (Topic 350): Testing Goodwill for Impairment.</w:t>
      </w:r>
      <w:r>
        <w:rPr>
          <w:rFonts w:ascii="Times New Roman" w:cs="Times New Roman" w:eastAsia="Times New Roman" w:hAnsi="Times New Roman"/>
          <w:sz w:val="18"/>
          <w:szCs w:val="18"/>
          <w:color w:val="auto"/>
        </w:rPr>
        <w:t xml:space="preserve"> Under this guidance, the Company performed qualitative test for goodwill on Beacon and 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costs are expensed as incurred. Shipping and handling costs are included in cost of sales and were $1,431, $1,001, and $1,005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are accounted for in selling, general and administrative expense and were $455, $528, and $281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and Note 12, Derivative Financial Instruments for additional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Units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asset retirement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changes in the asset retirement obligations were as follows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MMBtu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MWhs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produced at that site. This revenue is recognized when LFG is collected, and electricity is delivered.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product line and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(Restated)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(Restated)</w:t>
            </w: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Electricity sales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40,259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CEEFF"/>
            </w:tcBorders>
          </w:tcPr>
          <w:p>
            <w:pPr>
              <w:spacing w:after="0"/>
              <w:rPr>
                <w:sz w:val="18"/>
                <w:szCs w:val="18"/>
                <w:color w:val="auto"/>
              </w:rPr>
            </w:pPr>
          </w:p>
        </w:tc>
      </w:tr>
      <w:tr>
        <w:trPr>
          <w:trHeight w:val="290"/>
        </w:trPr>
        <w:tc>
          <w:tcPr>
            <w:tcW w:w="73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29"/>
                <w:szCs w:val="29"/>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166,124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117,706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119,702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28.9%, 42.5% and 43.6%, respectively, of revenue was recognized over time, and the remainder was for products and services transferred at a point in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receivables, contract assets and contract liabilities from contracts with customers: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Fiscal Years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retainage,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Billings in excess of cost and estimated earnings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25,391</w:t>
        <w:tab/>
        <w:t>$</w:t>
      </w:r>
      <w:r>
        <w:rPr>
          <w:sz w:val="20"/>
          <w:szCs w:val="20"/>
          <w:color w:val="auto"/>
        </w:rPr>
        <w:tab/>
      </w:r>
      <w:r>
        <w:rPr>
          <w:rFonts w:ascii="Times New Roman" w:cs="Times New Roman" w:eastAsia="Times New Roman" w:hAnsi="Times New Roman"/>
          <w:sz w:val="18"/>
          <w:szCs w:val="18"/>
          <w:color w:val="auto"/>
        </w:rPr>
        <w:t>22,002</w:t>
      </w:r>
    </w:p>
    <w:p>
      <w:pPr>
        <w:spacing w:after="0" w:line="252"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5,989</w:t>
      </w:r>
      <w:r>
        <w:rPr>
          <w:sz w:val="20"/>
          <w:szCs w:val="20"/>
          <w:color w:val="auto"/>
        </w:rPr>
        <w:tab/>
      </w:r>
      <w:r>
        <w:rPr>
          <w:rFonts w:ascii="Times New Roman" w:cs="Times New Roman" w:eastAsia="Times New Roman" w:hAnsi="Times New Roman"/>
          <w:sz w:val="18"/>
          <w:szCs w:val="18"/>
          <w:color w:val="auto"/>
        </w:rPr>
        <w:t>2,903</w:t>
      </w:r>
    </w:p>
    <w:p>
      <w:pPr>
        <w:spacing w:after="0" w:line="2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2,495</w:t>
      </w:r>
      <w:r>
        <w:rPr>
          <w:sz w:val="20"/>
          <w:szCs w:val="20"/>
          <w:color w:val="auto"/>
        </w:rPr>
        <w:tab/>
      </w:r>
      <w:r>
        <w:rPr>
          <w:rFonts w:ascii="Times New Roman" w:cs="Times New Roman" w:eastAsia="Times New Roman" w:hAnsi="Times New Roman"/>
          <w:sz w:val="18"/>
          <w:szCs w:val="18"/>
          <w:color w:val="auto"/>
        </w:rPr>
        <w:t>2,621</w:t>
      </w:r>
    </w:p>
    <w:p>
      <w:pPr>
        <w:spacing w:after="0" w:line="31"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8,484</w:t>
      </w:r>
      <w:r>
        <w:rPr>
          <w:sz w:val="20"/>
          <w:szCs w:val="20"/>
          <w:color w:val="auto"/>
        </w:rPr>
        <w:tab/>
      </w:r>
      <w:r>
        <w:rPr>
          <w:rFonts w:ascii="Times New Roman" w:cs="Times New Roman" w:eastAsia="Times New Roman" w:hAnsi="Times New Roman"/>
          <w:sz w:val="18"/>
          <w:szCs w:val="18"/>
          <w:color w:val="auto"/>
        </w:rPr>
        <w:t>5,524</w:t>
      </w:r>
    </w:p>
    <w:p>
      <w:pPr>
        <w:spacing w:after="0" w:line="293"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9,785</w:t>
        <w:tab/>
        <w:t>$</w:t>
      </w:r>
      <w:r>
        <w:rPr>
          <w:sz w:val="20"/>
          <w:szCs w:val="20"/>
          <w:color w:val="auto"/>
        </w:rPr>
        <w:tab/>
      </w:r>
      <w:r>
        <w:rPr>
          <w:rFonts w:ascii="Times New Roman" w:cs="Times New Roman" w:eastAsia="Times New Roman" w:hAnsi="Times New Roman"/>
          <w:sz w:val="18"/>
          <w:szCs w:val="18"/>
          <w:color w:val="auto"/>
        </w:rPr>
        <w:t>4,678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color w:val="auto"/>
        </w:rPr>
        <w:t>“backlog”</w:t>
      </w:r>
      <w:r>
        <w:rPr>
          <w:rFonts w:ascii="Times New Roman" w:cs="Times New Roman" w:eastAsia="Times New Roman" w:hAnsi="Times New Roman"/>
          <w:sz w:val="18"/>
          <w:szCs w:val="18"/>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intersegment sales and transfers as if these sales and transfers were to third parties at current market prices.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Income (Loss)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ASC 820 regarding fair value measurements which establishes a three-tier fair value hierarchy and prioritizes the inputs used in valuation techniques that measure fair value. These tiers include: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2021 or December 31, 2020.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set forth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7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992</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58,710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 contracts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382</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637"/>
        </w:trPr>
        <w:tc>
          <w:tcPr>
            <w:tcW w:w="5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F-104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Fair value as of December 31, 2020 (Restated)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8"/>
                <w:szCs w:val="18"/>
                <w:color w:val="auto"/>
              </w:rPr>
            </w:pP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2,785</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Commodity swap contracts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right="2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9040" w:firstLine="8"/>
        <w:spacing w:after="0" w:line="530" w:lineRule="auto"/>
        <w:tabs>
          <w:tab w:leader="none" w:pos="18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Operations Power Purchase Agreements</w:t>
      </w:r>
    </w:p>
    <w:p>
      <w:pPr>
        <w:spacing w:after="0" w:line="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The Company has PPAs with utilities to sell electricity and receive capacity and energy payments. The PPAs expire from 2022 to 2036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Energy Credits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Purchase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Company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Acquisition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55,410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previously held equity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net identifiable assets acquired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50,726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(4,196)</w:t>
            </w:r>
          </w:p>
        </w:tc>
      </w:tr>
      <w:tr>
        <w:trPr>
          <w:trHeight w:val="210"/>
        </w:trPr>
        <w:tc>
          <w:tcPr>
            <w:tcW w:w="100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identifiable net assets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99,479</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note as of December 31, 2021 is $58,710. Refer to Note 10, Borrowings, for additional information.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45"/>
        </w:trPr>
        <w:tc>
          <w:tcPr>
            <w:tcW w:w="8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5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63"/>
        </w:trPr>
        <w:tc>
          <w:tcPr>
            <w:tcW w:w="85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9"/>
                <w:szCs w:val="29"/>
                <w:color w:val="auto"/>
                <w:w w:val="96"/>
                <w:vertAlign w:val="superscript"/>
              </w:rPr>
              <w:t>(1)</w:t>
            </w:r>
          </w:p>
        </w:tc>
        <w:tc>
          <w:tcPr>
            <w:tcW w:w="100" w:type="dxa"/>
            <w:vAlign w:val="bottom"/>
            <w:tcBorders>
              <w:bottom w:val="single" w:sz="8" w:color="CCEEFF"/>
            </w:tcBorders>
          </w:tcPr>
          <w:p>
            <w:pPr>
              <w:spacing w:after="0"/>
              <w:rPr>
                <w:sz w:val="22"/>
                <w:szCs w:val="2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132,745</w:t>
            </w:r>
          </w:p>
        </w:tc>
        <w:tc>
          <w:tcPr>
            <w:tcW w:w="100" w:type="dxa"/>
            <w:vAlign w:val="bottom"/>
            <w:shd w:val="clear" w:color="auto" w:fill="CCEEFF"/>
          </w:tcPr>
          <w:p>
            <w:pPr>
              <w:spacing w:after="0"/>
              <w:rPr>
                <w:sz w:val="18"/>
                <w:szCs w:val="18"/>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Other Entities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method investments as of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40" w:type="dxa"/>
            <w:vAlign w:val="bottom"/>
          </w:tcPr>
          <w:p>
            <w:pPr>
              <w:spacing w:after="0"/>
              <w:rPr>
                <w:sz w:val="21"/>
                <w:szCs w:val="21"/>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Pine Bend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GREP</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in other entities</w:t>
            </w: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on equity method investments, net reported in the Company’s consolidated statements of operations consisted of the following for the years ended December 31, 2021,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right"/>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 before amortization of basis difference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on equity method investments,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Beacon Step Acquisition</w:t>
      </w:r>
    </w:p>
    <w:p>
      <w:pPr>
        <w:spacing w:after="0" w:line="2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 xml:space="preserve">As detailed in Note 5,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Deconsolidation of Pine Bend and Noble Road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the Company remeasured the fair value of the retained investment and recognized a gain of $3,145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$11,880 on Noble Road in its consolidated statement of operations for the year ended December 31, 2021 and a corresponding increase in its basis in </w:t>
      </w:r>
      <w:r>
        <w:rPr>
          <w:rFonts w:ascii="Times New Roman" w:cs="Times New Roman" w:eastAsia="Times New Roman" w:hAnsi="Times New Roman"/>
          <w:sz w:val="18"/>
          <w:szCs w:val="18"/>
          <w:i w:val="1"/>
          <w:iCs w:val="1"/>
          <w:color w:val="auto"/>
        </w:rPr>
        <w:t xml:space="preserve">Investment in other entities </w:t>
      </w:r>
      <w:r>
        <w:rPr>
          <w:rFonts w:ascii="Times New Roman" w:cs="Times New Roman" w:eastAsia="Times New Roman" w:hAnsi="Times New Roman"/>
          <w:sz w:val="18"/>
          <w:szCs w:val="18"/>
          <w:color w:val="auto"/>
        </w:rPr>
        <w:t>on its consolidated balance sheet as of December 31, 2021. The fair value of the retained investment was measured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cash flows model in which the future net cash flows from the two RNG facilities were discounted to their present value using a discount factor of 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1" w:name="page252"/>
    <w:bookmarkEnd w:id="251"/>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carrying value of assets and liabilities of the two entities at the time of their deconsolidation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deconsolidated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Reynold RNG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21,208</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44,250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(4,235)</w:t>
      </w:r>
    </w:p>
    <w:p>
      <w:pPr>
        <w:spacing w:after="0" w:line="58" w:lineRule="exact"/>
        <w:rPr>
          <w:sz w:val="20"/>
          <w:szCs w:val="20"/>
          <w:color w:val="auto"/>
        </w:rPr>
      </w:pPr>
    </w:p>
    <w:p>
      <w:pPr>
        <w:ind w:left="620" w:hanging="615"/>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$9,200 and Note receivable — variable fee component of $1,656 have been recorded as a long term assets on its consolidated balance sheet as of December 31,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50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58,232</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57,781</w:t>
            </w:r>
          </w:p>
        </w:tc>
      </w:tr>
      <w:tr>
        <w:trPr>
          <w:trHeight w:val="655"/>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F-109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income (loss) attributable to the Company from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Plant and equipment</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w:t>
            </w:r>
          </w:p>
        </w:tc>
        <w:tc>
          <w:tcPr>
            <w:tcW w:w="8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27,892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150,559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3"/>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0" w:type="dxa"/>
            <w:vAlign w:val="bottom"/>
            <w:tcBorders>
              <w:bottom w:val="single" w:sz="8" w:color="auto"/>
            </w:tcBorders>
          </w:tcPr>
          <w:p>
            <w:pPr>
              <w:spacing w:after="0"/>
              <w:rPr>
                <w:sz w:val="24"/>
                <w:szCs w:val="24"/>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43"/>
        </w:trPr>
        <w:tc>
          <w:tcPr>
            <w:tcW w:w="5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Power purchase agreements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8,999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(6,986)</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5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Transmission/distribution interconnection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22"/>
                <w:szCs w:val="22"/>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 of accelerated amortization of the power purchase agreement associated with the renewable power generating facility to be abandoned in June 2023.</w:t>
      </w:r>
    </w:p>
    <w:p>
      <w:pPr>
        <w:ind w:left="340" w:right="20" w:hanging="332"/>
        <w:spacing w:after="0" w:line="260"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400" w:type="dxa"/>
            <w:vAlign w:val="bottom"/>
            <w:tcBorders>
              <w:bottom w:val="single" w:sz="8" w:color="auto"/>
            </w:tcBorders>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2021, 2020 and 2019 was $577, $555, and $613, respectively. At December 31, 2021, estimated future amortization expense for intangible assets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20"/>
                <w:szCs w:val="20"/>
                <w:color w:val="auto"/>
              </w:rPr>
            </w:pPr>
          </w:p>
        </w:tc>
      </w:tr>
      <w:tr>
        <w:trPr>
          <w:trHeight w:val="250"/>
        </w:trPr>
        <w:tc>
          <w:tcPr>
            <w:tcW w:w="9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additions during the year</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51,155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420" w:right="3560" w:hanging="5412"/>
        <w:spacing w:after="0" w:line="783" w:lineRule="auto"/>
        <w:tabs>
          <w:tab w:leader="none" w:pos="3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relates to the step acquisition of Beacon. See Note 5, Acquisition, for additional information. 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18"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Senior secured credit facility, term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OPAL term loan, net of debt discount and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borrowings total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134,083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90,504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OPAL term</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40" w:type="dxa"/>
            <w:vAlign w:val="bottom"/>
          </w:tcPr>
          <w:p>
            <w:pPr>
              <w:spacing w:after="0"/>
              <w:rPr>
                <w:sz w:val="21"/>
                <w:szCs w:val="21"/>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2022</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13,425</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2023</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w:t>
            </w:r>
          </w:p>
        </w:tc>
      </w:tr>
      <w:tr>
        <w:trPr>
          <w:trHeight w:val="216"/>
        </w:trPr>
        <w:tc>
          <w:tcPr>
            <w:tcW w:w="462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16,110</w:t>
            </w:r>
          </w:p>
        </w:tc>
      </w:tr>
      <w:tr>
        <w:trPr>
          <w:trHeight w:val="230"/>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29,355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88,065</w:t>
            </w:r>
          </w:p>
        </w:tc>
      </w:tr>
      <w:tr>
        <w:trPr>
          <w:trHeight w:val="27"/>
        </w:trPr>
        <w:tc>
          <w:tcPr>
            <w:tcW w:w="46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81,369</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75,000</w:t>
            </w: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215,357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this credit facility had an interest rate of 1.0% plus one month LIBOR.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agreement are secured by the assets of Sunoma.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significant assets of Sunoma are parenthesized in the consolidated balance sheets as December 31, 2021 and December 31, 2020. Refer to Note 16 Variable Interest Entities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Affiliate and Line of Credit from Affiliate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interest rate on TruStar Revolver Credit Facility including a margin plus LIBOR was 1.52%.</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paid-in-kind interest rate on Convertible note payable was 8%. The change in fair value of the Note recorded as interest expense between May 1, 2021 and December 31, 2021 was $3,300.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 December 31, 2021, the interest rate on OPAL term loan was 4% and commitment fees of 0.5% on the undrawn portion of the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effective interest rate including the amortization of debt issuance costs for this period was 4.9%.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interest rate on Municipality Loan was 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Municipality Loan was 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2020, the weighted average interest rate on Line of Credit and Loan from Affiliate was 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Municipality Loan was 3.0%.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Line of Credit and Loan from Affiliate was 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credit/Loan from Affiliate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on Senior secured facility is presented net of patronage dividends received of $628, $136 and $131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36"/>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0"/>
                <w:szCs w:val="20"/>
                <w:color w:val="auto"/>
              </w:rPr>
            </w:pPr>
          </w:p>
        </w:tc>
      </w:tr>
      <w:tr>
        <w:trPr>
          <w:trHeight w:val="250"/>
        </w:trPr>
        <w:tc>
          <w:tcPr>
            <w:tcW w:w="9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$1,098, $1,242 and $1,464, in 2021,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right="8360" w:hanging="332"/>
        <w:spacing w:after="0" w:line="503" w:lineRule="auto"/>
        <w:tabs>
          <w:tab w:leader="none" w:pos="3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i w:val="1"/>
          <w:iCs w:val="1"/>
          <w:color w:val="auto"/>
        </w:rPr>
        <w:t>Interest rate swaps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balance sheet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232"/>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Recognized</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rate swaps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(1,689)</w:t>
            </w: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net of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(1,096)  Derivative financial liability, non-current portion</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interest rate swaps on our consolidated statement of operations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(Loss) Gain Recognized in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0" w:type="dxa"/>
            <w:vAlign w:val="bottom"/>
          </w:tcPr>
          <w:p>
            <w:pPr>
              <w:spacing w:after="0"/>
              <w:rPr>
                <w:sz w:val="1"/>
                <w:szCs w:val="1"/>
                <w:color w:val="auto"/>
              </w:rPr>
            </w:pPr>
          </w:p>
        </w:tc>
      </w:tr>
      <w:tr>
        <w:trPr>
          <w:trHeight w:val="272"/>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9"/>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Operations from interest rate swaps</w:t>
            </w:r>
          </w:p>
        </w:tc>
        <w:tc>
          <w:tcPr>
            <w:tcW w:w="8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 Recognized in Operations</w:t>
            </w: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Derivatives</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3"/>
              </w:rPr>
              <w:t>(1,050)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185</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(2,197</w:t>
            </w:r>
          </w:p>
        </w:tc>
        <w:tc>
          <w:tcPr>
            <w:tcW w:w="14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8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Presented in the</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44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8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 year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 to</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30,2022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2020</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43,860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 2021</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2022</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commodity swaps on the consolidated statements of operations for the years ended December 31, 2021,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Fiscal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Location of (loss) gain recognized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9"/>
                <w:szCs w:val="29"/>
                <w:color w:val="auto"/>
                <w:w w:val="95"/>
                <w:vertAlign w:val="superscript"/>
              </w:rPr>
              <w:t>(1)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w w:val="93"/>
              </w:rPr>
              <w:t>(Restated)</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 gain</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unrealized(loss) gain</w:t>
            </w:r>
          </w:p>
        </w:tc>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2"/>
            <w:vMerge w:val="continue"/>
            <w:shd w:val="clear" w:color="auto" w:fill="CCEEFF"/>
          </w:tcPr>
          <w:p>
            <w:pPr>
              <w:spacing w:after="0"/>
              <w:rPr>
                <w:sz w:val="21"/>
                <w:szCs w:val="21"/>
                <w:color w:val="auto"/>
              </w:rPr>
            </w:pPr>
          </w:p>
        </w:tc>
        <w:tc>
          <w:tcPr>
            <w:tcW w:w="258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28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for the years ended December 31, 2020 and 2019 were restated to record unrealized loss of $1,176 and $373, respectively. Please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derivative assets and liabilities related to commodity swaps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59"/>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Recognized</w:t>
            </w: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r>
      <w:tr>
        <w:trPr>
          <w:trHeight w:val="237"/>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on commodity swaps, net of current portion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non-current</w:t>
            </w: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 2021, 2020 and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distributed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under the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yet</w:t>
            </w:r>
          </w:p>
        </w:tc>
      </w:tr>
      <w:tr>
        <w:trPr>
          <w:trHeight w:val="245"/>
        </w:trPr>
        <w:tc>
          <w:tcPr>
            <w:tcW w:w="4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letters</w:t>
            </w: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fulfilled</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 RNG</w:t>
            </w:r>
          </w:p>
        </w:tc>
        <w:tc>
          <w:tcPr>
            <w:tcW w:w="308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Pine Bend RNG</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River RNG</w:t>
            </w:r>
          </w:p>
        </w:tc>
        <w:tc>
          <w:tcPr>
            <w:tcW w:w="2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shd w:val="clear" w:color="auto" w:fill="CCEEFF"/>
          </w:tcPr>
          <w:p>
            <w:pPr>
              <w:spacing w:after="0"/>
              <w:rPr>
                <w:sz w:val="19"/>
                <w:szCs w:val="19"/>
                <w:color w:val="auto"/>
              </w:rPr>
            </w:pPr>
          </w:p>
        </w:tc>
      </w:tr>
      <w:tr>
        <w:trPr>
          <w:trHeight w:val="27"/>
        </w:trPr>
        <w:tc>
          <w:tcPr>
            <w:tcW w:w="43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360" w:type="dxa"/>
            <w:vAlign w:val="bottom"/>
          </w:tcPr>
          <w:p>
            <w:pPr>
              <w:spacing w:after="0"/>
              <w:rPr>
                <w:sz w:val="21"/>
                <w:szCs w:val="21"/>
                <w:color w:val="auto"/>
              </w:rPr>
            </w:pPr>
          </w:p>
        </w:tc>
        <w:tc>
          <w:tcPr>
            <w:tcW w:w="30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our Selling, general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services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Guaranty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processing fees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20" w:type="dxa"/>
            <w:vAlign w:val="bottom"/>
            <w:gridSpan w:val="2"/>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six operating segments based on the characteristics of its Renewable Power generation and dispensing portfolio and the nature of other products and services:</w:t>
      </w:r>
    </w:p>
    <w:p>
      <w:pPr>
        <w:spacing w:after="0" w:line="158" w:lineRule="exact"/>
        <w:rPr>
          <w:sz w:val="20"/>
          <w:szCs w:val="20"/>
          <w:color w:val="auto"/>
        </w:rPr>
      </w:pPr>
    </w:p>
    <w:p>
      <w:pPr>
        <w:ind w:left="660" w:hanging="328"/>
        <w:spacing w:after="0" w:line="28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3 Portfolio. </w:t>
      </w:r>
      <w:r>
        <w:rPr>
          <w:rFonts w:ascii="Times New Roman" w:cs="Times New Roman" w:eastAsia="Times New Roman" w:hAnsi="Times New Roman"/>
          <w:sz w:val="18"/>
          <w:szCs w:val="18"/>
          <w:color w:val="auto"/>
        </w:rPr>
        <w:t>The Renewable Power 3 (“RP3”)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primarily located in Southern California. RP3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4 Portfolio. </w:t>
      </w:r>
      <w:r>
        <w:rPr>
          <w:rFonts w:ascii="Times New Roman" w:cs="Times New Roman" w:eastAsia="Times New Roman" w:hAnsi="Times New Roman"/>
          <w:sz w:val="18"/>
          <w:szCs w:val="18"/>
          <w:color w:val="auto"/>
        </w:rPr>
        <w:t>The Renewable Power 4 (“RP4”)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RP4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Supply. </w:t>
      </w:r>
      <w:r>
        <w:rPr>
          <w:rFonts w:ascii="Times New Roman" w:cs="Times New Roman" w:eastAsia="Times New Roman" w:hAnsi="Times New Roman"/>
          <w:sz w:val="18"/>
          <w:szCs w:val="18"/>
          <w:color w:val="auto"/>
        </w:rPr>
        <w:t>The RNG Fuel portfolio consists of the Company’s interests in Beacon, Noble Road, Sunoma, GREP and other RNG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 under 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Reportable Segments and Geographic Information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Dispensing. </w:t>
      </w:r>
      <w:r>
        <w:rPr>
          <w:rFonts w:ascii="Times New Roman" w:cs="Times New Roman" w:eastAsia="Times New Roman" w:hAnsi="Times New Roman"/>
          <w:sz w:val="18"/>
          <w:szCs w:val="18"/>
          <w:color w:val="auto"/>
        </w:rPr>
        <w:t>The Company owns and operates CNG fueling stations that are strategically located to supply fuel to third-party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fleets throughout the United States. CNG Fueling Operations also supplies CNG vehicle fuel to stations owned by third parties.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Construction Services.  </w:t>
      </w:r>
      <w:r>
        <w:rPr>
          <w:rFonts w:ascii="Times New Roman" w:cs="Times New Roman" w:eastAsia="Times New Roman" w:hAnsi="Times New Roman"/>
          <w:sz w:val="18"/>
          <w:szCs w:val="18"/>
          <w:color w:val="auto"/>
        </w:rPr>
        <w:t>The Company also provides design and construction services to third parties for vehicle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40,567</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 Renewable Power 3 and RNG Fuel Dispensing segments have been restated. Please see Note 2 Restatement of financial statements for additional information.</w:t>
      </w: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revenues of Fortistar Contracting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Financing Expense,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23"/>
                <w:szCs w:val="23"/>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interest expense associated with RNG Fuel Dispensing, Fuel Construction Services, and Fuel Station Services, as the Company does not maintain segment-level records for these balances.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8,031</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amortization of intangible assets and depreciation expense not allocated to any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61"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Renewable Power 3 segment has been restated to record unrealized losses on commodity swap contracts. Please see Note 2 Restatement of financial statements for additional information.</w:t>
      </w:r>
    </w:p>
    <w:p>
      <w:pPr>
        <w:ind w:left="340" w:hanging="332"/>
        <w:spacing w:after="0" w:line="26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26,238</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98,502</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59,671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for additional information.</w:t>
      </w:r>
    </w:p>
    <w:p>
      <w:pPr>
        <w:ind w:left="340" w:hanging="332"/>
        <w:spacing w:after="0" w:line="260"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total assets associated with Fortistar Contracting LLC, RNG Fuel Dispensing, Fuel Construction Services, and Fuel Station Services, as the Company does not maintain segment-level records for these 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Purchases of Property, Plant and Equipment: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2280" w:val="left"/>
        </w:tabs>
        <w:rPr>
          <w:sz w:val="20"/>
          <w:szCs w:val="20"/>
          <w:color w:val="auto"/>
        </w:rPr>
      </w:pPr>
      <w:r>
        <w:rPr>
          <w:rFonts w:ascii="Times New Roman" w:cs="Times New Roman" w:eastAsia="Times New Roman" w:hAnsi="Times New Roman"/>
          <w:sz w:val="18"/>
          <w:szCs w:val="18"/>
          <w:color w:val="auto"/>
        </w:rPr>
        <w:t>Geographic Information:</w:t>
      </w:r>
      <w:r>
        <w:rPr>
          <w:sz w:val="20"/>
          <w:szCs w:val="20"/>
          <w:color w:val="auto"/>
        </w:rPr>
        <w:tab/>
      </w:r>
      <w:r>
        <w:rPr>
          <w:rFonts w:ascii="Times New Roman" w:cs="Times New Roman" w:eastAsia="Times New Roman" w:hAnsi="Times New Roman"/>
          <w:sz w:val="17"/>
          <w:szCs w:val="17"/>
          <w:color w:val="auto"/>
        </w:rPr>
        <w:t>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Profits Interests are valued at their fair value when issued and such fair value is expensed over the service vesting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Stock-Based Compensation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46% of the Profit Interests issued vested and there were 54% of Profit Interests unvested. There were no forfeitures during the year ended December 31,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25% of the Profit Interests issued vested and there were 75% of Profit Interests unvested. There were 0 forfeitures during the year ended December 31, 2020.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compensation to be recognized for the above grants as of December 31, 2021 is $1,731 and will be recognized the remaining vesting period which ranges from one to four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83" w:lineRule="exact"/>
        <w:rPr>
          <w:sz w:val="20"/>
          <w:szCs w:val="20"/>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there was no activity in Emerald and Sapphire.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8"/>
          <w:szCs w:val="18"/>
          <w:i w:val="1"/>
          <w:iCs w:val="1"/>
          <w:color w:val="auto"/>
        </w:rPr>
        <w:t>, Investments Equity Method and Joint Ventures. See Note 6, Investment in Other Entities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8"/>
          <w:szCs w:val="18"/>
          <w:i w:val="1"/>
          <w:iCs w:val="1"/>
          <w:color w:val="auto"/>
        </w:rPr>
        <w:t>Consolidation.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under construction except Sunoma and they are reported under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Fuels LLC – equity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 controlling interest in subsidiaries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right="20" w:hanging="332"/>
        <w:spacing w:after="0" w:line="284"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Redeemable Preferred Units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of membership interests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Authorization and Issuance of Common Units and Preferred Units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the December 31, 2020 to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45"/>
        </w:trPr>
        <w:tc>
          <w:tcPr>
            <w:tcW w:w="862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units</w:t>
            </w: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Hillman exchange – 300,000 Series A-1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Paid-in-kind dividends on issued and outstanding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60"/>
        <w:spacing w:after="0"/>
        <w:tabs>
          <w:tab w:leader="none" w:pos="2320" w:val="left"/>
        </w:tabs>
        <w:rPr>
          <w:sz w:val="20"/>
          <w:szCs w:val="20"/>
          <w:color w:val="auto"/>
        </w:rPr>
      </w:pPr>
      <w:r>
        <w:rPr>
          <w:rFonts w:ascii="Times New Roman" w:cs="Times New Roman" w:eastAsia="Times New Roman" w:hAnsi="Times New Roman"/>
          <w:sz w:val="18"/>
          <w:szCs w:val="18"/>
          <w:color w:val="auto"/>
        </w:rPr>
        <w:t>30,000</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880"/>
        <w:spacing w:after="0"/>
        <w:tabs>
          <w:tab w:leader="none" w:pos="23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tabs>
          <w:tab w:leader="none" w:pos="640" w:val="left"/>
          <w:tab w:leader="none" w:pos="1340" w:val="left"/>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30,210</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59448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620"/>
          </w:cols>
          <w:pgMar w:left="320" w:top="873"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Redeemable Preferred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Series A-1 preferred units to Hillman do not have any voting rights. The Series A preferred units issued to NextEra have limited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Preferred Units are entitled to receive dividends at the rate of 8% per annum. Dividends begin accruing for each unit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liquidation of the Company, each holder of a unit of Series A and Series A-1 is entitled to be paid on 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 original 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At any time after issuance, the Company may redeem the Redeemable preferred units for a price equal to original issue price of $100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Holder’s may elect to convert Preferred Units into common units in the limited chance that the Company fails to redeem the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year, and a 30% discount thereafter:</w:t>
      </w:r>
    </w:p>
    <w:p>
      <w:pPr>
        <w:spacing w:after="0" w:line="59"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if common units are publicly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VWAP of public company common shares if the common units are exchangeable into public company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units received by any holder upon conversion will be “paired” with an equivalent number of non-economic voting shares of the Company’s public registrant,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effects of changes in the Company’s ownership interest in its subsidiaries on the Members’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56"/>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OPAL Fuels LLC Member’s Equity for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OPAL Fuels LLC Member’s Equity for 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Decrease in OPAL Fuels LLC Member’s Equity for purchase of non-controlling interest</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(9,211)</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transfers (to) from non-controlling interest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184"/>
        </w:trPr>
        <w:tc>
          <w:tcPr>
            <w:tcW w:w="7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Change from net income attributable to OPAL Fuels LLC Member’s and transfers (to) from non-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35,310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(23,524</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(5,249</w:t>
            </w:r>
            <w:r>
              <w:rPr>
                <w:rFonts w:ascii="Times New Roman" w:cs="Times New Roman" w:eastAsia="Times New Roman" w:hAnsi="Times New Roman"/>
                <w:sz w:val="31"/>
                <w:szCs w:val="31"/>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262"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6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 decrease in Members’ equity relating to the Hillman exchange and $9,124 relating to redemption of non-controlling interest in one RNG project.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Income (Loss) Per Unit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1"/>
                <w:szCs w:val="2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41,363</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unit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color w:val="auto"/>
        </w:rPr>
        <w:t>Richmond</w:t>
      </w:r>
      <w:r>
        <w:rPr>
          <w:rFonts w:ascii="Times New Roman" w:cs="Times New Roman" w:eastAsia="Times New Roman" w:hAnsi="Times New Roman"/>
          <w:sz w:val="18"/>
          <w:szCs w:val="18"/>
          <w:color w:val="auto"/>
        </w:rPr>
        <w:t>”) declared a Force Majeure event under its Power Purchase Agreement with Old Dominion Electric Cooperative (“</w:t>
      </w:r>
      <w:r>
        <w:rPr>
          <w:rFonts w:ascii="Times New Roman" w:cs="Times New Roman" w:eastAsia="Times New Roman" w:hAnsi="Times New Roman"/>
          <w:sz w:val="18"/>
          <w:szCs w:val="18"/>
          <w:b w:val="1"/>
          <w:bCs w:val="1"/>
          <w:color w:val="auto"/>
        </w:rPr>
        <w:t>ODEC</w:t>
      </w:r>
      <w:r>
        <w:rPr>
          <w:rFonts w:ascii="Times New Roman" w:cs="Times New Roman" w:eastAsia="Times New Roman" w:hAnsi="Times New Roman"/>
          <w:sz w:val="18"/>
          <w:szCs w:val="18"/>
          <w:color w:val="auto"/>
        </w:rPr>
        <w:t>”), dated as of November 3, 2010 (the “</w:t>
      </w:r>
      <w:r>
        <w:rPr>
          <w:rFonts w:ascii="Times New Roman" w:cs="Times New Roman" w:eastAsia="Times New Roman" w:hAnsi="Times New Roman"/>
          <w:sz w:val="18"/>
          <w:szCs w:val="18"/>
          <w:b w:val="1"/>
          <w:bCs w:val="1"/>
          <w:color w:val="auto"/>
        </w:rPr>
        <w:t>PPA</w:t>
      </w:r>
      <w:r>
        <w:rPr>
          <w:rFonts w:ascii="Times New Roman" w:cs="Times New Roman" w:eastAsia="Times New Roman" w:hAnsi="Times New Roman"/>
          <w:sz w:val="18"/>
          <w:szCs w:val="18"/>
          <w:color w:val="auto"/>
        </w:rPr>
        <w:t>”). The Force Majeure declaration stated that inspections of its Old Dominion landfill gas-to-electric facility (the “</w:t>
      </w:r>
      <w:r>
        <w:rPr>
          <w:rFonts w:ascii="Times New Roman" w:cs="Times New Roman" w:eastAsia="Times New Roman" w:hAnsi="Times New Roman"/>
          <w:sz w:val="18"/>
          <w:szCs w:val="18"/>
          <w:b w:val="1"/>
          <w:b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On February 8, 2022, Richmond paid ODEC $467,320.74 pursuant to the Settlement Agreement; liquidated damages for calendar year 2022, if any, will be assessed by ODEC during the first quarter of 2023.</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Members of Beacon RNG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Beacon RNG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 — Related Parties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6" w:name="page277"/>
    <w:bookmarkEnd w:id="276"/>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Capital spares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equity: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695"/>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1,874</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2,502</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56,119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166</w:t>
      </w:r>
    </w:p>
    <w:p>
      <w:pPr>
        <w:spacing w:after="0" w:line="58" w:lineRule="exact"/>
        <w:rPr>
          <w:sz w:val="20"/>
          <w:szCs w:val="20"/>
          <w:color w:val="auto"/>
        </w:rPr>
      </w:pPr>
    </w:p>
    <w:p>
      <w:pPr>
        <w:ind w:left="620" w:hanging="615"/>
        <w:spacing w:after="0"/>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00" w:hanging="695"/>
        <w:spacing w:after="0"/>
        <w:tabs>
          <w:tab w:leader="none" w:pos="7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1,805</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4,196</w:t>
      </w:r>
    </w:p>
    <w:p>
      <w:pPr>
        <w:spacing w:after="0" w:line="3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6,001</w:t>
      </w:r>
    </w:p>
    <w:p>
      <w:pPr>
        <w:spacing w:after="0" w:line="36"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6,280</w:t>
      </w:r>
    </w:p>
    <w:p>
      <w:pPr>
        <w:spacing w:after="0" w:line="200" w:lineRule="exact"/>
        <w:rPr>
          <w:sz w:val="20"/>
          <w:szCs w:val="20"/>
          <w:color w:val="auto"/>
        </w:rPr>
      </w:pPr>
    </w:p>
    <w:p>
      <w:pPr>
        <w:spacing w:after="0" w:line="26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50,487</w:t>
      </w:r>
    </w:p>
    <w:p>
      <w:pPr>
        <w:spacing w:after="0" w:line="45"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w:t>
            </w:r>
          </w:p>
        </w:tc>
      </w:tr>
      <w:tr>
        <w:trPr>
          <w:trHeight w:val="210"/>
        </w:trPr>
        <w:tc>
          <w:tcPr>
            <w:tcW w:w="100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Four Months</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gas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RIN sales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12,101</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 sales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credit processing services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36"/>
        </w:trPr>
        <w:tc>
          <w:tcPr>
            <w:tcW w:w="10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April 30, 2021</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Four Months</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700" w:hanging="695"/>
        <w:spacing w:after="0"/>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5,399</w:t>
      </w:r>
    </w:p>
    <w:p>
      <w:pPr>
        <w:spacing w:after="0" w:line="2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676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2,929</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10,009</w:t>
      </w:r>
    </w:p>
    <w:p>
      <w:pPr>
        <w:spacing w:after="0" w:line="269"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76" w:lineRule="exact"/>
        <w:rPr>
          <w:sz w:val="20"/>
          <w:szCs w:val="20"/>
          <w:color w:val="auto"/>
        </w:rPr>
      </w:pPr>
    </w:p>
    <w:p>
      <w:pPr>
        <w:ind w:right="7520" w:firstLine="8"/>
        <w:spacing w:after="0" w:line="503" w:lineRule="auto"/>
        <w:tabs>
          <w:tab w:leader="none" w:pos="32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April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the Company estimated the value of its total asset retirement obligations to be $279 based on a projected future liability of $2,095.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asset retirement obligations were as follows for the periods ended April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3" w:name="page284"/>
    <w:bookmarkEnd w:id="2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one customer accounted for 92% of revenue. There were no individual customers which accounted for more than 10% of total Account Receivable as of April 30,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no vendors accounted for more than 10% of overall purchases. Six vendors accounted for 84% of the accounts payable and accrued expenses balance as of April 30,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April 30, 2021.</w:t>
      </w:r>
    </w:p>
    <w:p>
      <w:pPr>
        <w:spacing w:after="0" w:line="158" w:lineRule="exact"/>
        <w:rPr>
          <w:sz w:val="20"/>
          <w:szCs w:val="20"/>
          <w:color w:val="auto"/>
        </w:rPr>
      </w:pPr>
    </w:p>
    <w:p>
      <w:pPr>
        <w:ind w:right="8800" w:firstLine="8"/>
        <w:spacing w:after="0" w:line="503" w:lineRule="auto"/>
        <w:tabs>
          <w:tab w:leader="none" w:pos="3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H2S removal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Wellfield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Greentree membranes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Asset retirement cost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Construction-in-progress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April</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52,048</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5,117</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1,921</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62,271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(6,530)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378</w:t>
      </w:r>
    </w:p>
    <w:p>
      <w:pPr>
        <w:spacing w:after="0" w:line="58" w:lineRule="exact"/>
        <w:rPr>
          <w:sz w:val="20"/>
          <w:szCs w:val="20"/>
          <w:color w:val="auto"/>
        </w:rPr>
      </w:pPr>
    </w:p>
    <w:p>
      <w:pPr>
        <w:ind w:left="620" w:hanging="615"/>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Plant and Equipment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construction in progress consisted of costs related to the thermal oxidizer. The project was completed in December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plant and equipment for the period ending April 30, 2021 was $1,049.</w:t>
      </w:r>
    </w:p>
    <w:p>
      <w:pPr>
        <w:spacing w:after="0" w:line="203"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5" w:lineRule="exact"/>
        <w:rPr>
          <w:sz w:val="20"/>
          <w:szCs w:val="20"/>
          <w:color w:val="auto"/>
        </w:rPr>
      </w:pPr>
    </w:p>
    <w:p>
      <w:pPr>
        <w:ind w:right="8420" w:firstLine="8"/>
        <w:spacing w:after="0" w:line="503" w:lineRule="auto"/>
        <w:tabs>
          <w:tab w:leader="none" w:pos="32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 agreements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Renewable gas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Transportation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revenue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Repairs and maintenance Environmental credit processing services General and administrative Depreciation</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costs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516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March 11,</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21"/>
                <w:szCs w:val="21"/>
                <w:color w:val="auto"/>
              </w:rPr>
            </w:pPr>
          </w:p>
        </w:tc>
      </w:tr>
      <w:tr>
        <w:trPr>
          <w:trHeight w:val="41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3,450</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9,729</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60" w:type="dxa"/>
            <w:vAlign w:val="bottom"/>
          </w:tcPr>
          <w:p>
            <w:pPr>
              <w:spacing w:after="0"/>
              <w:rPr>
                <w:sz w:val="19"/>
                <w:szCs w:val="19"/>
                <w:color w:val="auto"/>
              </w:rPr>
            </w:pPr>
          </w:p>
        </w:tc>
      </w:tr>
      <w:tr>
        <w:trPr>
          <w:trHeight w:val="427"/>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-2776855</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-2502535</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-2211070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-1910715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-1637030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-1362075</wp:posOffset>
            </wp:positionV>
            <wp:extent cx="71323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-1088390</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-796290</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-496570</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-205105</wp:posOffset>
            </wp:positionV>
            <wp:extent cx="7132320" cy="180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60" w:space="360"/>
            <w:col w:w="7680"/>
          </w:cols>
          <w:pgMar w:left="320" w:top="873"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11, 2019 (inception)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March 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Beacon Landfill Gas Holdings LLC acquisition, net of cash and restricted cash acquired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62,791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4,314</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66" w:lineRule="exact"/>
        <w:rPr>
          <w:sz w:val="20"/>
          <w:szCs w:val="20"/>
          <w:color w:val="auto"/>
        </w:rPr>
      </w:pPr>
    </w:p>
    <w:p>
      <w:pPr>
        <w:ind w:right="7520" w:firstLine="8"/>
        <w:spacing w:after="0" w:line="487" w:lineRule="auto"/>
        <w:tabs>
          <w:tab w:leader="none" w:pos="32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221" w:lineRule="exact"/>
        <w:rPr>
          <w:sz w:val="20"/>
          <w:szCs w:val="20"/>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purchase price allocation was performed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acquired and the liabilities assumed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assets acquired: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56,853</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Estimated fair value of liabilities assumed or incurred: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 assumed or incurred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53,111</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72" w:lineRule="exact"/>
        <w:rPr>
          <w:sz w:val="20"/>
          <w:szCs w:val="20"/>
          <w:color w:val="auto"/>
        </w:rPr>
      </w:pPr>
    </w:p>
    <w:p>
      <w:pPr>
        <w:ind w:right="8800" w:firstLine="8"/>
        <w:spacing w:after="0" w:line="503" w:lineRule="auto"/>
        <w:tabs>
          <w:tab w:leader="none" w:pos="32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another gas marketer to sell only RNG. Under this arrangement, RNG is sold at the pipeline index price, less a fixed per MMBtu fee.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$1,268 and $259 for these royalties as of December 31, 2020 and 2019 which are included in operations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76"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Plant and equipment consisted of the following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H2S removal system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Wellfield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Pipeline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Greentree membranes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Plant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under gas sales agreement consisted of the following at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Sales Agreement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sales agreement,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income for 2020 and the period from March 11, 2019 (inception) to December 31, 2019 was $1,829 and $2,286, respectively.</w:t>
      </w:r>
    </w:p>
    <w:p>
      <w:pPr>
        <w:spacing w:after="0" w:line="221"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w:t>
      </w:r>
    </w:p>
    <w:p>
      <w:pPr>
        <w:spacing w:after="0" w:line="158" w:lineRule="exact"/>
        <w:rPr>
          <w:sz w:val="20"/>
          <w:szCs w:val="20"/>
          <w:color w:val="auto"/>
        </w:rPr>
      </w:pPr>
    </w:p>
    <w:p>
      <w:pPr>
        <w:ind w:right="8420" w:firstLine="8"/>
        <w:spacing w:after="0" w:line="503" w:lineRule="auto"/>
        <w:tabs>
          <w:tab w:leader="none" w:pos="32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OPAL FUELS INC.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181,764,740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us in connection with the issuance and distribution of the shares of common stock being registered hereby. All amounts shown are estimates except for the SEC registration fee.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Selling Holders, however, will bear all underwriting commissions and discounts, if any, attributable to their respective sales sale of the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OPAL is governed by the DGCL, as the same exists or may hereafter be amended. Section 145 of the DGCL (“</w:t>
      </w:r>
      <w:r>
        <w:rPr>
          <w:rFonts w:ascii="Times New Roman" w:cs="Times New Roman" w:eastAsia="Times New Roman" w:hAnsi="Times New Roman"/>
          <w:sz w:val="18"/>
          <w:szCs w:val="18"/>
          <w:b w:val="1"/>
          <w:bCs w:val="1"/>
          <w:i w:val="1"/>
          <w:iCs w:val="1"/>
          <w:color w:val="auto"/>
        </w:rPr>
        <w:t>Section 145</w:t>
      </w:r>
      <w:r>
        <w:rPr>
          <w:rFonts w:ascii="Times New Roman" w:cs="Times New Roman" w:eastAsia="Times New Roman" w:hAnsi="Times New Roman"/>
          <w:sz w:val="18"/>
          <w:szCs w:val="18"/>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certain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0" w:name="page301"/>
    <w:bookmarkEnd w:id="30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of OPAL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February 2, 2021, the Sponsor transferred 35,000 founder shares to each of Arno Harris, Ja-Chin Audrey Lee, Brian Goncher and Steven Berkenfeld, our independent director nominees.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being followed herewith:</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gridSpan w:val="2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1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399">
              <w:r>
                <w:rPr>
                  <w:rFonts w:ascii="Times New Roman" w:cs="Times New Roman" w:eastAsia="Times New Roman" w:hAnsi="Times New Roman"/>
                  <w:sz w:val="18"/>
                  <w:szCs w:val="18"/>
                  <w:color w:val="0000EE"/>
                </w:rPr>
                <w:t>Business Combination Agreement, dated as of December 2, 2021, by and among ArcLight, OPAL Fuels and OPAL Holdco (incorporated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EE"/>
            </w:tcBorders>
            <w:gridSpan w:val="22"/>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399">
              <w:r>
                <w:rPr>
                  <w:rFonts w:ascii="Times New Roman" w:cs="Times New Roman" w:eastAsia="Times New Roman" w:hAnsi="Times New Roman"/>
                  <w:sz w:val="18"/>
                  <w:szCs w:val="18"/>
                  <w:color w:val="0000EE"/>
                  <w:w w:val="99"/>
                </w:rPr>
                <w:t>by reference to Exhibit 2.1 of the Company’s Current Report on Form 8-K, filed with the SEC on December 3, 2021).</w:t>
              </w:r>
            </w:hyperlink>
          </w:p>
        </w:tc>
        <w:tc>
          <w:tcPr>
            <w:tcW w:w="15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Restated Certificate of Incorporation of OPAL Fuels Inc.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1">
              <w:r>
                <w:rPr>
                  <w:rFonts w:ascii="Times New Roman" w:cs="Times New Roman" w:eastAsia="Times New Roman" w:hAnsi="Times New Roman"/>
                  <w:sz w:val="18"/>
                  <w:szCs w:val="18"/>
                  <w:color w:val="0000EE"/>
                  <w:w w:val="99"/>
                </w:rPr>
                <w:t>Bylaws of OPAL Fuels Inc. (incorporated by reference to Exhibit 3.2 to the Current Report on Form 8-K filed by the Company on July 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color w:val="0000EE"/>
                </w:rPr>
                <w:t>2022)</w:t>
              </w:r>
            </w:hyperlink>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Specimen Warrant Certificate (incorporated by reference to Exhibit 4.3 to the Registration Statement on Form S-1 (File No. 333-252730)</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filed by the Registrant on March 8,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3">
              <w:r>
                <w:rPr>
                  <w:rFonts w:ascii="Times New Roman" w:cs="Times New Roman" w:eastAsia="Times New Roman" w:hAnsi="Times New Roman"/>
                  <w:sz w:val="18"/>
                  <w:szCs w:val="18"/>
                  <w:color w:val="0000EE"/>
                  <w:w w:val="99"/>
                </w:rPr>
                <w:t>Warrant Agreement between Continental Stock Transfer &amp; Trust Company and ArcLight Clean Transition Corp. II, dated March 22,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0000EE"/>
            </w:tcBorders>
            <w:gridSpan w:val="23"/>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03">
              <w:r>
                <w:rPr>
                  <w:rFonts w:ascii="Times New Roman" w:cs="Times New Roman" w:eastAsia="Times New Roman" w:hAnsi="Times New Roman"/>
                  <w:sz w:val="18"/>
                  <w:szCs w:val="18"/>
                  <w:color w:val="0000EE"/>
                  <w:w w:val="99"/>
                </w:rPr>
                <w:t>(incorporated by reference to Exhibit 4.1 to the Current Report on Form 8-K filed by the Company on March 26, 2021).</w:t>
              </w:r>
            </w:hyperlink>
          </w:p>
        </w:tc>
        <w:tc>
          <w:tcPr>
            <w:tcW w:w="136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Opinion of Sheppard, Mullin, Richter &amp; Hampton LLP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Form of OPAL Indemnification Agreement (incorporated by reference to Exhibit 10.1 to the Registration Statement on Form S-4 (File No.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333-262583), filed on May 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2022 Omnibus Equity Incentive Plan (incorporated by reference to Exhibit 10.2 to the Current Report on Form 8-K filed by the Company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Letter Agreement, dated as of March 25, 2021, by and among ArcLight CTC Holdings II, L.P., ArcLight Clean Transition Corp. II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certain other parties thereto (incorporated by referenced to Exhibit 10.4 to the Company’s Current Report on Form 8-K filed by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Registrant on March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Sponsor Letter Agreement, dated as of December 2, 2021, by and among OPAL Fuels LLC, ArcLight Clean Transition Corp. II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certain other parties thereto (incorporated by reference to incorporated by referenced to Exhibit 10.2 to the Company’s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Form 8-K filed by the Registrant on December 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9">
              <w:r>
                <w:rPr>
                  <w:rFonts w:ascii="Times New Roman" w:cs="Times New Roman" w:eastAsia="Times New Roman" w:hAnsi="Times New Roman"/>
                  <w:sz w:val="18"/>
                  <w:szCs w:val="18"/>
                  <w:color w:val="0000EE"/>
                  <w:w w:val="99"/>
                </w:rPr>
                <w:t>Form of Subscription Agreement (incorporated by reference to Exhibit 10.1 of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SEC on December 3, 2021)</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w w:val="99"/>
              </w:rPr>
            </w:pPr>
            <w:hyperlink r:id="rId410">
              <w:r>
                <w:rPr>
                  <w:rFonts w:ascii="Times New Roman" w:cs="Times New Roman" w:eastAsia="Times New Roman" w:hAnsi="Times New Roman"/>
                  <w:sz w:val="18"/>
                  <w:szCs w:val="18"/>
                  <w:color w:val="0000EE"/>
                  <w:w w:val="99"/>
                </w:rPr>
                <w:t>Form of Amendment No. 1 to the Subscription Agreement (incorporated by reference to Exhibit 10.1 of the Company’s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Form 8-K, filed with the SEC on May 12,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Tax Receivable Agreement, dated July 21, 2022, by and among OPAL Fuels Inc. and the persons named therein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reference to Exhibit 10.6 to the Current Report on Form 8-K filed by the Company 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Investor Rights Agreement, dated July 21, 2022, by and among OPAL Fuels Inc., ArcLight CTC Holdings II, L.P., and the other persons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named therein (incorporated by reference to Exhibit 10.7 to the 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Second A&amp;R LLC Agreement of OPAL Fuels, including any Certificates of Designations (incorporated by reference to Exhibit 10.8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EE"/>
            </w:tcBorders>
            <w:gridSpan w:val="13"/>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Current Report on Form 8-K filed by the Company on July 27, 2022).</w:t>
              </w:r>
            </w:hyperlink>
          </w:p>
        </w:tc>
        <w:tc>
          <w:tcPr>
            <w:tcW w:w="496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Delayed Draw Term Loan and Guaranty Agreement, dated October 22, 2021, by and among OPAL Fuels Intermediate Holdco LLC,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8"/>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Guarantors named on the signature pages thereto, and the Lenders (as defined therein), and Bank of America, N.A., as Administrative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8"/>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Agent for the Lenders (incorporated by reference to Exhibit 10.8 to the Registration Statement on Form S-4 (File No. 333-262583), filed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Amendment No. 1 to Delayed Draw Term Loan and Guaranty Agreement and Waiver, dated February 1, 2022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to Exhibit 10.9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Environmental Attributes Purchase and Sale Agreement, dated November 29, 2021, by and between, on the one hand, NextEra Energy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Marketing, LLC and, on the other hand, TruStar Energy LLC and OPAL Fuels LLC (incorporated by reference to Exhibit 10.10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Administrative Services Agreement, dated December 31, 2021, by and between OPAL Fuels and Fortistar Services 2 LLC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by reference to Exhibit 10.11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Indemnification and Hold Harmless Agreement, dated December 31, 2020, by and between OPAL Fuels LLC and Fortistar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(incorporated by reference to Exhibit 10.12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9">
              <w:r>
                <w:rPr>
                  <w:rFonts w:ascii="Times New Roman" w:cs="Times New Roman" w:eastAsia="Times New Roman" w:hAnsi="Times New Roman"/>
                  <w:sz w:val="18"/>
                  <w:szCs w:val="18"/>
                  <w:color w:val="0000EE"/>
                  <w:w w:val="99"/>
                </w:rPr>
                <w:t>Flue Gas Offtake and Preferred Partner Agreement, dated November 29, 2021, by and between CarbonFree Chemicals Holdings, LLC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OPAL Fuels LLC (incorporated by reference to Exhibit 10.13 to the Registration Statement on Form S-4 (File No. 333-262583),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right w:val="single" w:sz="8" w:color="CCEEFF"/>
            </w:tcBorders>
            <w:gridSpan w:val="27"/>
            <w:shd w:val="clear" w:color="auto" w:fill="CCEEFF"/>
          </w:tcPr>
          <w:p>
            <w:pPr>
              <w:ind w:left="20"/>
              <w:spacing w:after="0" w:line="19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rFonts w:ascii="Times New Roman" w:cs="Times New Roman" w:eastAsia="Times New Roman" w:hAnsi="Times New Roman"/>
                <w:sz w:val="18"/>
                <w:szCs w:val="18"/>
                <w:color w:val="0000EE"/>
                <w:w w:val="99"/>
              </w:rPr>
            </w:pPr>
            <w:hyperlink r:id="rId420">
              <w:r>
                <w:rPr>
                  <w:rFonts w:ascii="Times New Roman" w:cs="Times New Roman" w:eastAsia="Times New Roman" w:hAnsi="Times New Roman"/>
                  <w:sz w:val="18"/>
                  <w:szCs w:val="18"/>
                  <w:color w:val="0000EE"/>
                  <w:w w:val="99"/>
                </w:rPr>
                <w:t>Amendment No. 3 to Delayed Draw Term Loan and Guaranty Agreement, dated September 29, 2022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8"/>
          </w:tcPr>
          <w:p>
            <w:pPr>
              <w:ind w:left="20"/>
              <w:spacing w:after="0" w:line="196" w:lineRule="exact"/>
              <w:rPr>
                <w:rFonts w:ascii="Times New Roman" w:cs="Times New Roman" w:eastAsia="Times New Roman" w:hAnsi="Times New Roman"/>
                <w:sz w:val="18"/>
                <w:szCs w:val="18"/>
                <w:color w:val="0000EE"/>
              </w:rPr>
            </w:pPr>
            <w:hyperlink r:id="rId4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by the Company on October 3,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List of subsidiaries (incorporated by reference to Exhibit 21.1 to the Current Report on Form 8-K filed by the Company on July 27, 2022).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1000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BDO USA, LLP, independent registered accounting firm for OPAL Fuels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Consent of BDO USA, LLP, independent auditor for Beacon RNG LLC.</w:t>
            </w:r>
          </w:p>
        </w:tc>
        <w:tc>
          <w:tcPr>
            <w:tcW w:w="47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5"/>
                <w:szCs w:val="15"/>
                <w:color w:val="auto"/>
              </w:rPr>
            </w:pPr>
          </w:p>
        </w:tc>
        <w:tc>
          <w:tcPr>
            <w:tcW w:w="1000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accounting firm for ArcLight.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23.4*</w:t>
            </w: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Consent of Sheppard, Mullin, Richter &amp; Hampton LLP (included as part of Exhibit 5.1).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60" w:hanging="820"/>
        <w:spacing w:after="0"/>
        <w:tabs>
          <w:tab w:leader="none" w:pos="12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 w:lineRule="exact"/>
        <w:rPr>
          <w:rFonts w:ascii="Times New Roman" w:cs="Times New Roman" w:eastAsia="Times New Roman" w:hAnsi="Times New Roman"/>
          <w:sz w:val="18"/>
          <w:szCs w:val="18"/>
          <w:color w:val="auto"/>
        </w:rPr>
      </w:pPr>
    </w:p>
    <w:p>
      <w:pPr>
        <w:ind w:right="8820" w:firstLine="387"/>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422">
        <w:r>
          <w:rPr>
            <w:rFonts w:ascii="Times New Roman" w:cs="Times New Roman" w:eastAsia="Times New Roman" w:hAnsi="Times New Roman"/>
            <w:sz w:val="18"/>
            <w:szCs w:val="18"/>
            <w:u w:val="single" w:color="auto"/>
            <w:color w:val="0000EE"/>
          </w:rPr>
          <w:t>Filing Fee Table</w:t>
        </w:r>
      </w:hyperlink>
      <w:r>
        <w:rPr>
          <w:rFonts w:ascii="Times New Roman" w:cs="Times New Roman" w:eastAsia="Times New Roman" w:hAnsi="Times New Roman"/>
          <w:sz w:val="18"/>
          <w:szCs w:val="18"/>
          <w:color w:val="auto"/>
        </w:rPr>
        <w:t xml:space="preserve"> * Previously filed.</w:t>
      </w:r>
    </w:p>
    <w:p>
      <w:pPr>
        <w:ind w:left="360" w:hanging="352"/>
        <w:spacing w:after="0"/>
        <w:tabs>
          <w:tab w:leader="none" w:pos="3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omitted schedule or exhibit to the SEC upon request.</w:t>
      </w:r>
    </w:p>
    <w:p>
      <w:pPr>
        <w:spacing w:after="0" w:line="9" w:lineRule="exact"/>
        <w:rPr>
          <w:sz w:val="20"/>
          <w:szCs w:val="20"/>
          <w:color w:val="auto"/>
        </w:rPr>
      </w:pPr>
    </w:p>
    <w:p>
      <w:pPr>
        <w:ind w:left="340" w:hanging="332"/>
        <w:spacing w:after="0" w:line="260"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57" w:lineRule="exact"/>
        <w:rPr>
          <w:rFonts w:ascii="Times New Roman" w:cs="Times New Roman" w:eastAsia="Times New Roman" w:hAnsi="Times New Roman"/>
          <w:sz w:val="18"/>
          <w:szCs w:val="18"/>
          <w:color w:val="auto"/>
        </w:rPr>
      </w:pPr>
    </w:p>
    <w:p>
      <w:pPr>
        <w:ind w:left="440" w:right="320" w:firstLine="332"/>
        <w:spacing w:after="0" w:line="284" w:lineRule="auto"/>
        <w:tabs>
          <w:tab w:leader="none" w:pos="101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filed as part of this registration statement are listed in the index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such financial statements, which index to the financial statements is incorporated herein by reference.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312"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undersigned registrant hereby undertakes:</w:t>
      </w:r>
    </w:p>
    <w:p>
      <w:pPr>
        <w:spacing w:after="0" w:line="200" w:lineRule="exact"/>
        <w:rPr>
          <w:sz w:val="20"/>
          <w:szCs w:val="20"/>
          <w:color w:val="auto"/>
        </w:rPr>
      </w:pPr>
    </w:p>
    <w:p>
      <w:pPr>
        <w:spacing w:after="0" w:line="24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873" w:right="1440" w:bottom="1440" w:gutter="0" w:footer="0" w:header="0"/>
        </w:sectPr>
      </w:pPr>
    </w:p>
    <w:bookmarkStart w:id="303" w:name="page304"/>
    <w:bookmarkEnd w:id="303"/>
    <w:p>
      <w:pPr>
        <w:jc w:val="both"/>
        <w:ind w:left="340" w:hanging="332"/>
        <w:spacing w:after="0" w:line="254"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w:t>
      </w:r>
    </w:p>
    <w:p>
      <w:pPr>
        <w:spacing w:after="0" w:line="18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prospectus relating to the offering prepared by or on behalf of the undersigned registrant or used or referred to by the undersigned registrant;</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67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w:t>
      </w:r>
    </w:p>
    <w:p>
      <w:pPr>
        <w:spacing w:after="0" w:line="27"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White Plains, State of New York, on October 14, 2022.</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Maurer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Anthony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Nadeem Nisar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F. Gatti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Fogarty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Betsy L. Battle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Ashok Vemuri</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36"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02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14, 2022</w:t>
            </w:r>
          </w:p>
        </w:tc>
      </w:tr>
    </w:tbl>
    <w:p>
      <w:pPr>
        <w:spacing w:after="0" w:line="1311" w:lineRule="exact"/>
        <w:rPr>
          <w:sz w:val="20"/>
          <w:szCs w:val="20"/>
          <w:color w:val="auto"/>
        </w:rPr>
      </w:pPr>
    </w:p>
    <w:p>
      <w:pPr>
        <w:sectPr>
          <w:pgSz w:w="11900" w:h="16838" w:orient="portrait"/>
          <w:cols w:equalWidth="0" w:num="2">
            <w:col w:w="3900" w:space="720"/>
            <w:col w:w="6620"/>
          </w:cols>
          <w:pgMar w:left="320" w:top="873"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15, 2022, relating to the consolidated financial statements of Opal Fuels LLC,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2022</w:t>
      </w:r>
    </w:p>
    <w:p>
      <w:pPr>
        <w:sectPr>
          <w:pgSz w:w="11900" w:h="16838" w:orient="portrait"/>
          <w:cols w:equalWidth="0" w:num="1">
            <w:col w:w="11240"/>
          </w:cols>
          <w:pgMar w:left="320" w:top="117"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15, 2022, relating to the consolidated financial statements of Beacon RNG LLC,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2022</w:t>
      </w:r>
    </w:p>
    <w:p>
      <w:pPr>
        <w:sectPr>
          <w:pgSz w:w="11900" w:h="16838" w:orient="portrait"/>
          <w:cols w:equalWidth="0" w:num="1">
            <w:col w:w="11240"/>
          </w:cols>
          <w:pgMar w:left="320" w:top="108" w:right="339" w:bottom="1440" w:gutter="0" w:footer="0" w:header="0"/>
        </w:sectPr>
      </w:pPr>
    </w:p>
    <w:bookmarkStart w:id="307" w:name="page308"/>
    <w:bookmarkEnd w:id="307"/>
    <w:p>
      <w:pPr>
        <w:ind w:left="10120"/>
        <w:spacing w:after="0"/>
        <w:rPr>
          <w:sz w:val="20"/>
          <w:szCs w:val="20"/>
          <w:color w:val="auto"/>
        </w:rPr>
      </w:pPr>
      <w:r>
        <w:rPr>
          <w:rFonts w:ascii="Times New Roman" w:cs="Times New Roman" w:eastAsia="Times New Roman" w:hAnsi="Times New Roman"/>
          <w:sz w:val="21"/>
          <w:szCs w:val="21"/>
          <w:b w:val="1"/>
          <w:bCs w:val="1"/>
          <w:color w:val="auto"/>
        </w:rPr>
        <w:t>Exhibit 23.3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consent to the inclusion in this Registration Statement of OPAL Fuels Inc. (formerly ArcLight Clean Transition Corp. II) on Amendment No. 2 to Form S-1 (File No. 333-266757) of our report dated March 9, 2022, with respect to our audit of the financial statements of ArcLight Clean Transition Corp. II as of December 31, 2021 and for the period from January 13, 2021 (inception) through December 31, 2021, which report appears in the Prospectus, which is part of this Registration Statement. We were dismissed as auditors on August 9, 2022 following the issuance of the Company’s Form 10-Q for the quarterly period ended June 30,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14,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1)"/>
      <w:numFmt w:val="lowerRoman"/>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
      <w:numFmt w:val="bullet"/>
      <w:start w:val="1"/>
    </w:lvl>
  </w:abstractNum>
  <w:abstractNum w:abstractNumId="8">
    <w:nsid w:val="5F3534A4"/>
    <w:multiLevelType w:val="hybridMultilevel"/>
    <w:lvl w:ilvl="0">
      <w:lvlJc w:val="left"/>
      <w:lvlText w:val="(%1)"/>
      <w:numFmt w:val="lowerRoman"/>
      <w:start w:val="3"/>
    </w:lvl>
  </w:abstractNum>
  <w:abstractNum w:abstractNumId="9">
    <w:nsid w:val="73A1821B"/>
    <w:multiLevelType w:val="hybridMultilevel"/>
    <w:lvl w:ilvl="0">
      <w:lvlJc w:val="left"/>
      <w:lvlText w:val="(%1)"/>
      <w:numFmt w:val="decimal"/>
      <w:start w:val="1"/>
    </w:lvl>
  </w:abstractNum>
  <w:abstractNum w:abstractNumId="10">
    <w:nsid w:val="7DE67713"/>
    <w:multiLevelType w:val="hybridMultilevel"/>
    <w:lvl w:ilvl="0">
      <w:lvlJc w:val="left"/>
      <w:lvlText w:val="(%1)"/>
      <w:numFmt w:val="decimal"/>
      <w:start w:val="1"/>
    </w:lvl>
  </w:abstractNum>
  <w:abstractNum w:abstractNumId="11">
    <w:nsid w:val="555C55B5"/>
    <w:multiLevelType w:val="hybridMultilevel"/>
    <w:lvl w:ilvl="0">
      <w:lvlJc w:val="left"/>
      <w:lvlText w:val="(%1)"/>
      <w:numFmt w:val="lowerRoman"/>
      <w:start w:val="5"/>
    </w:lvl>
  </w:abstractNum>
  <w:abstractNum w:abstractNumId="12">
    <w:nsid w:val="3FA62ACA"/>
    <w:multiLevelType w:val="hybridMultilevel"/>
    <w:lvl w:ilvl="0">
      <w:lvlJc w:val="left"/>
      <w:lvlText w:val="(%1)"/>
      <w:numFmt w:val="lowerRoman"/>
      <w:start w:val="6"/>
    </w:lvl>
  </w:abstractNum>
  <w:abstractNum w:abstractNumId="13">
    <w:nsid w:val="14FCE74E"/>
    <w:multiLevelType w:val="hybridMultilevel"/>
    <w:lvl w:ilvl="0">
      <w:lvlJc w:val="left"/>
      <w:lvlText w:val="(%1)"/>
      <w:numFmt w:val="lowerRoman"/>
      <w:start w:val="6"/>
    </w:lvl>
  </w:abstractNum>
  <w:abstractNum w:abstractNumId="14">
    <w:nsid w:val="6A3DD3E8"/>
    <w:multiLevelType w:val="hybridMultilevel"/>
    <w:lvl w:ilvl="0">
      <w:lvlJc w:val="left"/>
      <w:lvlText w:val="●"/>
      <w:numFmt w:val="bullet"/>
      <w:start w:val="1"/>
    </w:lvl>
  </w:abstractNum>
  <w:abstractNum w:abstractNumId="15">
    <w:nsid w:val="71C91298"/>
    <w:multiLevelType w:val="hybridMultilevel"/>
    <w:lvl w:ilvl="0">
      <w:lvlJc w:val="left"/>
      <w:lvlText w:val="●"/>
      <w:numFmt w:val="bullet"/>
      <w:start w:val="1"/>
    </w:lvl>
  </w:abstractNum>
  <w:abstractNum w:abstractNumId="16">
    <w:nsid w:val="9DAF632"/>
    <w:multiLevelType w:val="hybridMultilevel"/>
    <w:lvl w:ilvl="0">
      <w:lvlJc w:val="left"/>
      <w:lvlText w:val="●"/>
      <w:numFmt w:val="bullet"/>
      <w:start w:val="1"/>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1)"/>
      <w:numFmt w:val="lowerRoman"/>
      <w:start w:val="1"/>
    </w:lvl>
  </w:abstractNum>
  <w:abstractNum w:abstractNumId="19">
    <w:nsid w:val="5092CA79"/>
    <w:multiLevelType w:val="hybridMultilevel"/>
    <w:lvl w:ilvl="0">
      <w:lvlJc w:val="left"/>
      <w:lvlText w:val="(%1)"/>
      <w:numFmt w:val="lowerRoman"/>
      <w:start w:val="6"/>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
      <w:numFmt w:val="bullet"/>
      <w:start w:val="1"/>
    </w:lvl>
  </w:abstractNum>
  <w:abstractNum w:abstractNumId="23">
    <w:nsid w:val="2A155DBC"/>
    <w:multiLevelType w:val="hybridMultilevel"/>
    <w:lvl w:ilvl="0">
      <w:lvlJc w:val="left"/>
      <w:lvlText w:val="●"/>
      <w:numFmt w:val="bullet"/>
      <w:start w:val="1"/>
    </w:lvl>
  </w:abstractNum>
  <w:abstractNum w:abstractNumId="24">
    <w:nsid w:val="1D9F6E5F"/>
    <w:multiLevelType w:val="hybridMultilevel"/>
    <w:lvl w:ilvl="0">
      <w:lvlJc w:val="left"/>
      <w:lvlText w:val="●"/>
      <w:numFmt w:val="bullet"/>
      <w:start w:val="1"/>
    </w:lvl>
  </w:abstractNum>
  <w:abstractNum w:abstractNumId="25">
    <w:nsid w:val="97E1B4E"/>
    <w:multiLevelType w:val="hybridMultilevel"/>
    <w:lvl w:ilvl="0">
      <w:lvlJc w:val="left"/>
      <w:lvlText w:val="2"/>
      <w:numFmt w:val="bullet"/>
      <w:start w:val="1"/>
    </w:lvl>
  </w:abstractNum>
  <w:abstractNum w:abstractNumId="26">
    <w:nsid w:val="51088277"/>
    <w:multiLevelType w:val="hybridMultilevel"/>
    <w:lvl w:ilvl="0">
      <w:lvlJc w:val="left"/>
      <w:lvlText w:val="3"/>
      <w:numFmt w:val="bullet"/>
      <w:start w:val="1"/>
    </w:lvl>
  </w:abstractNum>
  <w:abstractNum w:abstractNumId="27">
    <w:nsid w:val="1CA0C5FA"/>
    <w:multiLevelType w:val="hybridMultilevel"/>
    <w:lvl w:ilvl="0">
      <w:lvlJc w:val="left"/>
      <w:lvlText w:val="●"/>
      <w:numFmt w:val="bullet"/>
      <w:start w:val="1"/>
    </w:lvl>
  </w:abstractNum>
  <w:abstractNum w:abstractNumId="28">
    <w:nsid w:val="53584BCB"/>
    <w:multiLevelType w:val="hybridMultilevel"/>
    <w:lvl w:ilvl="0">
      <w:lvlJc w:val="left"/>
      <w:lvlText w:val="●"/>
      <w:numFmt w:val="bullet"/>
      <w:start w:val="1"/>
    </w:lvl>
  </w:abstractNum>
  <w:abstractNum w:abstractNumId="29">
    <w:nsid w:val="415E286C"/>
    <w:multiLevelType w:val="hybridMultilevel"/>
    <w:lvl w:ilvl="0">
      <w:lvlJc w:val="left"/>
      <w:lvlText w:val="●"/>
      <w:numFmt w:val="bullet"/>
      <w:start w:val="1"/>
    </w:lvl>
  </w:abstractNum>
  <w:abstractNum w:abstractNumId="30">
    <w:nsid w:val="7C58FD05"/>
    <w:multiLevelType w:val="hybridMultilevel"/>
    <w:lvl w:ilvl="0">
      <w:lvlJc w:val="left"/>
      <w:lvlText w:val="●"/>
      <w:numFmt w:val="bullet"/>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1)"/>
      <w:numFmt w:val="decimal"/>
      <w:start w:val="1"/>
    </w:lvl>
  </w:abstractNum>
  <w:abstractNum w:abstractNumId="35">
    <w:nsid w:val="3C5991AA"/>
    <w:multiLevelType w:val="hybridMultilevel"/>
    <w:lvl w:ilvl="0">
      <w:lvlJc w:val="left"/>
      <w:lvlText w:val="●"/>
      <w:numFmt w:val="bullet"/>
      <w:start w:val="1"/>
    </w:lvl>
  </w:abstractNum>
  <w:abstractNum w:abstractNumId="36">
    <w:nsid w:val="4BD8591A"/>
    <w:multiLevelType w:val="hybridMultilevel"/>
    <w:lvl w:ilvl="0">
      <w:lvlJc w:val="left"/>
      <w:lvlText w:val="●"/>
      <w:numFmt w:val="bullet"/>
      <w:start w:val="1"/>
    </w:lvl>
  </w:abstractNum>
  <w:abstractNum w:abstractNumId="37">
    <w:nsid w:val="78DF6A55"/>
    <w:multiLevelType w:val="hybridMultilevel"/>
    <w:lvl w:ilvl="0">
      <w:lvlJc w:val="left"/>
      <w:lvlText w:val="●"/>
      <w:numFmt w:val="bullet"/>
      <w:start w:val="1"/>
    </w:lvl>
  </w:abstractNum>
  <w:abstractNum w:abstractNumId="38">
    <w:nsid w:val="39B7AAA2"/>
    <w:multiLevelType w:val="hybridMultilevel"/>
    <w:lvl w:ilvl="0">
      <w:lvlJc w:val="left"/>
      <w:lvlText w:val="(%1)"/>
      <w:numFmt w:val="lowerLetter"/>
      <w:start w:val="1"/>
    </w:lvl>
  </w:abstractNum>
  <w:abstractNum w:abstractNumId="39">
    <w:nsid w:val="2B0D8DBE"/>
    <w:multiLevelType w:val="hybridMultilevel"/>
    <w:lvl w:ilvl="0">
      <w:lvlJc w:val="left"/>
      <w:lvlText w:val="(%1)"/>
      <w:numFmt w:val="lowerLetter"/>
      <w:start w:val="4"/>
    </w:lvl>
  </w:abstractNum>
  <w:abstractNum w:abstractNumId="40">
    <w:nsid w:val="6C80EC70"/>
    <w:multiLevelType w:val="hybridMultilevel"/>
    <w:lvl w:ilvl="0">
      <w:lvlJc w:val="left"/>
      <w:lvlText w:val="(%1)"/>
      <w:numFmt w:val="lowerLetter"/>
      <w:start w:val="6"/>
    </w:lvl>
  </w:abstractNum>
  <w:abstractNum w:abstractNumId="41">
    <w:nsid w:val="379E21B5"/>
    <w:multiLevelType w:val="hybridMultilevel"/>
    <w:lvl w:ilvl="0">
      <w:lvlJc w:val="left"/>
      <w:lvlText w:val="(%1)"/>
      <w:numFmt w:val="lowerLetter"/>
      <w:start w:val="1"/>
    </w:lvl>
  </w:abstractNum>
  <w:abstractNum w:abstractNumId="42">
    <w:nsid w:val="69E373"/>
    <w:multiLevelType w:val="hybridMultilevel"/>
    <w:lvl w:ilvl="0">
      <w:lvlJc w:val="left"/>
      <w:lvlText w:val="(%1)"/>
      <w:numFmt w:val="lowerLetter"/>
      <w:start w:val="1"/>
    </w:lvl>
  </w:abstractNum>
  <w:abstractNum w:abstractNumId="43">
    <w:nsid w:val="2C27173B"/>
    <w:multiLevelType w:val="hybridMultilevel"/>
    <w:lvl w:ilvl="0">
      <w:lvlJc w:val="left"/>
      <w:lvlText w:val="(%1)"/>
      <w:numFmt w:val="lowerLetter"/>
      <w:start w:val="4"/>
    </w:lvl>
  </w:abstractNum>
  <w:abstractNum w:abstractNumId="44">
    <w:nsid w:val="4C9B0904"/>
    <w:multiLevelType w:val="hybridMultilevel"/>
    <w:lvl w:ilvl="0">
      <w:lvlJc w:val="left"/>
      <w:lvlText w:val="(%1)"/>
      <w:numFmt w:val="lowerLetter"/>
      <w:start w:val="11"/>
    </w:lvl>
  </w:abstractNum>
  <w:abstractNum w:abstractNumId="45">
    <w:nsid w:val="6AA7B75C"/>
    <w:multiLevelType w:val="hybridMultilevel"/>
    <w:lvl w:ilvl="0">
      <w:lvlJc w:val="left"/>
      <w:lvlText w:val="(%1)"/>
      <w:numFmt w:val="lowerLetter"/>
      <w:start w:val="1"/>
    </w:lvl>
  </w:abstractNum>
  <w:abstractNum w:abstractNumId="46">
    <w:nsid w:val="1DF029D3"/>
    <w:multiLevelType w:val="hybridMultilevel"/>
    <w:lvl w:ilvl="0">
      <w:lvlJc w:val="left"/>
      <w:lvlText w:val="(%1)"/>
      <w:numFmt w:val="lowerLetter"/>
      <w:start w:val="4"/>
    </w:lvl>
  </w:abstractNum>
  <w:abstractNum w:abstractNumId="47">
    <w:nsid w:val="5675FF36"/>
    <w:multiLevelType w:val="hybridMultilevel"/>
    <w:lvl w:ilvl="0">
      <w:lvlJc w:val="left"/>
      <w:lvlText w:val="(%1)"/>
      <w:numFmt w:val="decimal"/>
      <w:start w:val="1"/>
    </w:lvl>
  </w:abstractNum>
  <w:abstractNum w:abstractNumId="48">
    <w:nsid w:val="3DD15094"/>
    <w:multiLevelType w:val="hybridMultilevel"/>
    <w:lvl w:ilvl="0">
      <w:lvlJc w:val="left"/>
      <w:lvlText w:val="(%1)"/>
      <w:numFmt w:val="lowerRoman"/>
      <w:start w:val="4"/>
    </w:lvl>
  </w:abstractNum>
  <w:abstractNum w:abstractNumId="49">
    <w:nsid w:val="3DB012B3"/>
    <w:multiLevelType w:val="hybridMultilevel"/>
    <w:lvl w:ilvl="0">
      <w:lvlJc w:val="left"/>
      <w:lvlText w:val="●"/>
      <w:numFmt w:val="bullet"/>
      <w:start w:val="1"/>
    </w:lvl>
  </w:abstractNum>
  <w:abstractNum w:abstractNumId="50">
    <w:nsid w:val="2708C9AF"/>
    <w:multiLevelType w:val="hybridMultilevel"/>
    <w:lvl w:ilvl="0">
      <w:lvlJc w:val="left"/>
      <w:lvlText w:val="●"/>
      <w:numFmt w:val="bullet"/>
      <w:start w:val="1"/>
    </w:lvl>
  </w:abstractNum>
  <w:abstractNum w:abstractNumId="51">
    <w:nsid w:val="5B25ACE2"/>
    <w:multiLevelType w:val="hybridMultilevel"/>
    <w:lvl w:ilvl="0">
      <w:lvlJc w:val="left"/>
      <w:lvlText w:val="(%1)"/>
      <w:numFmt w:val="decimal"/>
      <w:start w:val="1"/>
    </w:lvl>
  </w:abstractNum>
  <w:abstractNum w:abstractNumId="52">
    <w:nsid w:val="175DFCF0"/>
    <w:multiLevelType w:val="hybridMultilevel"/>
    <w:lvl w:ilvl="0">
      <w:lvlJc w:val="left"/>
      <w:lvlText w:val="(%1)"/>
      <w:numFmt w:val="decimal"/>
      <w:start w:val="3"/>
    </w:lvl>
  </w:abstractNum>
  <w:abstractNum w:abstractNumId="53">
    <w:nsid w:val="4F97E3E4"/>
    <w:multiLevelType w:val="hybridMultilevel"/>
    <w:lvl w:ilvl="0">
      <w:lvlJc w:val="left"/>
      <w:lvlText w:val="(%1)"/>
      <w:numFmt w:val="decimal"/>
      <w:start w:val="1"/>
    </w:lvl>
  </w:abstractNum>
  <w:abstractNum w:abstractNumId="54">
    <w:nsid w:val="53B0A9E"/>
    <w:multiLevelType w:val="hybridMultilevel"/>
    <w:lvl w:ilvl="0">
      <w:lvlJc w:val="left"/>
      <w:lvlText w:val="(%1)"/>
      <w:numFmt w:val="decimal"/>
      <w:start w:val="1"/>
    </w:lvl>
  </w:abstractNum>
  <w:abstractNum w:abstractNumId="55">
    <w:nsid w:val="34FD6B4F"/>
    <w:multiLevelType w:val="hybridMultilevel"/>
    <w:lvl w:ilvl="0">
      <w:lvlJc w:val="left"/>
      <w:lvlText w:val="(%1)"/>
      <w:numFmt w:val="decimal"/>
      <w:start w:val="2"/>
    </w:lvl>
  </w:abstractNum>
  <w:abstractNum w:abstractNumId="56">
    <w:nsid w:val="5915FF32"/>
    <w:multiLevelType w:val="hybridMultilevel"/>
    <w:lvl w:ilvl="0">
      <w:lvlJc w:val="left"/>
      <w:lvlText w:val="●"/>
      <w:numFmt w:val="bullet"/>
      <w:start w:val="1"/>
    </w:lvl>
  </w:abstractNum>
  <w:abstractNum w:abstractNumId="57">
    <w:nsid w:val="56438D15"/>
    <w:multiLevelType w:val="hybridMultilevel"/>
    <w:lvl w:ilvl="0">
      <w:lvlJc w:val="left"/>
      <w:lvlText w:val="●"/>
      <w:numFmt w:val="bullet"/>
      <w:start w:val="1"/>
    </w:lvl>
  </w:abstractNum>
  <w:abstractNum w:abstractNumId="58">
    <w:nsid w:val="519E3149"/>
    <w:multiLevelType w:val="hybridMultilevel"/>
    <w:lvl w:ilvl="0">
      <w:lvlJc w:val="left"/>
      <w:lvlText w:val="(%1)"/>
      <w:numFmt w:val="lowerRoman"/>
      <w:start w:val="5"/>
    </w:lvl>
  </w:abstractNum>
  <w:abstractNum w:abstractNumId="59">
    <w:nsid w:val="2C6E4AFD"/>
    <w:multiLevelType w:val="hybridMultilevel"/>
    <w:lvl w:ilvl="0">
      <w:lvlJc w:val="left"/>
      <w:lvlText w:val="●"/>
      <w:numFmt w:val="bullet"/>
      <w:start w:val="1"/>
    </w:lvl>
  </w:abstractNum>
  <w:abstractNum w:abstractNumId="60">
    <w:nsid w:val="17A1B582"/>
    <w:multiLevelType w:val="hybridMultilevel"/>
    <w:lvl w:ilvl="0">
      <w:lvlJc w:val="left"/>
      <w:lvlText w:val="(%1)"/>
      <w:numFmt w:val="decimal"/>
      <w:start w:val="1"/>
    </w:lvl>
  </w:abstractNum>
  <w:abstractNum w:abstractNumId="61">
    <w:nsid w:val="4DF72E4E"/>
    <w:multiLevelType w:val="hybridMultilevel"/>
    <w:lvl w:ilvl="0">
      <w:lvlJc w:val="left"/>
      <w:lvlText w:val="(%1)"/>
      <w:numFmt w:val="decimal"/>
      <w:start w:val="1"/>
    </w:lvl>
  </w:abstractNum>
  <w:abstractNum w:abstractNumId="62">
    <w:nsid w:val="5046B5A9"/>
    <w:multiLevelType w:val="hybridMultilevel"/>
    <w:lvl w:ilvl="0">
      <w:lvlJc w:val="left"/>
      <w:lvlText w:val="●"/>
      <w:numFmt w:val="bullet"/>
      <w:start w:val="1"/>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Letter"/>
      <w:start w:val="1"/>
    </w:lvl>
  </w:abstractNum>
  <w:abstractNum w:abstractNumId="65">
    <w:nsid w:val="5EC6AFD4"/>
    <w:multiLevelType w:val="hybridMultilevel"/>
    <w:lvl w:ilvl="0">
      <w:lvlJc w:val="left"/>
      <w:lvlText w:val="(%1)"/>
      <w:numFmt w:val="lowerLetter"/>
      <w:start w:val="1"/>
    </w:lvl>
  </w:abstractNum>
  <w:abstractNum w:abstractNumId="66">
    <w:nsid w:val="19E21BB2"/>
    <w:multiLevelType w:val="hybridMultilevel"/>
    <w:lvl w:ilvl="0">
      <w:lvlJc w:val="left"/>
      <w:lvlText w:val="%1."/>
      <w:numFmt w:val="lowerLetter"/>
      <w:start w:val="1"/>
    </w:lvl>
  </w:abstractNum>
  <w:abstractNum w:abstractNumId="67">
    <w:nsid w:val="75E0858A"/>
    <w:multiLevelType w:val="hybridMultilevel"/>
    <w:lvl w:ilvl="0">
      <w:lvlJc w:val="left"/>
      <w:lvlText w:val="(%1)"/>
      <w:numFmt w:val="lowerLetter"/>
      <w:start w:val="1"/>
    </w:lvl>
  </w:abstractNum>
  <w:abstractNum w:abstractNumId="68">
    <w:nsid w:val="57A61A29"/>
    <w:multiLevelType w:val="hybridMultilevel"/>
    <w:lvl w:ilvl="0">
      <w:lvlJc w:val="left"/>
      <w:lvlText w:val="%1."/>
      <w:numFmt w:val="lowerLetter"/>
      <w:start w:val="1"/>
    </w:lvl>
  </w:abstractNum>
  <w:abstractNum w:abstractNumId="69">
    <w:nsid w:val="5399C654"/>
    <w:multiLevelType w:val="hybridMultilevel"/>
    <w:lvl w:ilvl="0">
      <w:lvlJc w:val="left"/>
      <w:lvlText w:val="●"/>
      <w:numFmt w:val="bullet"/>
      <w:start w:val="1"/>
    </w:lvl>
  </w:abstractNum>
  <w:abstractNum w:abstractNumId="70">
    <w:nsid w:val="20EE1348"/>
    <w:multiLevelType w:val="hybridMultilevel"/>
    <w:lvl w:ilvl="0">
      <w:lvlJc w:val="left"/>
      <w:lvlText w:val="●"/>
      <w:numFmt w:val="bullet"/>
      <w:start w:val="1"/>
    </w:lvl>
  </w:abstractNum>
  <w:abstractNum w:abstractNumId="71">
    <w:nsid w:val="4427069A"/>
    <w:multiLevelType w:val="hybridMultilevel"/>
    <w:lvl w:ilvl="0">
      <w:lvlJc w:val="left"/>
      <w:lvlText w:val="(%1)"/>
      <w:numFmt w:val="lowerRoman"/>
      <w:start w:val="1"/>
    </w:lvl>
  </w:abstractNum>
  <w:abstractNum w:abstractNumId="72">
    <w:nsid w:val="B37E80A"/>
    <w:multiLevelType w:val="hybridMultilevel"/>
    <w:lvl w:ilvl="0">
      <w:lvlJc w:val="left"/>
      <w:lvlText w:val="●"/>
      <w:numFmt w:val="bullet"/>
      <w:start w:val="1"/>
    </w:lvl>
  </w:abstractNum>
  <w:abstractNum w:abstractNumId="73">
    <w:nsid w:val="2157F6BC"/>
    <w:multiLevelType w:val="hybridMultilevel"/>
    <w:lvl w:ilvl="0">
      <w:lvlJc w:val="left"/>
      <w:lvlText w:val="●"/>
      <w:numFmt w:val="bullet"/>
      <w:start w:val="1"/>
    </w:lvl>
  </w:abstractNum>
  <w:abstractNum w:abstractNumId="74">
    <w:nsid w:val="704E1DD5"/>
    <w:multiLevelType w:val="hybridMultilevel"/>
    <w:lvl w:ilvl="0">
      <w:lvlJc w:val="left"/>
      <w:lvlText w:val="\emdash "/>
      <w:numFmt w:val="bullet"/>
      <w:start w:val="1"/>
    </w:lvl>
  </w:abstractNum>
  <w:abstractNum w:abstractNumId="75">
    <w:nsid w:val="57D2F10E"/>
    <w:multiLevelType w:val="hybridMultilevel"/>
    <w:lvl w:ilvl="0">
      <w:lvlJc w:val="left"/>
      <w:lvlText w:val="●"/>
      <w:numFmt w:val="bullet"/>
      <w:start w:val="1"/>
    </w:lvl>
  </w:abstractNum>
  <w:abstractNum w:abstractNumId="76">
    <w:nsid w:val="BFFAE18"/>
    <w:multiLevelType w:val="hybridMultilevel"/>
    <w:lvl w:ilvl="0">
      <w:lvlJc w:val="left"/>
      <w:lvlText w:val="(%1)"/>
      <w:numFmt w:val="decimal"/>
      <w:start w:val="1"/>
    </w:lvl>
  </w:abstractNum>
  <w:abstractNum w:abstractNumId="77">
    <w:nsid w:val="E3E47A8"/>
    <w:multiLevelType w:val="hybridMultilevel"/>
    <w:lvl w:ilvl="0">
      <w:lvlJc w:val="left"/>
      <w:lvlText w:val="(%1)"/>
      <w:numFmt w:val="decimal"/>
      <w:start w:val="3"/>
    </w:lvl>
  </w:abstractNum>
  <w:abstractNum w:abstractNumId="78">
    <w:nsid w:val="2E48F044"/>
    <w:multiLevelType w:val="hybridMultilevel"/>
    <w:lvl w:ilvl="0">
      <w:lvlJc w:val="left"/>
      <w:lvlText w:val="(%1)"/>
      <w:numFmt w:val="decimal"/>
      <w:start w:val="1"/>
    </w:lvl>
  </w:abstractNum>
  <w:abstractNum w:abstractNumId="79">
    <w:nsid w:val="49D0FEAC"/>
    <w:multiLevelType w:val="hybridMultilevel"/>
    <w:lvl w:ilvl="0">
      <w:lvlJc w:val="left"/>
      <w:lvlText w:val="(%1)"/>
      <w:numFmt w:val="decimal"/>
      <w:start w:val="2"/>
    </w:lvl>
  </w:abstractNum>
  <w:abstractNum w:abstractNumId="80">
    <w:nsid w:val="4BEE5A5B"/>
    <w:multiLevelType w:val="hybridMultilevel"/>
    <w:lvl w:ilvl="0">
      <w:lvlJc w:val="left"/>
      <w:lvlText w:val="(%1)"/>
      <w:numFmt w:val="decimal"/>
      <w:start w:val="10"/>
    </w:lvl>
  </w:abstractNum>
  <w:abstractNum w:abstractNumId="81">
    <w:nsid w:val="5551B9F3"/>
    <w:multiLevelType w:val="hybridMultilevel"/>
    <w:lvl w:ilvl="0">
      <w:lvlJc w:val="left"/>
      <w:lvlText w:val="(%1)"/>
      <w:numFmt w:val="lowerRoman"/>
      <w:start w:val="3"/>
    </w:lvl>
  </w:abstractNum>
  <w:abstractNum w:abstractNumId="82">
    <w:nsid w:val="24F6AB8E"/>
    <w:multiLevelType w:val="hybridMultilevel"/>
    <w:lvl w:ilvl="0">
      <w:lvlJc w:val="left"/>
      <w:lvlText w:val="●"/>
      <w:numFmt w:val="bullet"/>
      <w:start w:val="1"/>
    </w:lvl>
  </w:abstractNum>
  <w:abstractNum w:abstractNumId="83">
    <w:nsid w:val="634C574C"/>
    <w:multiLevelType w:val="hybridMultilevel"/>
    <w:lvl w:ilvl="0">
      <w:lvlJc w:val="left"/>
      <w:lvlText w:val="●"/>
      <w:numFmt w:val="bullet"/>
      <w:start w:val="1"/>
    </w:lvl>
  </w:abstractNum>
  <w:abstractNum w:abstractNumId="84">
    <w:nsid w:val="24E99DD7"/>
    <w:multiLevelType w:val="hybridMultilevel"/>
    <w:lvl w:ilvl="0">
      <w:lvlJc w:val="left"/>
      <w:lvlText w:val="(%1)"/>
      <w:numFmt w:val="lowerRoman"/>
      <w:start w:val="1"/>
    </w:lvl>
  </w:abstractNum>
  <w:abstractNum w:abstractNumId="85">
    <w:nsid w:val="2A31B62D"/>
    <w:multiLevelType w:val="hybridMultilevel"/>
    <w:lvl w:ilvl="0">
      <w:lvlJc w:val="left"/>
      <w:lvlText w:val="●"/>
      <w:numFmt w:val="bullet"/>
      <w:start w:val="1"/>
    </w:lvl>
  </w:abstractNum>
  <w:abstractNum w:abstractNumId="86">
    <w:nsid w:val="1849C29B"/>
    <w:multiLevelType w:val="hybridMultilevel"/>
    <w:lvl w:ilvl="0">
      <w:lvlJc w:val="left"/>
      <w:lvlText w:val="●"/>
      <w:numFmt w:val="bullet"/>
      <w:start w:val="1"/>
    </w:lvl>
  </w:abstractNum>
  <w:abstractNum w:abstractNumId="87">
    <w:nsid w:val="7DFF9D09"/>
    <w:multiLevelType w:val="hybridMultilevel"/>
    <w:lvl w:ilvl="0">
      <w:lvlJc w:val="left"/>
      <w:lvlText w:val="●"/>
      <w:numFmt w:val="bullet"/>
      <w:start w:val="1"/>
    </w:lvl>
  </w:abstractNum>
  <w:abstractNum w:abstractNumId="88">
    <w:nsid w:val="754342"/>
    <w:multiLevelType w:val="hybridMultilevel"/>
    <w:lvl w:ilvl="0">
      <w:lvlJc w:val="left"/>
      <w:lvlText w:val="●"/>
      <w:numFmt w:val="bullet"/>
      <w:start w:val="1"/>
    </w:lvl>
  </w:abstractNum>
  <w:abstractNum w:abstractNumId="89">
    <w:nsid w:val="69E7F3E5"/>
    <w:multiLevelType w:val="hybridMultilevel"/>
    <w:lvl w:ilvl="0">
      <w:lvlJc w:val="left"/>
      <w:lvlText w:val="●"/>
      <w:numFmt w:val="bullet"/>
      <w:start w:val="1"/>
    </w:lvl>
  </w:abstractNum>
  <w:abstractNum w:abstractNumId="90">
    <w:nsid w:val="2A6DE806"/>
    <w:multiLevelType w:val="hybridMultilevel"/>
    <w:lvl w:ilvl="0">
      <w:lvlJc w:val="left"/>
      <w:lvlText w:val="●"/>
      <w:numFmt w:val="bullet"/>
      <w:start w:val="1"/>
    </w:lvl>
  </w:abstractNum>
  <w:abstractNum w:abstractNumId="91">
    <w:nsid w:val="1816F8C4"/>
    <w:multiLevelType w:val="hybridMultilevel"/>
    <w:lvl w:ilvl="0">
      <w:lvlJc w:val="left"/>
      <w:lvlText w:val="$"/>
      <w:numFmt w:val="bullet"/>
      <w:start w:val="1"/>
    </w:lvl>
  </w:abstractNum>
  <w:abstractNum w:abstractNumId="92">
    <w:nsid w:val="37DF2233"/>
    <w:multiLevelType w:val="hybridMultilevel"/>
    <w:lvl w:ilvl="0">
      <w:lvlJc w:val="left"/>
      <w:lvlText w:val="(%1)"/>
      <w:numFmt w:val="lowerLetter"/>
      <w:start w:val="26"/>
    </w:lvl>
  </w:abstractNum>
  <w:abstractNum w:abstractNumId="93">
    <w:nsid w:val="7AB49DAF"/>
    <w:multiLevelType w:val="hybridMultilevel"/>
    <w:lvl w:ilvl="0">
      <w:lvlJc w:val="left"/>
      <w:lvlText w:val="●"/>
      <w:numFmt w:val="bullet"/>
      <w:start w:val="1"/>
    </w:lvl>
  </w:abstractNum>
  <w:abstractNum w:abstractNumId="94">
    <w:nsid w:val="759F82CD"/>
    <w:multiLevelType w:val="hybridMultilevel"/>
    <w:lvl w:ilvl="0">
      <w:lvlJc w:val="left"/>
      <w:lvlText w:val="●"/>
      <w:numFmt w:val="bullet"/>
      <w:start w:val="1"/>
    </w:lvl>
  </w:abstractNum>
  <w:abstractNum w:abstractNumId="95">
    <w:nsid w:val="61E74EA3"/>
    <w:multiLevelType w:val="hybridMultilevel"/>
    <w:lvl w:ilvl="0">
      <w:lvlJc w:val="left"/>
      <w:lvlText w:val="$"/>
      <w:numFmt w:val="bullet"/>
      <w:start w:val="1"/>
    </w:lvl>
  </w:abstractNum>
  <w:abstractNum w:abstractNumId="96">
    <w:nsid w:val="597B4D84"/>
    <w:multiLevelType w:val="hybridMultilevel"/>
    <w:lvl w:ilvl="0">
      <w:lvlJc w:val="left"/>
      <w:lvlText w:val="$"/>
      <w:numFmt w:val="bullet"/>
      <w:start w:val="1"/>
    </w:lvl>
  </w:abstractNum>
  <w:abstractNum w:abstractNumId="97">
    <w:nsid w:val="F819E7F"/>
    <w:multiLevelType w:val="hybridMultilevel"/>
    <w:lvl w:ilvl="0">
      <w:lvlJc w:val="left"/>
      <w:lvlText w:val="$"/>
      <w:numFmt w:val="bullet"/>
      <w:start w:val="1"/>
    </w:lvl>
  </w:abstractNum>
  <w:abstractNum w:abstractNumId="98">
    <w:nsid w:val="57C7D42D"/>
    <w:multiLevelType w:val="hybridMultilevel"/>
    <w:lvl w:ilvl="0">
      <w:lvlJc w:val="left"/>
      <w:lvlText w:val="$"/>
      <w:numFmt w:val="bullet"/>
      <w:start w:val="1"/>
    </w:lvl>
  </w:abstractNum>
  <w:abstractNum w:abstractNumId="99">
    <w:nsid w:val="312167AD"/>
    <w:multiLevelType w:val="hybridMultilevel"/>
    <w:lvl w:ilvl="0">
      <w:lvlJc w:val="left"/>
      <w:lvlText w:val="$"/>
      <w:numFmt w:val="bullet"/>
      <w:start w:val="1"/>
    </w:lvl>
  </w:abstractNum>
  <w:abstractNum w:abstractNumId="100">
    <w:nsid w:val="631B64D4"/>
    <w:multiLevelType w:val="hybridMultilevel"/>
    <w:lvl w:ilvl="0">
      <w:lvlJc w:val="left"/>
      <w:lvlText w:val="(%1)"/>
      <w:numFmt w:val="lowerRoman"/>
      <w:start w:val="2"/>
    </w:lvl>
  </w:abstractNum>
  <w:abstractNum w:abstractNumId="101">
    <w:nsid w:val="78B5E776"/>
    <w:multiLevelType w:val="hybridMultilevel"/>
    <w:lvl w:ilvl="0">
      <w:lvlJc w:val="left"/>
      <w:lvlText w:val="●"/>
      <w:numFmt w:val="bullet"/>
      <w:start w:val="1"/>
    </w:lvl>
  </w:abstractNum>
  <w:abstractNum w:abstractNumId="102">
    <w:nsid w:val="75486E47"/>
    <w:multiLevelType w:val="hybridMultilevel"/>
    <w:lvl w:ilvl="0">
      <w:lvlJc w:val="left"/>
      <w:lvlText w:val="●"/>
      <w:numFmt w:val="bullet"/>
      <w:start w:val="1"/>
    </w:lvl>
  </w:abstractNum>
  <w:abstractNum w:abstractNumId="103">
    <w:nsid w:val="6E534CDE"/>
    <w:multiLevelType w:val="hybridMultilevel"/>
    <w:lvl w:ilvl="0">
      <w:lvlJc w:val="left"/>
      <w:lvlText w:val="●"/>
      <w:numFmt w:val="bullet"/>
      <w:start w:val="1"/>
    </w:lvl>
  </w:abstractNum>
  <w:abstractNum w:abstractNumId="104">
    <w:nsid w:val="1A0DDE32"/>
    <w:multiLevelType w:val="hybridMultilevel"/>
    <w:lvl w:ilvl="0">
      <w:lvlJc w:val="left"/>
      <w:lvlText w:val="●"/>
      <w:numFmt w:val="bullet"/>
      <w:start w:val="1"/>
    </w:lvl>
  </w:abstractNum>
  <w:abstractNum w:abstractNumId="105">
    <w:nsid w:val="65968C1C"/>
    <w:multiLevelType w:val="hybridMultilevel"/>
    <w:lvl w:ilvl="0">
      <w:lvlJc w:val="left"/>
      <w:lvlText w:val="(%1)"/>
      <w:numFmt w:val="decimal"/>
      <w:start w:val="1"/>
    </w:lvl>
  </w:abstractNum>
  <w:abstractNum w:abstractNumId="106">
    <w:nsid w:val="46263DEC"/>
    <w:multiLevelType w:val="hybridMultilevel"/>
    <w:lvl w:ilvl="0">
      <w:lvlJc w:val="left"/>
      <w:lvlText w:val="(%1)"/>
      <w:numFmt w:val="decimal"/>
      <w:start w:val="1"/>
    </w:lvl>
  </w:abstractNum>
  <w:abstractNum w:abstractNumId="107">
    <w:nsid w:val="260D8C4A"/>
    <w:multiLevelType w:val="hybridMultilevel"/>
    <w:lvl w:ilvl="0">
      <w:lvlJc w:val="left"/>
      <w:lvlText w:val="(%1)"/>
      <w:numFmt w:val="decimal"/>
      <w:start w:val="1"/>
    </w:lvl>
  </w:abstractNum>
  <w:abstractNum w:abstractNumId="108">
    <w:nsid w:val="73D4D3C4"/>
    <w:multiLevelType w:val="hybridMultilevel"/>
    <w:lvl w:ilvl="0">
      <w:lvlJc w:val="left"/>
      <w:lvlText w:val="(%1)"/>
      <w:numFmt w:val="decimal"/>
      <w:start w:val="1"/>
    </w:lvl>
  </w:abstractNum>
  <w:abstractNum w:abstractNumId="109">
    <w:nsid w:val="746F2E30"/>
    <w:multiLevelType w:val="hybridMultilevel"/>
    <w:lvl w:ilvl="0">
      <w:lvlJc w:val="left"/>
      <w:lvlText w:val="●"/>
      <w:numFmt w:val="bullet"/>
      <w:start w:val="1"/>
    </w:lvl>
    <w:lvl w:ilvl="1">
      <w:lvlJc w:val="left"/>
      <w:lvlText w:val="◦"/>
      <w:numFmt w:val="bullet"/>
      <w:start w:val="1"/>
    </w:lvl>
  </w:abstractNum>
  <w:abstractNum w:abstractNumId="110">
    <w:nsid w:val="6FDE8AF6"/>
    <w:multiLevelType w:val="hybridMultilevel"/>
    <w:lvl w:ilvl="0">
      <w:lvlJc w:val="left"/>
      <w:lvlText w:val="●"/>
      <w:numFmt w:val="bullet"/>
      <w:start w:val="1"/>
    </w:lvl>
    <w:lvl w:ilvl="1">
      <w:lvlJc w:val="left"/>
      <w:lvlText w:val="◦"/>
      <w:numFmt w:val="bullet"/>
      <w:start w:val="1"/>
    </w:lvl>
  </w:abstractNum>
  <w:abstractNum w:abstractNumId="111">
    <w:nsid w:val="3FC32E20"/>
    <w:multiLevelType w:val="hybridMultilevel"/>
    <w:lvl w:ilvl="0">
      <w:lvlJc w:val="left"/>
      <w:lvlText w:val="●"/>
      <w:numFmt w:val="bullet"/>
      <w:start w:val="1"/>
    </w:lvl>
    <w:lvl w:ilvl="1">
      <w:lvlJc w:val="left"/>
      <w:lvlText w:val="◦"/>
      <w:numFmt w:val="bullet"/>
      <w:start w:val="1"/>
    </w:lvl>
  </w:abstractNum>
  <w:abstractNum w:abstractNumId="112">
    <w:nsid w:val="49C0E823"/>
    <w:multiLevelType w:val="hybridMultilevel"/>
    <w:lvl w:ilvl="0">
      <w:lvlJc w:val="left"/>
      <w:lvlText w:val="(%1)"/>
      <w:numFmt w:val="decimal"/>
      <w:start w:val="1"/>
    </w:lvl>
  </w:abstractNum>
  <w:abstractNum w:abstractNumId="113">
    <w:nsid w:val="14D53685"/>
    <w:multiLevelType w:val="hybridMultilevel"/>
    <w:lvl w:ilvl="0">
      <w:lvlJc w:val="left"/>
      <w:lvlText w:val="(%1)"/>
      <w:numFmt w:val="decimal"/>
      <w:start w:val="1"/>
    </w:lvl>
  </w:abstractNum>
  <w:abstractNum w:abstractNumId="114">
    <w:nsid w:val="230F856C"/>
    <w:multiLevelType w:val="hybridMultilevel"/>
    <w:lvl w:ilvl="0">
      <w:lvlJc w:val="left"/>
      <w:lvlText w:val="(%1)"/>
      <w:numFmt w:val="decimal"/>
      <w:start w:val="1"/>
    </w:lvl>
  </w:abstractNum>
  <w:abstractNum w:abstractNumId="115">
    <w:nsid w:val="6EAA85FB"/>
    <w:multiLevelType w:val="hybridMultilevel"/>
    <w:lvl w:ilvl="0">
      <w:lvlJc w:val="left"/>
      <w:lvlText w:val="●"/>
      <w:numFmt w:val="bullet"/>
      <w:start w:val="1"/>
    </w:lvl>
  </w:abstractNum>
  <w:abstractNum w:abstractNumId="116">
    <w:nsid w:val="3F06ECB2"/>
    <w:multiLevelType w:val="hybridMultilevel"/>
    <w:lvl w:ilvl="0">
      <w:lvlJc w:val="left"/>
      <w:lvlText w:val="●"/>
      <w:numFmt w:val="bullet"/>
      <w:start w:val="1"/>
    </w:lvl>
  </w:abstractNum>
  <w:abstractNum w:abstractNumId="117">
    <w:nsid w:val="3B594807"/>
    <w:multiLevelType w:val="hybridMultilevel"/>
    <w:lvl w:ilvl="0">
      <w:lvlJc w:val="left"/>
      <w:lvlText w:val="●"/>
      <w:numFmt w:val="bullet"/>
      <w:start w:val="1"/>
    </w:lvl>
  </w:abstractNum>
  <w:abstractNum w:abstractNumId="118">
    <w:nsid w:val="6CAA2304"/>
    <w:multiLevelType w:val="hybridMultilevel"/>
    <w:lvl w:ilvl="0">
      <w:lvlJc w:val="left"/>
      <w:lvlText w:val="(%1)"/>
      <w:numFmt w:val="decimal"/>
      <w:start w:val="1"/>
    </w:lvl>
  </w:abstractNum>
  <w:abstractNum w:abstractNumId="119">
    <w:nsid w:val="3F7C2FF4"/>
    <w:multiLevelType w:val="hybridMultilevel"/>
    <w:lvl w:ilvl="0">
      <w:lvlJc w:val="left"/>
      <w:lvlText w:val="(%1)"/>
      <w:numFmt w:val="decimal"/>
      <w:start w:val="1"/>
    </w:lvl>
  </w:abstractNum>
  <w:abstractNum w:abstractNumId="120">
    <w:nsid w:val="25413BEC"/>
    <w:multiLevelType w:val="hybridMultilevel"/>
    <w:lvl w:ilvl="0">
      <w:lvlJc w:val="left"/>
      <w:lvlText w:val="(%1)"/>
      <w:numFmt w:val="decimal"/>
      <w:start w:val="1"/>
    </w:lvl>
  </w:abstractNum>
  <w:abstractNum w:abstractNumId="121">
    <w:nsid w:val="17180B0B"/>
    <w:multiLevelType w:val="hybridMultilevel"/>
    <w:lvl w:ilvl="0">
      <w:lvlJc w:val="left"/>
      <w:lvlText w:val="(%1)"/>
      <w:numFmt w:val="decimal"/>
      <w:start w:val="1"/>
    </w:lvl>
  </w:abstractNum>
  <w:abstractNum w:abstractNumId="122">
    <w:nsid w:val="579328B9"/>
    <w:multiLevelType w:val="hybridMultilevel"/>
    <w:lvl w:ilvl="0">
      <w:lvlJc w:val="left"/>
      <w:lvlText w:val="●"/>
      <w:numFmt w:val="bullet"/>
      <w:start w:val="1"/>
    </w:lvl>
  </w:abstractNum>
  <w:abstractNum w:abstractNumId="123">
    <w:nsid w:val="5D205E20"/>
    <w:multiLevelType w:val="hybridMultilevel"/>
    <w:lvl w:ilvl="0">
      <w:lvlJc w:val="left"/>
      <w:lvlText w:val="(%1)"/>
      <w:numFmt w:val="decimal"/>
      <w:start w:val="1"/>
    </w:lvl>
  </w:abstractNum>
  <w:abstractNum w:abstractNumId="124">
    <w:nsid w:val="11CCA8BA"/>
    <w:multiLevelType w:val="hybridMultilevel"/>
    <w:lvl w:ilvl="0">
      <w:lvlJc w:val="left"/>
      <w:lvlText w:val="(%1)"/>
      <w:numFmt w:val="decimal"/>
      <w:start w:val="1"/>
    </w:lvl>
  </w:abstractNum>
  <w:abstractNum w:abstractNumId="125">
    <w:nsid w:val="4D32AB86"/>
    <w:multiLevelType w:val="hybridMultilevel"/>
    <w:lvl w:ilvl="0">
      <w:lvlJc w:val="left"/>
      <w:lvlText w:val="●"/>
      <w:numFmt w:val="bullet"/>
      <w:start w:val="1"/>
    </w:lvl>
  </w:abstractNum>
  <w:abstractNum w:abstractNumId="126">
    <w:nsid w:val="3F07ACC3"/>
    <w:multiLevelType w:val="hybridMultilevel"/>
    <w:lvl w:ilvl="0">
      <w:lvlJc w:val="left"/>
      <w:lvlText w:val="(%1)"/>
      <w:numFmt w:val="decimal"/>
      <w:start w:val="1"/>
    </w:lvl>
  </w:abstractNum>
  <w:abstractNum w:abstractNumId="127">
    <w:nsid w:val="6B47F63E"/>
    <w:multiLevelType w:val="hybridMultilevel"/>
    <w:lvl w:ilvl="0">
      <w:lvlJc w:val="left"/>
      <w:lvlText w:val="(%1)"/>
      <w:numFmt w:val="decimal"/>
      <w:start w:val="1"/>
    </w:lvl>
  </w:abstractNum>
  <w:abstractNum w:abstractNumId="128">
    <w:nsid w:val="5CB44A05"/>
    <w:multiLevelType w:val="hybridMultilevel"/>
    <w:lvl w:ilvl="0">
      <w:lvlJc w:val="left"/>
      <w:lvlText w:val="(%1)"/>
      <w:numFmt w:val="decimal"/>
      <w:start w:val="1"/>
    </w:lvl>
  </w:abstractNum>
  <w:abstractNum w:abstractNumId="129">
    <w:nsid w:val="16CF80F1"/>
    <w:multiLevelType w:val="hybridMultilevel"/>
    <w:lvl w:ilvl="0">
      <w:lvlJc w:val="left"/>
      <w:lvlText w:val="%1."/>
      <w:numFmt w:val="decimal"/>
      <w:start w:val="4"/>
    </w:lvl>
  </w:abstractNum>
  <w:abstractNum w:abstractNumId="130">
    <w:nsid w:val="1C695DEC"/>
    <w:multiLevelType w:val="hybridMultilevel"/>
    <w:lvl w:ilvl="0">
      <w:lvlJc w:val="left"/>
      <w:lvlText w:val="*"/>
      <w:numFmt w:val="bullet"/>
      <w:start w:val="1"/>
    </w:lvl>
  </w:abstractNum>
  <w:abstractNum w:abstractNumId="131">
    <w:nsid w:val="3FCFAED9"/>
    <w:multiLevelType w:val="hybridMultilevel"/>
    <w:lvl w:ilvl="0">
      <w:lvlJc w:val="left"/>
      <w:lvlText w:val="(%1)"/>
      <w:numFmt w:val="decimal"/>
      <w:start w:val="1"/>
    </w:lvl>
  </w:abstractNum>
  <w:abstractNum w:abstractNumId="132">
    <w:nsid w:val="F856867"/>
    <w:multiLevelType w:val="hybridMultilevel"/>
    <w:lvl w:ilvl="0">
      <w:lvlJc w:val="left"/>
      <w:lvlText w:val="$"/>
      <w:numFmt w:val="bullet"/>
      <w:start w:val="1"/>
    </w:lvl>
  </w:abstractNum>
  <w:abstractNum w:abstractNumId="133">
    <w:nsid w:val="11B1CC33"/>
    <w:multiLevelType w:val="hybridMultilevel"/>
    <w:lvl w:ilvl="0">
      <w:lvlJc w:val="left"/>
      <w:lvlText w:val="$"/>
      <w:numFmt w:val="bullet"/>
      <w:start w:val="1"/>
    </w:lvl>
  </w:abstractNum>
  <w:abstractNum w:abstractNumId="134">
    <w:nsid w:val="2E22FBB7"/>
    <w:multiLevelType w:val="hybridMultilevel"/>
    <w:lvl w:ilvl="0">
      <w:lvlJc w:val="left"/>
      <w:lvlText w:val="(%1)"/>
      <w:numFmt w:val="decimal"/>
      <w:start w:val="1"/>
    </w:lvl>
  </w:abstractNum>
  <w:abstractNum w:abstractNumId="135">
    <w:nsid w:val="29934699"/>
    <w:multiLevelType w:val="hybridMultilevel"/>
    <w:lvl w:ilvl="0">
      <w:lvlJc w:val="left"/>
      <w:lvlText w:val="(%1)"/>
      <w:numFmt w:val="decimal"/>
      <w:start w:val="1"/>
    </w:lvl>
  </w:abstractNum>
  <w:abstractNum w:abstractNumId="136">
    <w:nsid w:val="77485850"/>
    <w:multiLevelType w:val="hybridMultilevel"/>
    <w:lvl w:ilvl="0">
      <w:lvlJc w:val="left"/>
      <w:lvlText w:val="(%1)"/>
      <w:numFmt w:val="decimal"/>
      <w:start w:val="1"/>
    </w:lvl>
  </w:abstractNum>
  <w:abstractNum w:abstractNumId="137">
    <w:nsid w:val="744939A3"/>
    <w:multiLevelType w:val="hybridMultilevel"/>
    <w:lvl w:ilvl="0">
      <w:lvlJc w:val="left"/>
      <w:lvlText w:val="%1."/>
      <w:numFmt w:val="decimal"/>
      <w:start w:val="10"/>
    </w:lvl>
  </w:abstractNum>
  <w:abstractNum w:abstractNumId="138">
    <w:nsid w:val="4FA0D2E3"/>
    <w:multiLevelType w:val="hybridMultilevel"/>
    <w:lvl w:ilvl="0">
      <w:lvlJc w:val="left"/>
      <w:lvlText w:val="(%1)"/>
      <w:numFmt w:val="decimal"/>
      <w:start w:val="1"/>
    </w:lvl>
  </w:abstractNum>
  <w:abstractNum w:abstractNumId="139">
    <w:nsid w:val="6B1D2C14"/>
    <w:multiLevelType w:val="hybridMultilevel"/>
    <w:lvl w:ilvl="0">
      <w:lvlJc w:val="left"/>
      <w:lvlText w:val="%1."/>
      <w:numFmt w:val="decimal"/>
      <w:start w:val="12"/>
    </w:lvl>
  </w:abstractNum>
  <w:abstractNum w:abstractNumId="140">
    <w:nsid w:val="68B867D3"/>
    <w:multiLevelType w:val="hybridMultilevel"/>
    <w:lvl w:ilvl="0">
      <w:lvlJc w:val="left"/>
      <w:lvlText w:val="(%1)"/>
      <w:numFmt w:val="decimal"/>
      <w:start w:val="1"/>
    </w:lvl>
  </w:abstractNum>
  <w:abstractNum w:abstractNumId="141">
    <w:nsid w:val="3F7F5DD9"/>
    <w:multiLevelType w:val="hybridMultilevel"/>
    <w:lvl w:ilvl="0">
      <w:lvlJc w:val="left"/>
      <w:lvlText w:val="%1."/>
      <w:numFmt w:val="decimal"/>
      <w:start w:val="12"/>
    </w:lvl>
  </w:abstractNum>
  <w:abstractNum w:abstractNumId="142">
    <w:nsid w:val="2AE05A34"/>
    <w:multiLevelType w:val="hybridMultilevel"/>
    <w:lvl w:ilvl="0">
      <w:lvlJc w:val="left"/>
      <w:lvlText w:val="●"/>
      <w:numFmt w:val="bullet"/>
      <w:start w:val="1"/>
    </w:lvl>
  </w:abstractNum>
  <w:abstractNum w:abstractNumId="143">
    <w:nsid w:val="32794FF7"/>
    <w:multiLevelType w:val="hybridMultilevel"/>
    <w:lvl w:ilvl="0">
      <w:lvlJc w:val="left"/>
      <w:lvlText w:val="%1."/>
      <w:numFmt w:val="decimal"/>
      <w:start w:val="15"/>
    </w:lvl>
    <w:lvl w:ilvl="1">
      <w:lvlJc w:val="left"/>
      <w:lvlText w:val="●"/>
      <w:numFmt w:val="bullet"/>
      <w:start w:val="1"/>
    </w:lvl>
  </w:abstractNum>
  <w:abstractNum w:abstractNumId="144">
    <w:nsid w:val="5454945E"/>
    <w:multiLevelType w:val="hybridMultilevel"/>
    <w:lvl w:ilvl="0">
      <w:lvlJc w:val="left"/>
      <w:lvlText w:val="(%1)"/>
      <w:numFmt w:val="decimal"/>
      <w:start w:val="1"/>
    </w:lvl>
  </w:abstractNum>
  <w:abstractNum w:abstractNumId="145">
    <w:nsid w:val="4DEFDFA0"/>
    <w:multiLevelType w:val="hybridMultilevel"/>
    <w:lvl w:ilvl="0">
      <w:lvlJc w:val="left"/>
      <w:lvlText w:val="(%1)"/>
      <w:numFmt w:val="decimal"/>
      <w:start w:val="1"/>
    </w:lvl>
  </w:abstractNum>
  <w:abstractNum w:abstractNumId="146">
    <w:nsid w:val="2123D5F2"/>
    <w:multiLevelType w:val="hybridMultilevel"/>
    <w:lvl w:ilvl="0">
      <w:lvlJc w:val="left"/>
      <w:lvlText w:val="(%1)"/>
      <w:numFmt w:val="decimal"/>
      <w:start w:val="1"/>
    </w:lvl>
  </w:abstractNum>
  <w:abstractNum w:abstractNumId="147">
    <w:nsid w:val="135B8110"/>
    <w:multiLevelType w:val="hybridMultilevel"/>
    <w:lvl w:ilvl="0">
      <w:lvlJc w:val="left"/>
      <w:lvlText w:val="(%1)"/>
      <w:numFmt w:val="decimal"/>
      <w:start w:val="1"/>
    </w:lvl>
  </w:abstractNum>
  <w:abstractNum w:abstractNumId="148">
    <w:nsid w:val="94927A8"/>
    <w:multiLevelType w:val="hybridMultilevel"/>
    <w:lvl w:ilvl="0">
      <w:lvlJc w:val="left"/>
      <w:lvlText w:val="●"/>
      <w:numFmt w:val="bullet"/>
      <w:start w:val="1"/>
    </w:lvl>
  </w:abstractNum>
  <w:abstractNum w:abstractNumId="149">
    <w:nsid w:val="DCDF8F6"/>
    <w:multiLevelType w:val="hybridMultilevel"/>
    <w:lvl w:ilvl="0">
      <w:lvlJc w:val="left"/>
      <w:lvlText w:val="%1."/>
      <w:numFmt w:val="decimal"/>
      <w:start w:val="17"/>
    </w:lvl>
  </w:abstractNum>
  <w:abstractNum w:abstractNumId="150">
    <w:nsid w:val="52D7B105"/>
    <w:multiLevelType w:val="hybridMultilevel"/>
    <w:lvl w:ilvl="0">
      <w:lvlJc w:val="left"/>
      <w:lvlText w:val="●"/>
      <w:numFmt w:val="bullet"/>
      <w:start w:val="1"/>
    </w:lvl>
  </w:abstractNum>
  <w:abstractNum w:abstractNumId="151">
    <w:nsid w:val="2E8A6394"/>
    <w:multiLevelType w:val="hybridMultilevel"/>
    <w:lvl w:ilvl="0">
      <w:lvlJc w:val="left"/>
      <w:lvlText w:val="(%1)"/>
      <w:numFmt w:val="decimal"/>
      <w:start w:val="1"/>
    </w:lvl>
  </w:abstractNum>
  <w:abstractNum w:abstractNumId="152">
    <w:nsid w:val="24E60401"/>
    <w:multiLevelType w:val="hybridMultilevel"/>
    <w:lvl w:ilvl="0">
      <w:lvlJc w:val="left"/>
      <w:lvlText w:val="%1."/>
      <w:numFmt w:val="decimal"/>
      <w:start w:val="1"/>
    </w:lvl>
  </w:abstractNum>
  <w:abstractNum w:abstractNumId="153">
    <w:nsid w:val="2A6AD9BE"/>
    <w:multiLevelType w:val="hybridMultilevel"/>
    <w:lvl w:ilvl="0">
      <w:lvlJc w:val="left"/>
      <w:lvlText w:val="(%1)"/>
      <w:numFmt w:val="decimal"/>
      <w:start w:val="1"/>
    </w:lvl>
  </w:abstractNum>
  <w:abstractNum w:abstractNumId="154">
    <w:nsid w:val="BAAC1B4"/>
    <w:multiLevelType w:val="hybridMultilevel"/>
    <w:lvl w:ilvl="0">
      <w:lvlJc w:val="left"/>
      <w:lvlText w:val="●"/>
      <w:numFmt w:val="bullet"/>
      <w:start w:val="1"/>
    </w:lvl>
  </w:abstractNum>
  <w:abstractNum w:abstractNumId="155">
    <w:nsid w:val="36B2ACBC"/>
    <w:multiLevelType w:val="hybridMultilevel"/>
    <w:lvl w:ilvl="0">
      <w:lvlJc w:val="left"/>
      <w:lvlText w:val="$"/>
      <w:numFmt w:val="bullet"/>
      <w:start w:val="1"/>
    </w:lvl>
  </w:abstractNum>
  <w:abstractNum w:abstractNumId="156">
    <w:nsid w:val="779D8544"/>
    <w:multiLevelType w:val="hybridMultilevel"/>
    <w:lvl w:ilvl="0">
      <w:lvlJc w:val="left"/>
      <w:lvlText w:val="$"/>
      <w:numFmt w:val="bullet"/>
      <w:start w:val="1"/>
    </w:lvl>
  </w:abstractNum>
  <w:abstractNum w:abstractNumId="157">
    <w:nsid w:val="4AB26E78"/>
    <w:multiLevelType w:val="hybridMultilevel"/>
    <w:lvl w:ilvl="0">
      <w:lvlJc w:val="left"/>
      <w:lvlText w:val="$"/>
      <w:numFmt w:val="bullet"/>
      <w:start w:val="1"/>
    </w:lvl>
  </w:abstractNum>
  <w:abstractNum w:abstractNumId="158">
    <w:nsid w:val="21FAA2FA"/>
    <w:multiLevelType w:val="hybridMultilevel"/>
    <w:lvl w:ilvl="0">
      <w:lvlJc w:val="left"/>
      <w:lvlText w:val="$"/>
      <w:numFmt w:val="bullet"/>
      <w:start w:val="1"/>
    </w:lvl>
  </w:abstractNum>
  <w:abstractNum w:abstractNumId="159">
    <w:nsid w:val="5451CF49"/>
    <w:multiLevelType w:val="hybridMultilevel"/>
    <w:lvl w:ilvl="0">
      <w:lvlJc w:val="left"/>
      <w:lvlText w:val="%1."/>
      <w:numFmt w:val="decimal"/>
      <w:start w:val="1"/>
    </w:lvl>
  </w:abstractNum>
  <w:abstractNum w:abstractNumId="160">
    <w:nsid w:val="6181EF69"/>
    <w:multiLevelType w:val="hybridMultilevel"/>
    <w:lvl w:ilvl="0">
      <w:lvlJc w:val="left"/>
      <w:lvlText w:val="%1."/>
      <w:numFmt w:val="decimal"/>
      <w:start w:val="2"/>
    </w:lvl>
  </w:abstractNum>
  <w:abstractNum w:abstractNumId="161">
    <w:nsid w:val="3E6400E6"/>
    <w:multiLevelType w:val="hybridMultilevel"/>
    <w:lvl w:ilvl="0">
      <w:lvlJc w:val="left"/>
      <w:lvlText w:val="%1."/>
      <w:numFmt w:val="decimal"/>
      <w:start w:val="2"/>
    </w:lvl>
  </w:abstractNum>
  <w:abstractNum w:abstractNumId="162">
    <w:nsid w:val="14217E23"/>
    <w:multiLevelType w:val="hybridMultilevel"/>
    <w:lvl w:ilvl="0">
      <w:lvlJc w:val="left"/>
      <w:lvlText w:val="%1."/>
      <w:numFmt w:val="decimal"/>
      <w:start w:val="2"/>
    </w:lvl>
  </w:abstractNum>
  <w:abstractNum w:abstractNumId="163">
    <w:nsid w:val="710757D0"/>
    <w:multiLevelType w:val="hybridMultilevel"/>
    <w:lvl w:ilvl="0">
      <w:lvlJc w:val="left"/>
      <w:lvlText w:val="%1."/>
      <w:numFmt w:val="decimal"/>
      <w:start w:val="2"/>
    </w:lvl>
  </w:abstractNum>
  <w:abstractNum w:abstractNumId="164">
    <w:nsid w:val="5015CD1A"/>
    <w:multiLevelType w:val="hybridMultilevel"/>
    <w:lvl w:ilvl="0">
      <w:lvlJc w:val="left"/>
      <w:lvlText w:val="%1."/>
      <w:numFmt w:val="decimal"/>
      <w:start w:val="3"/>
    </w:lvl>
  </w:abstractNum>
  <w:abstractNum w:abstractNumId="165">
    <w:nsid w:val="424479DA"/>
    <w:multiLevelType w:val="hybridMultilevel"/>
    <w:lvl w:ilvl="0">
      <w:lvlJc w:val="left"/>
      <w:lvlText w:val="%1."/>
      <w:numFmt w:val="decimal"/>
      <w:start w:val="3"/>
    </w:lvl>
  </w:abstractNum>
  <w:abstractNum w:abstractNumId="166">
    <w:nsid w:val="1A9A9E69"/>
    <w:multiLevelType w:val="hybridMultilevel"/>
    <w:lvl w:ilvl="0">
      <w:lvlJc w:val="left"/>
      <w:lvlText w:val="%1."/>
      <w:numFmt w:val="decimal"/>
      <w:start w:val="4"/>
    </w:lvl>
  </w:abstractNum>
  <w:abstractNum w:abstractNumId="167">
    <w:nsid w:val="475E256A"/>
    <w:multiLevelType w:val="hybridMultilevel"/>
    <w:lvl w:ilvl="0">
      <w:lvlJc w:val="left"/>
      <w:lvlText w:val="$"/>
      <w:numFmt w:val="bullet"/>
      <w:start w:val="1"/>
    </w:lvl>
  </w:abstractNum>
  <w:abstractNum w:abstractNumId="168">
    <w:nsid w:val="368DB37E"/>
    <w:multiLevelType w:val="hybridMultilevel"/>
    <w:lvl w:ilvl="0">
      <w:lvlJc w:val="left"/>
      <w:lvlText w:val="$"/>
      <w:numFmt w:val="bullet"/>
      <w:start w:val="1"/>
    </w:lvl>
  </w:abstractNum>
  <w:abstractNum w:abstractNumId="169">
    <w:nsid w:val="6A3B714C"/>
    <w:multiLevelType w:val="hybridMultilevel"/>
    <w:lvl w:ilvl="0">
      <w:lvlJc w:val="left"/>
      <w:lvlText w:val="%1."/>
      <w:numFmt w:val="decimal"/>
      <w:start w:val="4"/>
    </w:lvl>
  </w:abstractNum>
  <w:abstractNum w:abstractNumId="170">
    <w:nsid w:val="327B517E"/>
    <w:multiLevelType w:val="hybridMultilevel"/>
    <w:lvl w:ilvl="0">
      <w:lvlJc w:val="left"/>
      <w:lvlText w:val="%1."/>
      <w:numFmt w:val="decimal"/>
      <w:start w:val="5"/>
    </w:lvl>
  </w:abstractNum>
  <w:abstractNum w:abstractNumId="171">
    <w:nsid w:val="1F461B51"/>
    <w:multiLevelType w:val="hybridMultilevel"/>
    <w:lvl w:ilvl="0">
      <w:lvlJc w:val="left"/>
      <w:lvlText w:val="%1."/>
      <w:numFmt w:val="decimal"/>
      <w:start w:val="6"/>
    </w:lvl>
  </w:abstractNum>
  <w:abstractNum w:abstractNumId="172">
    <w:nsid w:val="29BACF25"/>
    <w:multiLevelType w:val="hybridMultilevel"/>
    <w:lvl w:ilvl="0">
      <w:lvlJc w:val="left"/>
      <w:lvlText w:val="%1."/>
      <w:numFmt w:val="decimal"/>
      <w:start w:val="7"/>
    </w:lvl>
  </w:abstractNum>
  <w:abstractNum w:abstractNumId="173">
    <w:nsid w:val="5D5BABB3"/>
    <w:multiLevelType w:val="hybridMultilevel"/>
    <w:lvl w:ilvl="0">
      <w:lvlJc w:val="left"/>
      <w:lvlText w:val="%1."/>
      <w:numFmt w:val="decimal"/>
      <w:start w:val="1"/>
    </w:lvl>
  </w:abstractNum>
  <w:abstractNum w:abstractNumId="174">
    <w:nsid w:val="51BF6B48"/>
    <w:multiLevelType w:val="hybridMultilevel"/>
    <w:lvl w:ilvl="0">
      <w:lvlJc w:val="left"/>
      <w:lvlText w:val="%1."/>
      <w:numFmt w:val="decimal"/>
      <w:start w:val="2"/>
    </w:lvl>
  </w:abstractNum>
  <w:abstractNum w:abstractNumId="175">
    <w:nsid w:val="7E0F6384"/>
    <w:multiLevelType w:val="hybridMultilevel"/>
    <w:lvl w:ilvl="0">
      <w:lvlJc w:val="left"/>
      <w:lvlText w:val="%1."/>
      <w:numFmt w:val="decimal"/>
      <w:start w:val="2"/>
    </w:lvl>
  </w:abstractNum>
  <w:abstractNum w:abstractNumId="176">
    <w:nsid w:val="2B4B8B53"/>
    <w:multiLevelType w:val="hybridMultilevel"/>
    <w:lvl w:ilvl="0">
      <w:lvlJc w:val="left"/>
      <w:lvlText w:val="%1."/>
      <w:numFmt w:val="decimal"/>
      <w:start w:val="2"/>
    </w:lvl>
  </w:abstractNum>
  <w:abstractNum w:abstractNumId="177">
    <w:nsid w:val="72E3413A"/>
    <w:multiLevelType w:val="hybridMultilevel"/>
    <w:lvl w:ilvl="0">
      <w:lvlJc w:val="left"/>
      <w:lvlText w:val="%1."/>
      <w:numFmt w:val="decimal"/>
      <w:start w:val="2"/>
    </w:lvl>
  </w:abstractNum>
  <w:abstractNum w:abstractNumId="178">
    <w:nsid w:val="116AE494"/>
    <w:multiLevelType w:val="hybridMultilevel"/>
    <w:lvl w:ilvl="0">
      <w:lvlJc w:val="left"/>
      <w:lvlText w:val="%1."/>
      <w:numFmt w:val="decimal"/>
      <w:start w:val="3"/>
    </w:lvl>
  </w:abstractNum>
  <w:abstractNum w:abstractNumId="179">
    <w:nsid w:val="3494B2FB"/>
    <w:multiLevelType w:val="hybridMultilevel"/>
    <w:lvl w:ilvl="0">
      <w:lvlJc w:val="left"/>
      <w:lvlText w:val="%1."/>
      <w:numFmt w:val="decimal"/>
      <w:start w:val="3"/>
    </w:lvl>
  </w:abstractNum>
  <w:abstractNum w:abstractNumId="180">
    <w:nsid w:val="B13A31"/>
    <w:multiLevelType w:val="hybridMultilevel"/>
    <w:lvl w:ilvl="0">
      <w:lvlJc w:val="left"/>
      <w:lvlText w:val="%1."/>
      <w:numFmt w:val="decimal"/>
      <w:start w:val="4"/>
    </w:lvl>
  </w:abstractNum>
  <w:abstractNum w:abstractNumId="181">
    <w:nsid w:val="64429599"/>
    <w:multiLevelType w:val="hybridMultilevel"/>
    <w:lvl w:ilvl="0">
      <w:lvlJc w:val="left"/>
      <w:lvlText w:val="%1."/>
      <w:numFmt w:val="decimal"/>
      <w:start w:val="4"/>
    </w:lvl>
  </w:abstractNum>
  <w:abstractNum w:abstractNumId="182">
    <w:nsid w:val="631F1690"/>
    <w:multiLevelType w:val="hybridMultilevel"/>
    <w:lvl w:ilvl="0">
      <w:lvlJc w:val="left"/>
      <w:lvlText w:val="%1."/>
      <w:numFmt w:val="decimal"/>
      <w:start w:val="5"/>
    </w:lvl>
  </w:abstractNum>
  <w:abstractNum w:abstractNumId="183">
    <w:nsid w:val="25973E32"/>
    <w:multiLevelType w:val="hybridMultilevel"/>
    <w:lvl w:ilvl="0">
      <w:lvlJc w:val="left"/>
      <w:lvlText w:val="%1."/>
      <w:numFmt w:val="decimal"/>
      <w:start w:val="6"/>
    </w:lvl>
  </w:abstractNum>
  <w:abstractNum w:abstractNumId="184">
    <w:nsid w:val="EAD6F57"/>
    <w:multiLevelType w:val="hybridMultilevel"/>
    <w:lvl w:ilvl="0">
      <w:lvlJc w:val="left"/>
      <w:lvlText w:val="%1."/>
      <w:numFmt w:val="decimal"/>
      <w:start w:val="7"/>
    </w:lvl>
  </w:abstractNum>
  <w:abstractNum w:abstractNumId="185">
    <w:nsid w:val="6EC9D844"/>
    <w:multiLevelType w:val="hybridMultilevel"/>
    <w:lvl w:ilvl="0">
      <w:lvlJc w:val="left"/>
      <w:lvlText w:val="%1."/>
      <w:numFmt w:val="decimal"/>
      <w:start w:val="8"/>
    </w:lvl>
  </w:abstractNum>
  <w:abstractNum w:abstractNumId="186">
    <w:nsid w:val="5C49EAEE"/>
    <w:multiLevelType w:val="hybridMultilevel"/>
    <w:lvl w:ilvl="0">
      <w:lvlJc w:val="left"/>
      <w:lvlText w:val="%1."/>
      <w:numFmt w:val="decimal"/>
      <w:start w:val="9"/>
    </w:lvl>
  </w:abstractNum>
  <w:abstractNum w:abstractNumId="187">
    <w:nsid w:val="64AF49B"/>
    <w:multiLevelType w:val="hybridMultilevel"/>
    <w:lvl w:ilvl="0">
      <w:lvlJc w:val="left"/>
      <w:lvlText w:val="*"/>
      <w:numFmt w:val="bullet"/>
      <w:start w:val="1"/>
    </w:lvl>
  </w:abstractNum>
  <w:abstractNum w:abstractNumId="188">
    <w:nsid w:val="397C46BC"/>
    <w:multiLevelType w:val="hybridMultilevel"/>
    <w:lvl w:ilvl="0">
      <w:lvlJc w:val="left"/>
      <w:lvlText w:val="*"/>
      <w:numFmt w:val="bullet"/>
      <w:start w:val="1"/>
    </w:lvl>
    <w:lvl w:ilvl="1">
      <w:lvlJc w:val="left"/>
      <w:lvlText w:val="%2"/>
      <w:numFmt w:val="decimal"/>
      <w:start w:val="104"/>
    </w:lvl>
  </w:abstractNum>
  <w:abstractNum w:abstractNumId="189">
    <w:nsid w:val="7E448DE9"/>
    <w:multiLevelType w:val="hybridMultilevel"/>
    <w:lvl w:ilvl="0">
      <w:lvlJc w:val="left"/>
      <w:lvlText w:val="**"/>
      <w:numFmt w:val="bullet"/>
      <w:start w:val="1"/>
    </w:lvl>
    <w:lvl w:ilvl="1">
      <w:lvlJc w:val="left"/>
      <w:lvlText w:val="%2"/>
      <w:numFmt w:val="decimal"/>
      <w:start w:val="1"/>
    </w:lvl>
  </w:abstractNum>
  <w:abstractNum w:abstractNumId="190">
    <w:nsid w:val="5A9CC3E5"/>
    <w:multiLevelType w:val="hybridMultilevel"/>
    <w:lvl w:ilvl="0">
      <w:lvlJc w:val="left"/>
      <w:lvlText w:val="†"/>
      <w:numFmt w:val="bullet"/>
      <w:start w:val="1"/>
    </w:lvl>
  </w:abstractNum>
  <w:abstractNum w:abstractNumId="191">
    <w:nsid w:val="1AFE3625"/>
    <w:multiLevelType w:val="hybridMultilevel"/>
    <w:lvl w:ilvl="0">
      <w:lvlJc w:val="left"/>
      <w:lvlText w:val="#"/>
      <w:numFmt w:val="bullet"/>
      <w:start w:val="1"/>
    </w:lvl>
    <w:lvl w:ilvl="1">
      <w:lvlJc w:val="left"/>
      <w:lvlText w:val="(%2)"/>
      <w:numFmt w:val="lowerLetter"/>
      <w:start w:val="2"/>
    </w:lvl>
  </w:abstractNum>
  <w:abstractNum w:abstractNumId="192">
    <w:nsid w:val="3CA88EC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399" Type="http://schemas.openxmlformats.org/officeDocument/2006/relationships/hyperlink" Target="http://www.sec.gov/Archives/edgar/data/1842279/000119312521347023/d270539dex21.htm" TargetMode="External"/><Relationship Id="rId400" Type="http://schemas.openxmlformats.org/officeDocument/2006/relationships/hyperlink" Target="http://www.sec.gov/Archives/edgar/data/1842279/000121390022046525/ea164040ex3-1_opalfuelsinc.htm" TargetMode="External"/><Relationship Id="rId401" Type="http://schemas.openxmlformats.org/officeDocument/2006/relationships/hyperlink" Target="http://www.sec.gov/Archives/edgar/data/1842279/000121390022042020/ea163248ex3-2_opal.htm" TargetMode="External"/><Relationship Id="rId402" Type="http://schemas.openxmlformats.org/officeDocument/2006/relationships/hyperlink" Target="http://www.sec.gov/Archives/edgar/data/1842279/000119312521073580/d118209dex43.htm" TargetMode="External"/><Relationship Id="rId403" Type="http://schemas.openxmlformats.org/officeDocument/2006/relationships/hyperlink" Target="http://www.sec.gov/Archives/edgar/data/1842279/000119312521096722/d167128dex41.htm" TargetMode="External"/><Relationship Id="rId404" Type="http://schemas.openxmlformats.org/officeDocument/2006/relationships/hyperlink" Target="http://www.sec.gov/Archives/edgar/data/1842279/000121390022046525/ea164040ex5-1_opalfuelsinc.htm" TargetMode="External"/><Relationship Id="rId405" Type="http://schemas.openxmlformats.org/officeDocument/2006/relationships/hyperlink" Target="http://www.sec.gov/Archives/edgar/data/1842279/000121390022024612/fs42022a3ex10-1_arclight2.htm" TargetMode="External"/><Relationship Id="rId406" Type="http://schemas.openxmlformats.org/officeDocument/2006/relationships/hyperlink" Target="http://www.sec.gov/Archives/edgar/data/1842279/000121390022042020/ea163248ex10-2_opal.htm" TargetMode="External"/><Relationship Id="rId407" Type="http://schemas.openxmlformats.org/officeDocument/2006/relationships/hyperlink" Target="http://www.sec.gov/Archives/edgar/data/1842279/000119312521096722/d167128dex104.htm" TargetMode="External"/><Relationship Id="rId408" Type="http://schemas.openxmlformats.org/officeDocument/2006/relationships/hyperlink" Target="http://www.sec.gov/Archives/edgar/data/1842279/000119312521347023/d270539dex102.htm" TargetMode="External"/><Relationship Id="rId409" Type="http://schemas.openxmlformats.org/officeDocument/2006/relationships/hyperlink" Target="http://www.sec.gov/Archives/edgar/data/1842279/000119312521347023/d270539dex101.htm" TargetMode="External"/><Relationship Id="rId410" Type="http://schemas.openxmlformats.org/officeDocument/2006/relationships/hyperlink" Target="http://www.sec.gov/Archives/edgar/data/1842279/000121390022025716/ea159809ex10-1_arclight2.htm" TargetMode="External"/><Relationship Id="rId411" Type="http://schemas.openxmlformats.org/officeDocument/2006/relationships/hyperlink" Target="http://www.sec.gov/Archives/edgar/data/1842279/000121390022042020/ea163248ex10-6_opal.htm" TargetMode="External"/><Relationship Id="rId412" Type="http://schemas.openxmlformats.org/officeDocument/2006/relationships/hyperlink" Target="http://www.sec.gov/Archives/edgar/data/1842279/000121390022042020/ea163248ex10-7_opal.htm" TargetMode="External"/><Relationship Id="rId413" Type="http://schemas.openxmlformats.org/officeDocument/2006/relationships/hyperlink" Target="http://www.sec.gov/Archives/edgar/data/1842279/000121390022042020/ea163248ex10-8_opal.htm" TargetMode="External"/><Relationship Id="rId414" Type="http://schemas.openxmlformats.org/officeDocument/2006/relationships/hyperlink" Target="http://www.sec.gov/Archives/edgar/data/1842279/000121390022015221/ea157420ex10-8_arclight2.htm" TargetMode="External"/><Relationship Id="rId415" Type="http://schemas.openxmlformats.org/officeDocument/2006/relationships/hyperlink" Target="http://www.sec.gov/Archives/edgar/data/1842279/000121390022015221/ea157420ex10-9_arclight2.htm" TargetMode="External"/><Relationship Id="rId416" Type="http://schemas.openxmlformats.org/officeDocument/2006/relationships/hyperlink" Target="http://www.sec.gov/Archives/edgar/data/1842279/000121390022015221/ea157420ex10-10_arclight2.htm" TargetMode="External"/><Relationship Id="rId417" Type="http://schemas.openxmlformats.org/officeDocument/2006/relationships/hyperlink" Target="http://www.sec.gov/Archives/edgar/data/1842279/000121390022015221/ea157420ex10-11_arclight2.htm" TargetMode="External"/><Relationship Id="rId418" Type="http://schemas.openxmlformats.org/officeDocument/2006/relationships/hyperlink" Target="http://www.sec.gov/Archives/edgar/data/1842279/000121390022015221/ea157420ex10-12_arclight2.htm" TargetMode="External"/><Relationship Id="rId419" Type="http://schemas.openxmlformats.org/officeDocument/2006/relationships/hyperlink" Target="http://www.sec.gov/Archives/edgar/data/1842279/000121390022015221/ea157420ex10-13_arclight2.htm" TargetMode="External"/><Relationship Id="rId420" Type="http://schemas.openxmlformats.org/officeDocument/2006/relationships/hyperlink" Target="https://www.sec.gov/Archives/edgar/data/1842279/000184227922000027/executedamendmentno3todd.htm" TargetMode="External"/><Relationship Id="rId421" Type="http://schemas.openxmlformats.org/officeDocument/2006/relationships/hyperlink" Target="http://www.sec.gov/Archives/edgar/data/1842279/000121390022042020/ea163248ex21-1_opal.htm" TargetMode="External"/><Relationship Id="rId422" Type="http://schemas.openxmlformats.org/officeDocument/2006/relationships/hyperlink" Target="https://www.sec.gov/Archives/edgar/data/1842279/000121390022057477/ea165994ex-fee_opalfuel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2022-10-14T16:43:23Z</dcterms:created>
  <dcterms:modified xsi:type="dcterms:W3CDTF">2022-10-14T16:43:23Z</dcterms:modified>
</cp:coreProperties>
</file>