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4,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F. Erhard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 Transition Corp. II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 Clarendon Street, 55th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Massachusetts 02116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ArcLight Clean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Corp. II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333-262583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Erhard: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March 7, 2022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Equity Stake Will Current ArcLight Equityholders and Opal Fuels Common Equityholders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 in New Opal..., page 14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620" w:type="dxa"/>
            <w:vAlign w:val="bottom"/>
          </w:tcPr>
          <w:p>
            <w:pPr>
              <w:ind w:left="3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disclose in this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the voting power that will be held by Mark Comora in New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20" w:type="dxa"/>
            <w:vAlign w:val="bottom"/>
          </w:tcPr>
          <w:p>
            <w:pPr>
              <w:ind w:left="3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OPAL following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 Combination. In addition, please disclose in this section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20" w:type="dxa"/>
            <w:vAlign w:val="bottom"/>
          </w:tcPr>
          <w:p>
            <w:pPr>
              <w:ind w:left="3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 existing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equityholders of OPAL Fuels, LLC will own approximately 74.5%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20" w:type="dxa"/>
            <w:vAlign w:val="bottom"/>
          </w:tcPr>
          <w:p>
            <w:pPr>
              <w:ind w:left="3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economic interest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OPAL Fuels, LLC following the Business Combination. We 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in Note 6(j) on page 208.</w:t>
            </w:r>
          </w:p>
        </w:tc>
        <w:tc>
          <w:tcPr>
            <w:tcW w:w="5620" w:type="dxa"/>
            <w:vAlign w:val="bottom"/>
          </w:tcPr>
          <w:p>
            <w:pPr>
              <w:ind w:left="3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your related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John F. Erhard</w:t>
            </w:r>
          </w:p>
        </w:tc>
        <w:tc>
          <w:tcPr>
            <w:tcW w:w="5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 LastNameJohn</w:t>
            </w:r>
          </w:p>
        </w:tc>
        <w:tc>
          <w:tcPr>
            <w:tcW w:w="5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1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Transition F. Erhard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ArcLight Clean</w:t>
            </w:r>
          </w:p>
        </w:tc>
        <w:tc>
          <w:tcPr>
            <w:tcW w:w="5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Corp.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5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  <w:tab/>
        <w:t>4, 2022NameArcLight Clean Transition Corp. II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2022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Simplified Post-Combination New OPAL Structure, page 30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5. Please revise the diagram on page 30 or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the footnotes to the diagram to also quantify the relative economic interests</w:t>
      </w:r>
    </w:p>
    <w:p>
      <w:pPr>
        <w:ind w:right="507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voting interests in OPAL Fuels LLC. The NextEra Subscription, page 31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346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regarding the terms of the Series A Preferred Units,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limitations on dividends or distributions for any junior units or any pari passu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units. Please revise to disclose whether this would impact dividends or distributions 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Opal Fuels units to be held by the registrant. We also note your disclosure that OPAL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Fuels is required to obtain the consent of the holders of the Series A Preferred Units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before issuing indebtedness resulting in payment obligations in excess of certain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thresholds. Please revise to disclose such thresholds, or tell us why such information 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material. In addition, please file the certificates of designation governing the terms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Series A Preferred Units and the Series A-1 Preferred Units. Refer to Item 601(b)(10)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S-K.</w:t>
      </w:r>
    </w:p>
    <w:p>
      <w:pPr>
        <w:ind w:right="297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certain cases, payments under the Tax Receivable Agreement may be accelerated..., page 98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98 that if the TRA Participants were to exchange all of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their Opal Common Units, New OPAL would recognize a deferred tax asset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approximately $431.0 million. However, this does not appear to be consistent with Note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6(l) on page 208 that states that if the TRA Participants were to exchange all of their Opal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Units, New OPAL would recognize a deferred tax asset of approximately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$508.0 million. Please revise or advise. In addition, we note the disclosure in Note 6(l)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it is more likely than not that the deferred tax assets will not be realized. Please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corresponding disclosure in your discussion of the deferred tax asset on page 98.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Opal Fuels Projected Financial Information, page 143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16, and reissue such comment. Please revise to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qualitatively and quantitatively discuss all material assumptions underlying the projections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on page 143. In that regard, we note that the financial forecast information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in Slide 39 of your December investor presentation filed as Exhibit 99.2 to a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on December 2, 2021 provided additional information for each year in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forecast period, such as gasoline gallon equivalent sold, LCFS price and expenses, as well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revenue attributable to RNG Fuel, Fuel Station Services and Renewable Power. Please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or advise.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Forum (Proposal 4D), page 167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19 and we re-issue in part. In that regard, we note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regarding your exclusive forum provision for certain actions 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claims. Please revise your disclosure in this section to identify such actions and claims,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F. Erhard</w:t>
      </w:r>
    </w:p>
    <w:p>
      <w:pPr>
        <w:ind w:right="6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 Transition Corp. II May 4, 2022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to clarify the courts selected in your exclusive forum provision. For example, you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860" w:type="dxa"/>
            <w:vAlign w:val="bottom"/>
          </w:tcPr>
          <w:p>
            <w:pPr>
              <w:ind w:left="6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 in</w:t>
            </w:r>
          </w:p>
        </w:tc>
        <w:tc>
          <w:tcPr>
            <w:tcW w:w="2040" w:type="dxa"/>
            <w:vAlign w:val="bottom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section that</w:t>
            </w:r>
          </w:p>
        </w:tc>
        <w:tc>
          <w:tcPr>
            <w:tcW w:w="422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another state or federal court located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within the State of</w:t>
            </w:r>
          </w:p>
        </w:tc>
        <w:tc>
          <w:tcPr>
            <w:tcW w:w="4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Delaware</w:t>
            </w:r>
          </w:p>
        </w:tc>
        <w:tc>
          <w:tcPr>
            <w:tcW w:w="62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shall be the exclusive forum for certain actions and claims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if the Court of</w:t>
            </w:r>
          </w:p>
        </w:tc>
        <w:tc>
          <w:tcPr>
            <w:tcW w:w="6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State of Delaware does not have subject matter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Chancery of</w:t>
            </w:r>
          </w:p>
        </w:tc>
        <w:tc>
          <w:tcPr>
            <w:tcW w:w="6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jurisdiction, but</w:t>
            </w:r>
          </w:p>
        </w:tc>
        <w:tc>
          <w:tcPr>
            <w:tcW w:w="2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does</w:t>
            </w:r>
          </w:p>
        </w:tc>
        <w:tc>
          <w:tcPr>
            <w:tcW w:w="4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1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appear to be consistent with Section 12.1 of your proposed charter attached in Annex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C. In addition, please disclose the provision in Section 12.3 of your proposed charter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selects the U.S. federal district courts as the exclusive forum for the resolution of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complaint asserting a cause of action arising under the Securities Act, and revise your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right="18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to state that there is uncertainty as to whether a court would enforce such</w:t>
      </w:r>
    </w:p>
    <w:p>
      <w:pPr>
        <w:ind w:right="18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provision. Please ensure that you make conforming changes throughout your prospectus.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Mark Wojciechowski at (202) 551-3759 or John Cannarella at (202)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551- 3337 if you have questions regarding comments on the financial statements and related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Kevin Dougherty at (202) 551-3271 or Laura Nicholson, Special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Counsel, at (202) 551-3584 with any other questions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LastNameJohn F. Erhard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NameArcLight Clean Transition Corp. II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4, 2022 Page 3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Julian Seiguer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2022-08-01T00:20:20Z</dcterms:created>
  <dcterms:modified xsi:type="dcterms:W3CDTF">2022-08-01T00:20:20Z</dcterms:modified>
</cp:coreProperties>
</file>