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34556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25755"/>
                    </a:xfrm>
                    <a:prstGeom prst="rect">
                      <a:avLst/>
                    </a:prstGeom>
                    <a:noFill/>
                  </pic:spPr>
                </pic:pic>
              </a:graphicData>
            </a:graphic>
          </wp:anchor>
        </w:drawing>
        <w:t>Filed by ArcLight Clean Transition Corp. II pursuant to</w:t>
      </w:r>
    </w:p>
    <w:p>
      <w:pPr>
        <w:spacing w:after="0" w:line="50" w:lineRule="exact"/>
        <w:rPr>
          <w:sz w:val="24"/>
          <w:szCs w:val="24"/>
          <w:color w:val="auto"/>
        </w:rPr>
      </w:pPr>
    </w:p>
    <w:p>
      <w:pPr>
        <w:ind w:left="784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780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776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ArcLight Clean Transition Corp. II</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001-40272</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EMAIL SUBJECT: </w:t>
      </w:r>
      <w:r>
        <w:rPr>
          <w:rFonts w:ascii="Arial" w:cs="Arial" w:eastAsia="Arial" w:hAnsi="Arial"/>
          <w:sz w:val="18"/>
          <w:szCs w:val="18"/>
          <w:color w:val="auto"/>
        </w:rPr>
        <w:t>OPAL Fuels to Become Publicly Traded Company on Nasdaq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Dear [Stakeholder/Customer/Partner Name]</w:t>
      </w:r>
    </w:p>
    <w:p>
      <w:pPr>
        <w:spacing w:after="0" w:line="225"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As a valued partner to OPAL Fuels, we wanted to take a moment to let you know about some exciting news. Today, we are thrilled to announce a significant milestone for OPAL Fuels as we plan to go public and list our stock on Nasdaq through a business combination with a special purpose acquisition company (SPAC), ArcLight Clean Transition Corp. II (“ArcLight”). We issued a release this morning about the transaction, which can be viewed here.</w:t>
      </w:r>
    </w:p>
    <w:p>
      <w:pPr>
        <w:spacing w:after="0" w:line="18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Because ArcLight Clean Transition Corp. II is already publicly traded, OPAL Fuels will become a public company when the deal is complete, trading on Nasdaq under the ticker symbol “OPL.” We expect to complete the transaction in Q2 of 2022. We will continue to operate under the OPAL Fuels name and manage our business the way we do today. It’s business as usual at OPAL Fuels.</w:t>
      </w:r>
    </w:p>
    <w:p>
      <w:pPr>
        <w:spacing w:after="0" w:line="184"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OPAL Fuels is a leading platform in the renewable fuels space for two primary reasons. First, our vertically integrated model differentiates us from other players in the industry, giving our stakeholders both a margin capture and business capture opportunity at each point along the RNG value chain. Second, with more than two decades of experience in the clean energy business, we have the depth and breadth of expertise to evaluate and execute on a robust pipeline of RNG projects to support our customers’ and partners’ growth.</w:t>
      </w:r>
    </w:p>
    <w:p>
      <w:pPr>
        <w:spacing w:after="0" w:line="187" w:lineRule="exact"/>
        <w:rPr>
          <w:sz w:val="24"/>
          <w:szCs w:val="24"/>
          <w:color w:val="auto"/>
        </w:rPr>
      </w:pPr>
    </w:p>
    <w:p>
      <w:pPr>
        <w:ind w:right="120"/>
        <w:spacing w:after="0" w:line="259" w:lineRule="auto"/>
        <w:rPr>
          <w:sz w:val="20"/>
          <w:szCs w:val="20"/>
          <w:color w:val="auto"/>
        </w:rPr>
      </w:pPr>
      <w:r>
        <w:rPr>
          <w:rFonts w:ascii="Arial" w:cs="Arial" w:eastAsia="Arial" w:hAnsi="Arial"/>
          <w:sz w:val="18"/>
          <w:szCs w:val="18"/>
          <w:color w:val="auto"/>
        </w:rPr>
        <w:t>This event provides significant financial resources to fund our accelerated growth and scale our waste-to-energy, vertically integrated renewable fuels platform. As a public company, we will be ideally positioned to meet the fast-growing demand for renewable fuel solutions and expand the role of ultra low-carbon renewable natural gas across the transportation sector. We are excited to kick off the next chapter in our journey to chart the course for the renewable natural gas industry and support our customers’ decarbonization efforts.</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Thank you sincerely for the part that you have played in getting us to this point. We look forward to continuing to work together.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Please don’t hesitate to reach out with any questions.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Adam Comora</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OPAL Fuels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Jonathan Maurer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OPAL Fuels</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891"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134556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2575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Certain statements in this communication may be considered forward-looking statements. Forward-looking statements are statements that are not historical facts and generally relate to future events or ArcLight’s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the Company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ArcLight’s final prospectus relating to its initial public offering, dated September 22, 2020, and other filings with the Securities and Exchange Commission (SEC), including the registration statement on Form S-4 to be filed by ArcLight in connection with the transaction, as well as (1) the inability to complete the proposed transaction; (2) factors associated with companies, such as the Company, that are engaged in the production and integration of renewable natural gas (RNG), 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the Company operates its landfill gas and livestock waste projects that generate electricity and RNG prices for environmental attributes, low carbon fuel standard credits and other incentives; (6) 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 customers and suppliers and retain key employees; (8) delays in obtaining, adverse conditions contained in, or the inability to obtain necessary regulatory approvals or complete regulatory reviews required to complete the proposed transaction; (9) the outcome of any legal proceedings that may be instituted in connection with the proposed transaction; (10) the amount of redemption requests made by ArcLight’s public shareholders; and (11) 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the Company expressly disclaim any obligations or undertaking to release publicly any updates or revisions to any forward-looking statements contained herein to reflect any change in ArcLight’s or the Company’s expectations with respect thereto or any change in events, conditions or circumstances on which any statement is based.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 full description of the terms of the transaction will be provided in a registration statement on Form S-4 to be filed with the SEC by ArcLight that will include a prospectus with respect to the combined company’s securities to be issued in connection with the business combination and a proxy statement with respect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1026" w:right="459" w:bottom="1440" w:gutter="0" w:footer="0" w:header="0"/>
        </w:sectPr>
      </w:pPr>
    </w:p>
    <w:bookmarkStart w:id="2" w:name="page3"/>
    <w:bookmarkEnd w:id="2"/>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45565"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45565" cy="325755"/>
                    </a:xfrm>
                    <a:prstGeom prst="rect">
                      <a:avLst/>
                    </a:prstGeom>
                    <a:noFill/>
                  </pic:spPr>
                </pic:pic>
              </a:graphicData>
            </a:graphic>
          </wp:anchor>
        </w:drawing>
        <w:t xml:space="preserve">the shareholders meeting of ArcLight to vote on the business combination. </w:t>
      </w:r>
      <w:r>
        <w:rPr>
          <w:rFonts w:ascii="Arial" w:cs="Arial" w:eastAsia="Arial" w:hAnsi="Arial"/>
          <w:sz w:val="16"/>
          <w:szCs w:val="16"/>
          <w:b w:val="1"/>
          <w:bCs w:val="1"/>
          <w:color w:val="auto"/>
        </w:rPr>
        <w:t>ArcLight urges its investors, shareholders and other interested persons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to read, when available, the preliminary proxy statement/prospectus as well as other documents filed with the SEC because these documents will contain important information about ArcLight, the Company and the transaction. </w:t>
      </w:r>
      <w:r>
        <w:rPr>
          <w:rFonts w:ascii="Arial" w:cs="Arial" w:eastAsia="Arial" w:hAnsi="Arial"/>
          <w:sz w:val="16"/>
          <w:szCs w:val="16"/>
          <w:color w:val="auto"/>
        </w:rPr>
        <w:t>After the registration statement is declared effective, the</w:t>
      </w:r>
      <w:r>
        <w:rPr>
          <w:rFonts w:ascii="Arial" w:cs="Arial" w:eastAsia="Arial" w:hAnsi="Arial"/>
          <w:sz w:val="16"/>
          <w:szCs w:val="16"/>
          <w:b w:val="1"/>
          <w:bCs w:val="1"/>
          <w:color w:val="auto"/>
        </w:rPr>
        <w:t xml:space="preserve"> </w:t>
      </w:r>
      <w:r>
        <w:rPr>
          <w:rFonts w:ascii="Arial" w:cs="Arial" w:eastAsia="Arial" w:hAnsi="Arial"/>
          <w:sz w:val="16"/>
          <w:szCs w:val="16"/>
          <w:color w:val="auto"/>
        </w:rPr>
        <w:t>definitive proxy statement/prospectus to be included in the registration statement will be mailed to shareholders of ArcLight as of a record date to be established for voting on the proposed business combination. Once available, shareholders will also be able to obtain a copy of the S-4, including the proxy statement/prospectus, and other documents filed with the SEC without charge, by directing a request to: ArcLight Clean Transition Corp. II, 200 Clarendon Street, 55th Floor, Boston, Massachusetts 02116. The preliminary and definitive proxy statement/prospectus to be included in the registration statement, once available, can also be obtained, without charge, at the SEC’s website (www.sec.gov).</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ArcLight and the Company and their respective directors and officers may be deemed to be participants in the solicitation of proxies from ArcLight’s shareholders in connection with the proposed transaction. Information about ArcLight’s directors and executive officers and their ownership of ArcLight’s securities is set forth in ArcLight’s filings with the SEC. To the extent that holdings of ArcLight’s securities have changed since the amounts printed in ArcLight’s Registration Statement on Form S-1, such changes have been or will be reflected on Statements of Change in Ownership on Form 4 filed with the SEC. Additional information regarding the interests of those persons and other persons who may be deemed participants in the proposed transaction may be obtained by reading the proxy statement/consent solicitation statement/prospectus regarding the proposed transaction when it becomes available. You may obtain free copies of these documents as described in the preceding paragraph.</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ArcLight, the Company or the combined company,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0980"/>
      </w:cols>
      <w:pgMar w:left="440" w:top="93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2021-12-02T15:54:01Z</dcterms:created>
  <dcterms:modified xsi:type="dcterms:W3CDTF">2021-12-02T15:54:01Z</dcterms:modified>
</cp:coreProperties>
</file>