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167640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ARCLIGHT CLEAN TRANSITION CORP. II</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90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001-40272</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12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5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200 Clarendon Street, 55th Floor</w:t>
            </w:r>
          </w:p>
        </w:tc>
        <w:tc>
          <w:tcPr>
            <w:tcW w:w="296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296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6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23"/>
        </w:trPr>
        <w:tc>
          <w:tcPr>
            <w:tcW w:w="3120" w:type="dxa"/>
            <w:vAlign w:val="bottom"/>
          </w:tcPr>
          <w:p>
            <w:pPr>
              <w:spacing w:after="0"/>
              <w:rPr>
                <w:sz w:val="24"/>
                <w:szCs w:val="24"/>
                <w:color w:val="auto"/>
              </w:rPr>
            </w:pPr>
          </w:p>
        </w:tc>
        <w:tc>
          <w:tcPr>
            <w:tcW w:w="39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(617) 531-6300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8"/>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60" w:type="dxa"/>
            <w:vAlign w:val="bottom"/>
          </w:tcPr>
          <w:p>
            <w:pPr>
              <w:spacing w:after="0"/>
              <w:rPr>
                <w:sz w:val="20"/>
                <w:szCs w:val="20"/>
                <w:color w:val="auto"/>
              </w:rPr>
            </w:pP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960" w:type="dxa"/>
            <w:vAlign w:val="bottom"/>
          </w:tcPr>
          <w:p>
            <w:pPr>
              <w:spacing w:after="0"/>
              <w:rPr>
                <w:sz w:val="24"/>
                <w:szCs w:val="24"/>
                <w:color w:val="auto"/>
              </w:rPr>
            </w:pPr>
          </w:p>
        </w:tc>
      </w:tr>
      <w:tr>
        <w:trPr>
          <w:trHeight w:val="238"/>
        </w:trPr>
        <w:tc>
          <w:tcPr>
            <w:tcW w:w="3120" w:type="dxa"/>
            <w:vAlign w:val="bottom"/>
          </w:tcPr>
          <w:p>
            <w:pPr>
              <w:spacing w:after="0"/>
              <w:rPr>
                <w:sz w:val="20"/>
                <w:szCs w:val="20"/>
                <w:color w:val="auto"/>
              </w:rPr>
            </w:pPr>
          </w:p>
        </w:tc>
        <w:tc>
          <w:tcPr>
            <w:tcW w:w="51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w w:val="99"/>
              </w:rPr>
              <w:t>ACTDU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Share, $0.0001 par value, and one-fifth of one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540" w:type="dxa"/>
            <w:vAlign w:val="bottom"/>
            <w:gridSpan w:val="3"/>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rPr>
              <w:t>Class A Ordinary Shares included as part of</w:t>
            </w:r>
          </w:p>
        </w:tc>
        <w:tc>
          <w:tcPr>
            <w:tcW w:w="3100" w:type="dxa"/>
            <w:vAlign w:val="bottom"/>
            <w:gridSpan w:val="2"/>
          </w:tcPr>
          <w:p>
            <w:pPr>
              <w:jc w:val="center"/>
              <w:ind w:right="900"/>
              <w:spacing w:after="0" w:line="198" w:lineRule="exact"/>
              <w:rPr>
                <w:sz w:val="20"/>
                <w:szCs w:val="20"/>
                <w:color w:val="auto"/>
              </w:rPr>
            </w:pPr>
            <w:r>
              <w:rPr>
                <w:rFonts w:ascii="Times New Roman" w:cs="Times New Roman" w:eastAsia="Times New Roman" w:hAnsi="Times New Roman"/>
                <w:sz w:val="18"/>
                <w:szCs w:val="18"/>
                <w:color w:val="auto"/>
                <w:w w:val="97"/>
              </w:rPr>
              <w:t>ACTD</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the units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4540" w:type="dxa"/>
            <w:vAlign w:val="bottom"/>
            <w:gridSpan w:val="3"/>
            <w:shd w:val="clear" w:color="auto" w:fill="CCEEFF"/>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included as part of the</w:t>
            </w:r>
          </w:p>
        </w:tc>
        <w:tc>
          <w:tcPr>
            <w:tcW w:w="3100" w:type="dxa"/>
            <w:vAlign w:val="bottom"/>
            <w:gridSpan w:val="2"/>
            <w:shd w:val="clear" w:color="auto" w:fill="CCEEFF"/>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ACTDW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units, each whole warrant exercisable for one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Class A Ordinary Share at an exercise price of</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91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July 15, 2022, ArcLight Clean Transition Corp. II (“</w:t>
      </w:r>
      <w:r>
        <w:rPr>
          <w:rFonts w:ascii="Times New Roman" w:cs="Times New Roman" w:eastAsia="Times New Roman" w:hAnsi="Times New Roman"/>
          <w:sz w:val="18"/>
          <w:szCs w:val="18"/>
          <w:b w:val="1"/>
          <w:bCs w:val="1"/>
          <w:color w:val="auto"/>
        </w:rPr>
        <w:t>ArcLight</w:t>
      </w:r>
      <w:r>
        <w:rPr>
          <w:rFonts w:ascii="Times New Roman" w:cs="Times New Roman" w:eastAsia="Times New Roman" w:hAnsi="Times New Roman"/>
          <w:sz w:val="18"/>
          <w:szCs w:val="18"/>
          <w:color w:val="auto"/>
        </w:rPr>
        <w:t>”) held an extraordinary general meeting of its shareholders (the “</w:t>
      </w:r>
      <w:r>
        <w:rPr>
          <w:rFonts w:ascii="Times New Roman" w:cs="Times New Roman" w:eastAsia="Times New Roman" w:hAnsi="Times New Roman"/>
          <w:sz w:val="18"/>
          <w:szCs w:val="18"/>
          <w:b w:val="1"/>
          <w:b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which holders of 29,019,058 ordinary shares (consisting of 21,239,982 Class A ordinary shares and 7,779,076 Class B ordinary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in person or by proxy, representing 74.61% of the voting power of ArcLight’s ordinary shares as of the date of the Special Meeting, and constituting a quorum for the transaction of business. The proposals listed below are described in more detail in the definitive proxy statement/prospectus of ArcLight which was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June 27, 2022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 summary of the voting results at the Special Meeting is set forth below:</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shareholders approved the Business Combination Proposal, the Domestication Proposal, the Organizational Documents Proposals, the Advisory Charter Proposals, the Nasdaq Proposal and the Equity Incentive Plan Proposal (each as defined in the Proxy Statement).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voting results for each proposal were as follows:</w:t>
            </w: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Business Combination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620" w:type="dxa"/>
            <w:vAlign w:val="bottom"/>
            <w:tcBorders>
              <w:top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gridSpan w:val="3"/>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27,257,394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1,761,614</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Domestication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04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8"/>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27,689,021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1,329,707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1"/>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Organizational Documents Proposal:</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60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gridSpan w:val="4"/>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27,689,022</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1,329,706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A:</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20" w:type="dxa"/>
            <w:vAlign w:val="bottom"/>
            <w:tcBorders>
              <w:top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gridSpan w:val="5"/>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21,970,748</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5,717,777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1,330,533</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B:</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00" w:type="dxa"/>
            <w:vAlign w:val="bottom"/>
            <w:tcBorders>
              <w:top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gridSpan w:val="6"/>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25,658,604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2,029,719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1,330,735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C:</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00" w:type="dxa"/>
            <w:vAlign w:val="bottom"/>
            <w:tcBorders>
              <w:top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gridSpan w:val="6"/>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25,421,917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2,266,606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D:</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120" w:type="dxa"/>
            <w:vAlign w:val="bottom"/>
            <w:tcBorders>
              <w:top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gridSpan w:val="5"/>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22,207,633</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5,480,880</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1,330,545</w:t>
            </w:r>
          </w:p>
        </w:tc>
      </w:tr>
      <w:tr>
        <w:trPr>
          <w:trHeight w:val="392"/>
        </w:trPr>
        <w:tc>
          <w:tcPr>
            <w:tcW w:w="660" w:type="dxa"/>
            <w:vAlign w:val="bottom"/>
          </w:tcPr>
          <w:p>
            <w:pPr>
              <w:spacing w:after="0"/>
              <w:rPr>
                <w:sz w:val="24"/>
                <w:szCs w:val="24"/>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Advisory Charter Proposal E:</w:t>
            </w: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080" w:type="dxa"/>
            <w:vAlign w:val="bottom"/>
            <w:tcBorders>
              <w:top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40" w:type="dxa"/>
            <w:vAlign w:val="bottom"/>
            <w:gridSpan w:val="7"/>
          </w:tcPr>
          <w:p>
            <w:pPr>
              <w:spacing w:after="0"/>
              <w:rPr>
                <w:sz w:val="24"/>
                <w:szCs w:val="24"/>
                <w:color w:val="auto"/>
              </w:rPr>
            </w:pPr>
          </w:p>
        </w:tc>
        <w:tc>
          <w:tcPr>
            <w:tcW w:w="27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00" w:type="dxa"/>
            <w:vAlign w:val="bottom"/>
            <w:tcBorders>
              <w:top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21,970,416</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5,718,107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1,330,535</w:t>
            </w:r>
          </w:p>
        </w:tc>
      </w:tr>
      <w:tr>
        <w:trPr>
          <w:trHeight w:val="655"/>
        </w:trPr>
        <w:tc>
          <w:tcPr>
            <w:tcW w:w="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Advisory Charter Proposal F:</w:t>
            </w: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473"/>
        </w:trPr>
        <w:tc>
          <w:tcPr>
            <w:tcW w:w="660" w:type="dxa"/>
            <w:vAlign w:val="bottom"/>
          </w:tcPr>
          <w:p>
            <w:pPr>
              <w:spacing w:after="0"/>
              <w:rPr>
                <w:sz w:val="24"/>
                <w:szCs w:val="24"/>
                <w:color w:val="auto"/>
              </w:rPr>
            </w:pPr>
          </w:p>
        </w:tc>
        <w:tc>
          <w:tcPr>
            <w:tcW w:w="2060" w:type="dxa"/>
            <w:vAlign w:val="bottom"/>
            <w:tcBorders>
              <w:top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20" w:type="dxa"/>
            <w:vAlign w:val="bottom"/>
            <w:gridSpan w:val="3"/>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25,659,006</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2,029,709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1,330,343</w:t>
            </w:r>
          </w:p>
        </w:tc>
      </w:tr>
      <w:tr>
        <w:trPr>
          <w:trHeight w:val="392"/>
        </w:trPr>
        <w:tc>
          <w:tcPr>
            <w:tcW w:w="66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Nasdaq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154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gridSpan w:val="4"/>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26,339,017</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2,679,711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r>
      <w:tr>
        <w:trPr>
          <w:trHeight w:val="392"/>
        </w:trPr>
        <w:tc>
          <w:tcPr>
            <w:tcW w:w="66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Equity Incentive Plan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25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20" w:type="dxa"/>
            <w:vAlign w:val="bottom"/>
            <w:gridSpan w:val="2"/>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72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21,870,447</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7,148,081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 the “Adjournment Proposal” described in the Proxy Statement was not presented to shareholders.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results of the Special Meeting, and subject to the satisfaction or waiver of certain other closing conditions as described in the Proxy Statement, the transactions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xml:space="preserve">”) contemplated by that certain Business Combination Agreement, dated as of December 2, 2021, by and among ArcLight, OPAL Fuels LLC, a Delaware limited liability company </w:t>
      </w:r>
      <w:r>
        <w:rPr>
          <w:rFonts w:ascii="Times New Roman" w:cs="Times New Roman" w:eastAsia="Times New Roman" w:hAnsi="Times New Roman"/>
          <w:sz w:val="18"/>
          <w:szCs w:val="18"/>
          <w:b w:val="1"/>
          <w:bCs w:val="1"/>
          <w:color w:val="auto"/>
        </w:rPr>
        <w:t>(“OPAL Fuels</w:t>
      </w:r>
      <w:r>
        <w:rPr>
          <w:rFonts w:ascii="Times New Roman" w:cs="Times New Roman" w:eastAsia="Times New Roman" w:hAnsi="Times New Roman"/>
          <w:sz w:val="18"/>
          <w:szCs w:val="18"/>
          <w:color w:val="auto"/>
        </w:rPr>
        <w:t>”) and OPAL HoldCo LLC, a Delaware limited liability company, including the Domestication and the Business Combination (as such terms are defined in the Proxy Statement), are expected to be consummated upon satisfaction of all closing conditions. Following the consummation of the Transactions, the common stock and warrants of New OPAL (as such term is defined in the Proxy Statement) are expected to begin trading on the Nasdaq Capital Market under the symbols “OPAL” and “OPALW,”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ArcLight has filed with the SEC a Registration Statement on Form S-4 (as amended, the “Registration Statement”), which includes the related proxy statement/prospectus of ArcLight with respect to the shareholders’ meeting (the “Proxy Statement”). The Registration Statement was declared effective by the SEC on June 27, 2022. This document does not contain all the information that should be considered concerning the Business Combination and is not intended to form the basis of any investment decision or any other decision in respect of the Business Combination.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 AND ANY OTHER RELEVANT DOCUMENTS THAT HAVE BEEN FILED OR WILL BE FILED WITH THE SEC, AS WELL AS ANY AMENDMENTS OR SUPPLEMENTS TO THESE DOCUMENTS, CAREFULLY AND IN THEIR ENTIRETY BECAUSE THEY CONTAIN IMPORTANT INFORMATION ABOUT ARCLIGHT, OPAL FUELS, THE BUSINESS COMBINATION AND RELATED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Statement Regarding Forward-Looking Statements” in the Registration Statement and other filings with the SEC, as well as (1) factors associated with companies, such as OPAL Fuels, that are engaged in the production and integration of renewable natural gas (RNG), including anticipated trends, growth rates, and challenges in those businesses and in the markets in which they operate; (2) macroeconomic conditions related to the global COVID-19 pandemic; (3) the effects of increased competition; (4)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(5) the ability to identify, acquire, develop and operate renewable projects and RNG fueling stations; (6) delays in obtaining, adverse conditions contained in, or the inability to obtain necessary regulatory approvals or complete regulatory reviews required to complete the proposed transaction; (7) the outcome of any legal proceedings that may be instituted in connection with the proposed transaction; and (8)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18, 2022, ArcLight issued a press release announcing the results of the Special Meeting. A copy of the press release is attached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July 18, 2022.</w:t>
      </w:r>
    </w:p>
    <w:p>
      <w:pPr>
        <w:spacing w:after="0" w:line="27" w:lineRule="exact"/>
        <w:rPr>
          <w:sz w:val="20"/>
          <w:szCs w:val="20"/>
          <w:color w:val="auto"/>
        </w:rPr>
      </w:pPr>
    </w:p>
    <w:p>
      <w:pPr>
        <w:ind w:left="5580" w:right="4320" w:hanging="5572"/>
        <w:spacing w:after="0" w:line="79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18, 2022</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17399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9900" cy="4457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164465</wp:posOffset>
            </wp:positionV>
            <wp:extent cx="167195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9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 Shareholders Approve Previously Announced Business Combination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OPAL Fuels LLC</w:t>
      </w:r>
    </w:p>
    <w:p>
      <w:pPr>
        <w:spacing w:after="0" w:line="207"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ArcLight Clean Transition Corp. II (“ArcLight”) have approved the previously announced business combination (the “Business Combination”) at the Special Meeting held on July 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is anticipated to close upon satisfaction of all closing conditions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BOSTON &amp; WHITE PLAINS, N.Y. – (July 18, 2022) – ArcLight (Nasdaq: ACTD) announced today that shareholders approved the previously proposed business combination with OPAL Fuels LLC (“OPAL Fuels”), a vertically integrated producer and distributor of renewable natural gas (“RNG”).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formal results of the vote will be included in a Current Report on Form 8-K to be filed by ArcLight with the U.S. Securities and Exchange Commission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is expected to close upon satisfaction of all closing conditions. The combined entity will be renamed OPAL Fuels Inc. and its Class A ordinary shares will trade on the Nasdaq under the ticker symbol “OPAL” and its warrants will trade on the Nasdaq under the ticker symbol “OPALW”.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OPAL Fuels LLC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ArcLight has filed with the SEC a Registration Statement on Form S-4 (as amended, the “Registration Statement”), which includes the related proxy statement/prospectus of ArcLight with respect to the shareholders’ meeting (the “Proxy Statement”). The Registration Statement was declared effective by the SEC on June 27, 2022. This document does not contain all the information that should be considered concerning the Business Combination and is not intended to form the basis of any investment decision or any other decision in respect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 AND ANY OTHER RELEVANT DOCUMENTS THAT HAVE BEEN FILED OR WILL BE FILED WITH THE SEC, AS WELL AS ANY AMENDMENTS OR SUPPLEMENTS TO THESE DOCUMENTS, CAREFULLY AND IN THEIR ENTIRETY BECAUSE THEY CONTAIN IMPORTANT INFORMATION ABOUT ARCLIGHT, OPAL FUELS, THE BUSINESS COMBINATION AND RELATED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Statement Regarding Forward-Looking Statements” in the Registration Statement and other filings with the SEC, as well as (1) factors associated with companies, such as OPAL Fuels, that are engaged in the production and integration of renewable natural gas (RNG), including anticipated trends, growth rates, and challenges in those businesses and in the markets in which they operate; (2) macroeconomic conditions related to the global COVID-19 pandemic; (3) the effects of increased competition; (4)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(5) the ability to identify, acquire, develop and operate renewable projects and RNG fueling stations; (6) delays in obtaining, adverse conditions contained in, or the inability to obtain necessary regulatory approvals or complete regulatory reviews required to complete the proposed transaction; (7) the outcome of any legal proceedings that may be instituted in connection with the proposed transaction; and (8)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ArcLight Clean Transition Corp.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Gatti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617-531-6300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investor.relations@arclightclean.com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8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2022-07-18T06:34:42Z</dcterms:created>
  <dcterms:modified xsi:type="dcterms:W3CDTF">2022-07-18T06:34:42Z</dcterms:modified>
</cp:coreProperties>
</file>