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67.jpeg" ContentType="image/jpeg"/>
  <Override PartName="/word/media/image66.jpeg" ContentType="image/jpeg"/>
  <Override PartName="/word/media/image65.jpeg" ContentType="image/jpeg"/>
  <Override PartName="/word/media/image64.jpeg" ContentType="image/jpeg"/>
  <Override PartName="/word/media/image63.jpeg" ContentType="image/jpeg"/>
  <Override PartName="/word/media/image50.jpeg" ContentType="image/jpeg"/>
  <Override PartName="/word/media/image62.jpeg" ContentType="image/jpeg"/>
  <Override PartName="/word/media/image49.jpeg" ContentType="image/jpeg"/>
  <Override PartName="/word/media/image61.jpeg" ContentType="image/jpeg"/>
  <Override PartName="/word/media/image48.jpeg" ContentType="image/jpeg"/>
  <Override PartName="/word/media/image60.jpeg" ContentType="image/jpeg"/>
  <Override PartName="/word/media/image47.jpeg" ContentType="image/jpeg"/>
  <Override PartName="/word/media/image59.jpeg" ContentType="image/jpeg"/>
  <Override PartName="/word/media/image16.jpeg" ContentType="image/jpeg"/>
  <Override PartName="/word/media/image46.jpeg" ContentType="image/jpeg"/>
  <Override PartName="/word/media/image58.jpeg" ContentType="image/jpeg"/>
  <Override PartName="/word/media/image15.jpeg" ContentType="image/jpeg"/>
  <Override PartName="/word/media/image45.jpeg" ContentType="image/jpeg"/>
  <Override PartName="/word/media/image57.jpeg" ContentType="image/jpeg"/>
  <Override PartName="/word/media/image14.jpeg" ContentType="image/jpeg"/>
  <Override PartName="/word/media/image44.jpeg" ContentType="image/jpeg"/>
  <Override PartName="/word/media/image56.jpeg" ContentType="image/jpeg"/>
  <Override PartName="/word/media/image13.jpeg" ContentType="image/jpeg"/>
  <Override PartName="/word/media/image43.jpeg" ContentType="image/jpeg"/>
  <Override PartName="/word/media/image55.jpeg" ContentType="image/jpeg"/>
  <Override PartName="/word/media/image12.jpeg" ContentType="image/jpeg"/>
  <Override PartName="/word/media/image42.jpeg" ContentType="image/jpeg"/>
  <Override PartName="/word/media/image54.jpeg" ContentType="image/jpeg"/>
  <Override PartName="/word/media/image11.jpeg" ContentType="image/jpeg"/>
  <Override PartName="/word/media/image22.jpeg" ContentType="image/jpeg"/>
  <Override PartName="/word/media/image6.jpeg" ContentType="image/jpeg"/>
  <Override PartName="/word/media/image36.jpeg" ContentType="image/jpeg"/>
  <Override PartName="/word/media/image4.jpeg" ContentType="image/jpeg"/>
  <Override PartName="/word/media/image20.jpeg" ContentType="image/jpeg"/>
  <Override PartName="/word/media/image53.jpeg" ContentType="image/jpeg"/>
  <Override PartName="/word/media/image10.jpeg" ContentType="image/jpeg"/>
  <Override PartName="/word/media/image21.jpeg" ContentType="image/jpeg"/>
  <Override PartName="/word/media/image37.jpeg" ContentType="image/jpeg"/>
  <Override PartName="/word/media/image5.jpeg" ContentType="image/jpeg"/>
  <Override PartName="/word/media/image35.jpeg" ContentType="image/jpeg"/>
  <Override PartName="/word/media/image3.jpeg" ContentType="image/jpeg"/>
  <Override PartName="/word/media/image7.jpeg" ContentType="image/jpeg"/>
  <Override PartName="/word/media/image23.jpeg" ContentType="image/jpeg"/>
  <Override PartName="/word/media/image8.jpeg" ContentType="image/jpeg"/>
  <Override PartName="/word/media/image24.jpeg" ContentType="image/jpeg"/>
  <Override PartName="/word/media/image9.jpeg" ContentType="image/jpeg"/>
  <Override PartName="/word/media/image25.jpeg" ContentType="image/jpeg"/>
  <Override PartName="/word/media/image26.jpeg" ContentType="image/jpeg"/>
  <Override PartName="/word/media/image40.jpeg" ContentType="image/jpeg"/>
  <Override PartName="/word/media/image27.jpeg" ContentType="image/jpeg"/>
  <Override PartName="/word/media/image41.jpeg" ContentType="image/jpeg"/>
  <Override PartName="/word/media/image28.jpeg" ContentType="image/jpeg"/>
  <Override PartName="/word/media/image29.jpeg" ContentType="image/jpeg"/>
  <Override PartName="/word/media/image17.jpeg" ContentType="image/jpeg"/>
  <Override PartName="/word/media/image30.jpeg" ContentType="image/jpeg"/>
  <Override PartName="/word/media/image18.jpeg" ContentType="image/jpeg"/>
  <Override PartName="/word/media/image31.jpeg" ContentType="image/jpeg"/>
  <Override PartName="/word/media/image19.jpeg" ContentType="image/jpeg"/>
  <Override PartName="/word/media/image32.jpeg" ContentType="image/jpeg"/>
  <Override PartName="/word/media/image1.jpeg" ContentType="image/jpeg"/>
  <Override PartName="/word/media/image33.jpeg" ContentType="image/jpeg"/>
  <Override PartName="/word/media/image2.jpeg" ContentType="image/jpeg"/>
  <Override PartName="/word/media/image34.jpeg" ContentType="image/jpeg"/>
  <Override PartName="/word/media/image51.jpeg" ContentType="image/jpeg"/>
  <Override PartName="/word/media/image38.jpeg" ContentType="image/jpeg"/>
  <Override PartName="/word/media/image52.jpeg" ContentType="image/jpeg"/>
  <Override PartName="/word/media/image39.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bottom w:val="single" w:sz="2" w:space="1" w:color="000000"/>
        </w:pBdr>
        <w:spacing w:lineRule="atLeast" w:line="141" w:before="0" w:after="0"/>
        <w:jc w:val="left"/>
        <w:rPr/>
      </w:pPr>
      <w:bookmarkStart w:id="0" w:name="d167128d8k.htm"/>
      <w:bookmarkStart w:id="1" w:name="ksd167128d8k"/>
      <w:bookmarkEnd w:id="0"/>
      <w:bookmarkEnd w:id="1"/>
      <w:r>
        <w:rPr/>
        <w:t> </w:t>
      </w:r>
    </w:p>
    <w:p>
      <w:pPr>
        <w:pStyle w:val="TextBody"/>
        <w:pBdr>
          <w:bottom w:val="single" w:sz="2" w:space="1" w:color="000000"/>
        </w:pBdr>
        <w:spacing w:lineRule="atLeast" w:line="141" w:before="0" w:after="40"/>
        <w:jc w:val="left"/>
        <w:rPr/>
      </w:pPr>
      <w:r>
        <w:rPr/>
        <w:t> </w:t>
      </w:r>
    </w:p>
    <w:p>
      <w:pPr>
        <w:pStyle w:val="TextBody"/>
        <w:spacing w:before="80" w:after="0"/>
        <w:jc w:val="center"/>
        <w:rPr>
          <w:rFonts w:ascii="Times New Roman" w:hAnsi="Times New Roman"/>
          <w:b/>
          <w:sz w:val="36"/>
        </w:rPr>
      </w:pPr>
      <w:r>
        <w:rPr>
          <w:rFonts w:ascii="Times New Roman" w:hAnsi="Times New Roman"/>
          <w:b/>
          <w:sz w:val="36"/>
        </w:rPr>
        <w:t xml:space="preserve">UNITED STATES </w:t>
      </w:r>
    </w:p>
    <w:p>
      <w:pPr>
        <w:pStyle w:val="TextBody"/>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36"/>
        </w:rPr>
      </w:pPr>
      <w:r>
        <w:rPr>
          <w:rFonts w:ascii="Times New Roman" w:hAnsi="Times New Roman"/>
          <w:b/>
          <w:sz w:val="36"/>
        </w:rPr>
        <w:t xml:space="preserve">FORM 8-K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24"/>
        </w:rPr>
      </w:pPr>
      <w:r>
        <w:rPr>
          <w:rFonts w:ascii="Times New Roman" w:hAnsi="Times New Roman"/>
          <w:b/>
          <w:sz w:val="24"/>
        </w:rPr>
        <w:t xml:space="preserve">CURRENT REPORT </w:t>
      </w:r>
    </w:p>
    <w:p>
      <w:pPr>
        <w:pStyle w:val="TextBody"/>
        <w:spacing w:before="0" w:after="0"/>
        <w:jc w:val="center"/>
        <w:rPr>
          <w:rFonts w:ascii="Times New Roman" w:hAnsi="Times New Roman"/>
          <w:b/>
          <w:sz w:val="24"/>
        </w:rPr>
      </w:pPr>
      <w:r>
        <w:rPr>
          <w:rFonts w:ascii="Times New Roman" w:hAnsi="Times New Roman"/>
          <w:b/>
          <w:sz w:val="24"/>
        </w:rPr>
        <w:t xml:space="preserve">Pursuant to Section 13 or Section 15(d) </w:t>
      </w:r>
    </w:p>
    <w:p>
      <w:pPr>
        <w:pStyle w:val="TextBody"/>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spacing w:before="240" w:after="0"/>
        <w:jc w:val="center"/>
        <w:rPr>
          <w:rFonts w:ascii="Times New Roman" w:hAnsi="Times New Roman"/>
          <w:b/>
          <w:sz w:val="24"/>
        </w:rPr>
      </w:pPr>
      <w:r>
        <w:rPr>
          <w:rFonts w:ascii="Times New Roman" w:hAnsi="Times New Roman"/>
          <w:b/>
          <w:sz w:val="24"/>
        </w:rPr>
        <w:t xml:space="preserve">Date of Report (Date of earliest event reported): March 22, 2021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48"/>
        </w:rPr>
      </w:pPr>
      <w:r>
        <w:rPr>
          <w:rFonts w:ascii="Times New Roman" w:hAnsi="Times New Roman"/>
          <w:b/>
          <w:sz w:val="48"/>
        </w:rPr>
        <w:t xml:space="preserve">ARCLIGHT CLEAN TRANSITION CORP. II </w:t>
      </w:r>
    </w:p>
    <w:p>
      <w:pPr>
        <w:pStyle w:val="TextBody"/>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71"/>
        <w:gridCol w:w="101"/>
        <w:gridCol w:w="3266"/>
        <w:gridCol w:w="101"/>
        <w:gridCol w:w="3266"/>
      </w:tblGrid>
      <w:tr>
        <w:trPr/>
        <w:tc>
          <w:tcPr>
            <w:tcW w:w="3471"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71" w:type="dxa"/>
            <w:tcBorders/>
            <w:shd w:fill="auto" w:val="clear"/>
          </w:tcPr>
          <w:p>
            <w:pPr>
              <w:pStyle w:val="TableContents"/>
              <w:spacing w:before="0" w:after="283"/>
              <w:jc w:val="center"/>
              <w:rPr>
                <w:b/>
              </w:rPr>
            </w:pPr>
            <w:r>
              <w:rPr>
                <w:b/>
              </w:rPr>
              <w:t>Cayman Islands</w:t>
            </w:r>
          </w:p>
        </w:tc>
        <w:tc>
          <w:tcPr>
            <w:tcW w:w="101"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b/>
              </w:rPr>
            </w:pPr>
            <w:r>
              <w:rPr>
                <w:b/>
              </w:rPr>
              <w:t>333-252730</w:t>
            </w:r>
          </w:p>
        </w:tc>
        <w:tc>
          <w:tcPr>
            <w:tcW w:w="101"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b/>
              </w:rPr>
            </w:pPr>
            <w:r>
              <w:rPr>
                <w:b/>
              </w:rPr>
              <w:t>98-1578357</w:t>
            </w:r>
          </w:p>
        </w:tc>
      </w:tr>
      <w:tr>
        <w:trPr/>
        <w:tc>
          <w:tcPr>
            <w:tcW w:w="3471" w:type="dxa"/>
            <w:tcBorders/>
            <w:shd w:fill="auto" w:val="clear"/>
          </w:tcPr>
          <w:p>
            <w:pPr>
              <w:pStyle w:val="TableContents"/>
              <w:spacing w:before="0" w:after="0"/>
              <w:jc w:val="center"/>
              <w:rPr>
                <w:rFonts w:ascii="Times New Roman" w:hAnsi="Times New Roman"/>
                <w:b/>
                <w:sz w:val="16"/>
              </w:rPr>
            </w:pPr>
            <w:r>
              <w:rPr>
                <w:rFonts w:ascii="Times New Roman" w:hAnsi="Times New Roman"/>
                <w:b/>
                <w:sz w:val="16"/>
              </w:rPr>
              <w:t>(State or other jurisdiction of</w:t>
            </w:r>
          </w:p>
          <w:p>
            <w:pPr>
              <w:pStyle w:val="TableContents"/>
              <w:spacing w:before="0" w:after="20"/>
              <w:jc w:val="center"/>
              <w:rPr>
                <w:rFonts w:ascii="Times New Roman" w:hAnsi="Times New Roman"/>
                <w:b/>
                <w:sz w:val="16"/>
              </w:rPr>
            </w:pPr>
            <w:r>
              <w:rPr>
                <w:rFonts w:ascii="Times New Roman" w:hAnsi="Times New Roman"/>
                <w:b/>
                <w:sz w:val="16"/>
              </w:rPr>
              <w:t>incorporation or organization)</w:t>
            </w:r>
          </w:p>
        </w:tc>
        <w:tc>
          <w:tcPr>
            <w:tcW w:w="101"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0"/>
              <w:jc w:val="center"/>
              <w:rPr>
                <w:rFonts w:ascii="Times New Roman" w:hAnsi="Times New Roman"/>
                <w:b/>
                <w:sz w:val="16"/>
              </w:rPr>
            </w:pPr>
            <w:r>
              <w:rPr>
                <w:rFonts w:ascii="Times New Roman" w:hAnsi="Times New Roman"/>
                <w:b/>
                <w:sz w:val="16"/>
              </w:rPr>
              <w:t>(Commission</w:t>
            </w:r>
          </w:p>
          <w:p>
            <w:pPr>
              <w:pStyle w:val="TableContents"/>
              <w:spacing w:before="0" w:after="20"/>
              <w:jc w:val="center"/>
              <w:rPr>
                <w:rFonts w:ascii="Times New Roman" w:hAnsi="Times New Roman"/>
                <w:b/>
                <w:sz w:val="16"/>
              </w:rPr>
            </w:pPr>
            <w:r>
              <w:rPr>
                <w:rFonts w:ascii="Times New Roman" w:hAnsi="Times New Roman"/>
                <w:b/>
                <w:sz w:val="16"/>
              </w:rPr>
              <w:t>File Number)</w:t>
            </w:r>
          </w:p>
        </w:tc>
        <w:tc>
          <w:tcPr>
            <w:tcW w:w="101"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0"/>
              <w:jc w:val="center"/>
              <w:rPr>
                <w:rFonts w:ascii="Times New Roman" w:hAnsi="Times New Roman"/>
                <w:b/>
                <w:sz w:val="16"/>
              </w:rPr>
            </w:pPr>
            <w:r>
              <w:rPr>
                <w:rFonts w:ascii="Times New Roman" w:hAnsi="Times New Roman"/>
                <w:b/>
                <w:sz w:val="16"/>
              </w:rPr>
              <w:t>(I.R.S. Employer</w:t>
            </w:r>
          </w:p>
          <w:p>
            <w:pPr>
              <w:pStyle w:val="TableContents"/>
              <w:spacing w:before="0" w:after="20"/>
              <w:jc w:val="center"/>
              <w:rPr>
                <w:rFonts w:ascii="Times New Roman" w:hAnsi="Times New Roman"/>
                <w:b/>
                <w:sz w:val="16"/>
              </w:rPr>
            </w:pPr>
            <w:r>
              <w:rPr>
                <w:rFonts w:ascii="Times New Roman" w:hAnsi="Times New Roman"/>
                <w:b/>
                <w:sz w:val="16"/>
              </w:rPr>
              <w:t>Identification Number)</w:t>
            </w:r>
          </w:p>
        </w:tc>
      </w:tr>
      <w:tr>
        <w:trPr>
          <w:trHeight w:val="240" w:hRule="atLeast"/>
        </w:trPr>
        <w:tc>
          <w:tcPr>
            <w:tcW w:w="6838" w:type="dxa"/>
            <w:gridSpan w:val="3"/>
            <w:tcBorders/>
            <w:shd w:fill="auto" w:val="clear"/>
            <w:vAlign w:val="center"/>
          </w:tcPr>
          <w:p>
            <w:pPr>
              <w:pStyle w:val="TableContents"/>
              <w:spacing w:before="0" w:after="283"/>
              <w:rPr>
                <w:sz w:val="4"/>
                <w:szCs w:val="4"/>
              </w:rPr>
            </w:pPr>
            <w:r>
              <w:rPr>
                <w:sz w:val="4"/>
                <w:szCs w:val="4"/>
              </w:rPr>
            </w:r>
          </w:p>
        </w:tc>
        <w:tc>
          <w:tcPr>
            <w:tcW w:w="3367" w:type="dxa"/>
            <w:gridSpan w:val="2"/>
            <w:tcBorders/>
            <w:shd w:fill="auto" w:val="clear"/>
            <w:vAlign w:val="center"/>
          </w:tcPr>
          <w:p>
            <w:pPr>
              <w:pStyle w:val="TableContents"/>
              <w:spacing w:before="0" w:after="283"/>
              <w:rPr>
                <w:sz w:val="4"/>
                <w:szCs w:val="4"/>
              </w:rPr>
            </w:pPr>
            <w:r>
              <w:rPr>
                <w:sz w:val="4"/>
                <w:szCs w:val="4"/>
              </w:rPr>
            </w:r>
          </w:p>
        </w:tc>
      </w:tr>
      <w:tr>
        <w:trPr/>
        <w:tc>
          <w:tcPr>
            <w:tcW w:w="6838" w:type="dxa"/>
            <w:gridSpan w:val="3"/>
            <w:tcBorders/>
            <w:shd w:fill="auto" w:val="clear"/>
          </w:tcPr>
          <w:p>
            <w:pPr>
              <w:pStyle w:val="TableContents"/>
              <w:spacing w:before="0" w:after="0"/>
              <w:jc w:val="center"/>
              <w:rPr>
                <w:rFonts w:ascii="Times New Roman" w:hAnsi="Times New Roman"/>
                <w:b/>
                <w:sz w:val="20"/>
              </w:rPr>
            </w:pPr>
            <w:r>
              <w:rPr>
                <w:rFonts w:ascii="Times New Roman" w:hAnsi="Times New Roman"/>
                <w:b/>
                <w:sz w:val="20"/>
              </w:rPr>
              <w:t>200 Clarendon Street, 55th Floor</w:t>
            </w:r>
          </w:p>
          <w:p>
            <w:pPr>
              <w:pStyle w:val="TableContents"/>
              <w:spacing w:before="0" w:after="20"/>
              <w:jc w:val="center"/>
              <w:rPr>
                <w:rFonts w:ascii="Times New Roman" w:hAnsi="Times New Roman"/>
                <w:b/>
                <w:sz w:val="20"/>
              </w:rPr>
            </w:pPr>
            <w:r>
              <w:rPr>
                <w:rFonts w:ascii="Times New Roman" w:hAnsi="Times New Roman"/>
                <w:b/>
                <w:sz w:val="20"/>
              </w:rPr>
              <w:t>Boston, MA</w:t>
            </w:r>
          </w:p>
        </w:tc>
        <w:tc>
          <w:tcPr>
            <w:tcW w:w="101" w:type="dxa"/>
            <w:tcBorders/>
            <w:shd w:fill="auto" w:val="clear"/>
            <w:vAlign w:val="bottom"/>
          </w:tcPr>
          <w:p>
            <w:pPr>
              <w:pStyle w:val="TableContents"/>
              <w:spacing w:before="0" w:after="283"/>
              <w:rPr/>
            </w:pPr>
            <w:r>
              <w:rPr/>
              <w:t> </w:t>
            </w:r>
          </w:p>
        </w:tc>
        <w:tc>
          <w:tcPr>
            <w:tcW w:w="3266" w:type="dxa"/>
            <w:tcBorders/>
            <w:shd w:fill="auto" w:val="clear"/>
            <w:vAlign w:val="bottom"/>
          </w:tcPr>
          <w:p>
            <w:pPr>
              <w:pStyle w:val="TableContents"/>
              <w:spacing w:before="0" w:after="283"/>
              <w:jc w:val="center"/>
              <w:rPr>
                <w:b/>
              </w:rPr>
            </w:pPr>
            <w:r>
              <w:rPr>
                <w:b/>
              </w:rPr>
              <w:t>02116</w:t>
            </w:r>
          </w:p>
        </w:tc>
      </w:tr>
      <w:tr>
        <w:trPr/>
        <w:tc>
          <w:tcPr>
            <w:tcW w:w="6838" w:type="dxa"/>
            <w:gridSpan w:val="3"/>
            <w:tcBorders/>
            <w:shd w:fill="auto" w:val="clear"/>
          </w:tcPr>
          <w:p>
            <w:pPr>
              <w:pStyle w:val="TableContents"/>
              <w:spacing w:before="0" w:after="283"/>
              <w:jc w:val="center"/>
              <w:rPr>
                <w:b/>
              </w:rPr>
            </w:pPr>
            <w:r>
              <w:rPr>
                <w:b/>
              </w:rPr>
              <w:t>(Address of principal executive offices)</w:t>
            </w:r>
          </w:p>
        </w:tc>
        <w:tc>
          <w:tcPr>
            <w:tcW w:w="101"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b/>
              </w:rPr>
            </w:pPr>
            <w:r>
              <w:rPr>
                <w:b/>
              </w:rPr>
              <w:t>(Zip Code)</w:t>
            </w:r>
          </w:p>
        </w:tc>
      </w:tr>
    </w:tbl>
    <w:p>
      <w:pPr>
        <w:pStyle w:val="TextBody"/>
        <w:spacing w:before="240" w:after="0"/>
        <w:jc w:val="center"/>
        <w:rPr>
          <w:rFonts w:ascii="Times New Roman" w:hAnsi="Times New Roman"/>
          <w:b/>
          <w:sz w:val="20"/>
        </w:rPr>
      </w:pPr>
      <w:r>
        <w:rPr>
          <w:rFonts w:ascii="Times New Roman" w:hAnsi="Times New Roman"/>
          <w:b/>
          <w:sz w:val="20"/>
        </w:rPr>
        <w:t xml:space="preserve">(617) 531-6300 </w:t>
      </w:r>
    </w:p>
    <w:p>
      <w:pPr>
        <w:pStyle w:val="TextBody"/>
        <w:spacing w:before="0" w:after="0"/>
        <w:jc w:val="center"/>
        <w:rPr>
          <w:rFonts w:ascii="Times New Roman" w:hAnsi="Times New Roman"/>
          <w:b/>
          <w:sz w:val="16"/>
        </w:rPr>
      </w:pPr>
      <w:r>
        <w:rPr>
          <w:rFonts w:ascii="Times New Roman" w:hAnsi="Times New Roman"/>
          <w:b/>
          <w:sz w:val="16"/>
        </w:rPr>
        <w:t xml:space="preserve">Registrants telephone number, including area code </w:t>
      </w:r>
    </w:p>
    <w:p>
      <w:pPr>
        <w:pStyle w:val="TextBody"/>
        <w:spacing w:before="240" w:after="0"/>
        <w:jc w:val="center"/>
        <w:rPr>
          <w:rFonts w:ascii="Times New Roman" w:hAnsi="Times New Roman"/>
          <w:b/>
          <w:sz w:val="20"/>
        </w:rPr>
      </w:pPr>
      <w:r>
        <w:rPr>
          <w:rFonts w:ascii="Times New Roman" w:hAnsi="Times New Roman"/>
          <w:b/>
          <w:sz w:val="20"/>
        </w:rPr>
        <w:t xml:space="preserve">Not Applicable </w:t>
      </w:r>
    </w:p>
    <w:p>
      <w:pPr>
        <w:pStyle w:val="TextBody"/>
        <w:spacing w:before="0" w:after="0"/>
        <w:jc w:val="center"/>
        <w:rPr>
          <w:rFonts w:ascii="Times New Roman" w:hAnsi="Times New Roman"/>
          <w:b/>
          <w:sz w:val="16"/>
        </w:rPr>
      </w:pPr>
      <w:r>
        <w:rPr>
          <w:rFonts w:ascii="Times New Roman" w:hAnsi="Times New Roman"/>
          <w:b/>
          <w:sz w:val="16"/>
        </w:rPr>
        <w:t xml:space="preserve">(Former name or former address, if changed since last report)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left"/>
        <w:rPr>
          <w:rFonts w:ascii="Times New Roman" w:hAnsi="Times New Roman"/>
          <w:sz w:val="20"/>
        </w:rPr>
      </w:pPr>
      <w:r>
        <w:rPr>
          <w:rFonts w:ascii="Times New Roman" w:hAnsi="Times New Roman"/>
          <w:sz w:val="20"/>
        </w:rPr>
        <w:t xml:space="preserve">Check the appropriate box below if the Form 8-K filing is intended to simultaneously satisfy the filing obligation to the registrant under any of the following provisions: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Written communications pursuant to Rule 425 under the Securities Act (17 CFR 230.425)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Soliciting material pursuant to Rule 14a-12 under the Exchange Act (17 CFR 240.14a-12)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Pre-commencement communications pursuant to Rule 14d-2(b) under the Exchange Act (17 CFR 240.14d-2(b))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Pre-commencement communications pursuant to Rule 13e-4(c) under the Exchange Act (17 CFR 240.13e-4(c)) </w:t>
            </w:r>
          </w:p>
        </w:tc>
      </w:tr>
    </w:tbl>
    <w:p>
      <w:pPr>
        <w:pStyle w:val="TextBody"/>
        <w:spacing w:before="240" w:after="0"/>
        <w:jc w:val="left"/>
        <w:rPr>
          <w:rFonts w:ascii="Times New Roman" w:hAnsi="Times New Roman"/>
          <w:sz w:val="20"/>
        </w:rPr>
      </w:pPr>
      <w:r>
        <w:rPr>
          <w:rFonts w:ascii="Times New Roman" w:hAnsi="Times New Roman"/>
          <w:sz w:val="20"/>
        </w:rPr>
        <w:t xml:space="preserve">Securities registered pursuant to Section 12(b) of the Act: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69"/>
        <w:gridCol w:w="102"/>
        <w:gridCol w:w="3266"/>
        <w:gridCol w:w="102"/>
        <w:gridCol w:w="3266"/>
      </w:tblGrid>
      <w:tr>
        <w:trPr/>
        <w:tc>
          <w:tcPr>
            <w:tcW w:w="346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69"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Title of each class</w:t>
            </w:r>
          </w:p>
        </w:tc>
        <w:tc>
          <w:tcPr>
            <w:tcW w:w="102" w:type="dxa"/>
            <w:tcBorders/>
            <w:shd w:fill="auto" w:val="clear"/>
            <w:vAlign w:val="bottom"/>
          </w:tcPr>
          <w:p>
            <w:pPr>
              <w:pStyle w:val="TableContents"/>
              <w:spacing w:before="0" w:after="283"/>
              <w:rPr/>
            </w:pPr>
            <w:r>
              <w:rPr/>
              <w:t> </w:t>
            </w:r>
          </w:p>
        </w:tc>
        <w:tc>
          <w:tcPr>
            <w:tcW w:w="3266" w:type="dxa"/>
            <w:tcBorders>
              <w:bottom w:val="single" w:sz="8" w:space="0" w:color="000000"/>
            </w:tcBorders>
            <w:shd w:fill="auto" w:val="clear"/>
            <w:tcMar>
              <w:bottom w:w="28" w:type="dxa"/>
            </w:tcMar>
            <w:vAlign w:val="bottom"/>
          </w:tcPr>
          <w:p>
            <w:pPr>
              <w:pStyle w:val="TableContents"/>
              <w:spacing w:before="0" w:after="0"/>
              <w:jc w:val="center"/>
              <w:rPr>
                <w:rFonts w:ascii="Times New Roman" w:hAnsi="Times New Roman"/>
                <w:b/>
                <w:sz w:val="16"/>
              </w:rPr>
            </w:pPr>
            <w:r>
              <w:rPr>
                <w:rFonts w:ascii="Times New Roman" w:hAnsi="Times New Roman"/>
                <w:b/>
                <w:sz w:val="16"/>
              </w:rPr>
              <w:t>Trading</w:t>
            </w:r>
          </w:p>
          <w:p>
            <w:pPr>
              <w:pStyle w:val="TableContents"/>
              <w:spacing w:before="0" w:after="20"/>
              <w:jc w:val="center"/>
              <w:rPr>
                <w:rFonts w:ascii="Times New Roman" w:hAnsi="Times New Roman"/>
                <w:b/>
                <w:sz w:val="16"/>
              </w:rPr>
            </w:pPr>
            <w:r>
              <w:rPr>
                <w:rFonts w:ascii="Times New Roman" w:hAnsi="Times New Roman"/>
                <w:b/>
                <w:sz w:val="16"/>
              </w:rPr>
              <w:t>Symbol(s)</w:t>
            </w:r>
          </w:p>
        </w:tc>
        <w:tc>
          <w:tcPr>
            <w:tcW w:w="102" w:type="dxa"/>
            <w:tcBorders/>
            <w:shd w:fill="auto" w:val="clear"/>
            <w:vAlign w:val="bottom"/>
          </w:tcPr>
          <w:p>
            <w:pPr>
              <w:pStyle w:val="TableContents"/>
              <w:spacing w:before="0" w:after="283"/>
              <w:rPr/>
            </w:pPr>
            <w:r>
              <w:rPr/>
              <w:t> </w:t>
            </w:r>
          </w:p>
        </w:tc>
        <w:tc>
          <w:tcPr>
            <w:tcW w:w="3266" w:type="dxa"/>
            <w:tcBorders>
              <w:bottom w:val="single" w:sz="8" w:space="0" w:color="000000"/>
            </w:tcBorders>
            <w:shd w:fill="auto" w:val="clear"/>
            <w:tcMar>
              <w:bottom w:w="28" w:type="dxa"/>
            </w:tcMar>
            <w:vAlign w:val="bottom"/>
          </w:tcPr>
          <w:p>
            <w:pPr>
              <w:pStyle w:val="TableContents"/>
              <w:spacing w:before="0" w:after="0"/>
              <w:jc w:val="center"/>
              <w:rPr>
                <w:rFonts w:ascii="Times New Roman" w:hAnsi="Times New Roman"/>
                <w:b/>
                <w:sz w:val="16"/>
              </w:rPr>
            </w:pPr>
            <w:r>
              <w:rPr>
                <w:rFonts w:ascii="Times New Roman" w:hAnsi="Times New Roman"/>
                <w:b/>
                <w:sz w:val="16"/>
              </w:rPr>
              <w:t>Name of each exchange</w:t>
            </w:r>
          </w:p>
          <w:p>
            <w:pPr>
              <w:pStyle w:val="TableContents"/>
              <w:spacing w:before="0" w:after="20"/>
              <w:jc w:val="center"/>
              <w:rPr>
                <w:rFonts w:ascii="Times New Roman" w:hAnsi="Times New Roman"/>
                <w:b/>
                <w:sz w:val="16"/>
              </w:rPr>
            </w:pPr>
            <w:r>
              <w:rPr>
                <w:rFonts w:ascii="Times New Roman" w:hAnsi="Times New Roman"/>
                <w:b/>
                <w:sz w:val="16"/>
              </w:rPr>
              <w:t>on which registered</w:t>
            </w:r>
          </w:p>
        </w:tc>
      </w:tr>
      <w:tr>
        <w:trPr/>
        <w:tc>
          <w:tcPr>
            <w:tcW w:w="3469" w:type="dxa"/>
            <w:tcBorders/>
            <w:shd w:fill="auto" w:val="clear"/>
          </w:tcPr>
          <w:p>
            <w:pPr>
              <w:pStyle w:val="TableContents"/>
              <w:spacing w:before="0" w:after="283"/>
              <w:jc w:val="center"/>
              <w:rPr>
                <w:b/>
              </w:rPr>
            </w:pPr>
            <w:r>
              <w:rPr>
                <w:b/>
              </w:rPr>
              <w:t>Units, each consisting of one Class A Ordinary Share, $0.0001 par value, and one-fifth of one redeemable warrant</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b/>
              </w:rPr>
            </w:pPr>
            <w:r>
              <w:rPr>
                <w:b/>
              </w:rPr>
              <w:t>ACTDU</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b/>
              </w:rPr>
            </w:pPr>
            <w:r>
              <w:rPr>
                <w:b/>
              </w:rPr>
              <w:t>The Nasdaq Stock Market LLC</w:t>
            </w:r>
          </w:p>
        </w:tc>
      </w:tr>
      <w:tr>
        <w:trPr/>
        <w:tc>
          <w:tcPr>
            <w:tcW w:w="3469" w:type="dxa"/>
            <w:tcBorders/>
            <w:shd w:fill="auto" w:val="clear"/>
          </w:tcPr>
          <w:p>
            <w:pPr>
              <w:pStyle w:val="TableContents"/>
              <w:spacing w:before="0" w:after="283"/>
              <w:jc w:val="center"/>
              <w:rPr>
                <w:b/>
              </w:rPr>
            </w:pPr>
            <w:r>
              <w:rPr>
                <w:b/>
              </w:rPr>
              <w:t>Class A Ordinary Shares included as part of the units</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b/>
              </w:rPr>
            </w:pPr>
            <w:r>
              <w:rPr>
                <w:b/>
              </w:rPr>
              <w:t>ACTD</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b/>
              </w:rPr>
            </w:pPr>
            <w:r>
              <w:rPr>
                <w:b/>
              </w:rPr>
              <w:t>The Nasdaq Stock Market LLC</w:t>
            </w:r>
          </w:p>
        </w:tc>
      </w:tr>
      <w:tr>
        <w:trPr/>
        <w:tc>
          <w:tcPr>
            <w:tcW w:w="3469" w:type="dxa"/>
            <w:tcBorders/>
            <w:shd w:fill="auto" w:val="clear"/>
          </w:tcPr>
          <w:p>
            <w:pPr>
              <w:pStyle w:val="TableContents"/>
              <w:spacing w:before="0" w:after="283"/>
              <w:jc w:val="center"/>
              <w:rPr>
                <w:b/>
              </w:rPr>
            </w:pPr>
            <w:r>
              <w:rPr>
                <w:b/>
              </w:rPr>
              <w:t>Warrants included as part of the units, each whole warrant exercisable for one Class A Ordinary Share at an exercise price of $11.50</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b/>
              </w:rPr>
            </w:pPr>
            <w:r>
              <w:rPr>
                <w:b/>
              </w:rPr>
              <w:t>ACTDW</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b/>
              </w:rPr>
            </w:pPr>
            <w:r>
              <w:rPr>
                <w:b/>
              </w:rPr>
              <w:t>The Nasdaq Stock Market LLC</w:t>
            </w:r>
          </w:p>
        </w:tc>
      </w:tr>
    </w:tbl>
    <w:p>
      <w:pPr>
        <w:pStyle w:val="TextBody"/>
        <w:spacing w:before="240" w:after="0"/>
        <w:jc w:val="left"/>
        <w:rPr>
          <w:rFonts w:ascii="Times New Roman" w:hAnsi="Times New Roman"/>
          <w:sz w:val="20"/>
        </w:rPr>
      </w:pPr>
      <w:r>
        <w:rPr>
          <w:rFonts w:ascii="Times New Roman" w:hAnsi="Times New Roman"/>
          <w:sz w:val="20"/>
        </w:rPr>
        <w:t xml:space="preserve">Indicate by check mark whether the registrant is an emerging growth company as defined in Rule 405 of the Securities Act of 1933 or Rule 12b-2 of the Securities Exchange Act of 1934. </w:t>
      </w:r>
    </w:p>
    <w:p>
      <w:pPr>
        <w:pStyle w:val="TextBody"/>
        <w:spacing w:before="240" w:after="0"/>
        <w:jc w:val="left"/>
        <w:rPr>
          <w:rFonts w:ascii="Times New Roman" w:hAnsi="Times New Roman"/>
          <w:sz w:val="20"/>
        </w:rPr>
      </w:pPr>
      <w:r>
        <w:rPr>
          <w:rFonts w:ascii="Times New Roman" w:hAnsi="Times New Roman"/>
          <w:sz w:val="20"/>
        </w:rPr>
        <w:t xml:space="preserve">Emerging growth company  ☒ </w:t>
      </w:r>
    </w:p>
    <w:p>
      <w:pPr>
        <w:pStyle w:val="TextBody"/>
        <w:spacing w:before="24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spacing w:before="0" w:after="0"/>
        <w:jc w:val="left"/>
        <w:rPr/>
      </w:pPr>
      <w:r>
        <w:rPr/>
        <w:t> </w:t>
      </w:r>
    </w:p>
    <w:p>
      <w:pPr>
        <w:pStyle w:val="TextBody"/>
        <w:pBdr>
          <w:bottom w:val="single" w:sz="2" w:space="1" w:color="000000"/>
        </w:pBdr>
        <w:spacing w:lineRule="atLeast" w:line="141" w:before="0" w:after="0"/>
        <w:jc w:val="left"/>
        <w:rPr/>
      </w:pPr>
      <w:r>
        <w:rPr/>
        <w:t> </w:t>
      </w:r>
    </w:p>
    <w:p>
      <w:pPr>
        <w:pStyle w:val="TextBody"/>
        <w:pBdr>
          <w:bottom w:val="single" w:sz="2" w:space="1" w:color="000000"/>
        </w:pBdr>
        <w:spacing w:lineRule="atLeast" w:line="141" w:before="0" w:after="40"/>
        <w:jc w:val="left"/>
        <w:rPr/>
      </w:pPr>
      <w:r>
        <w:rPr/>
        <w:t>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1224"/>
        <w:gridCol w:w="8981"/>
      </w:tblGrid>
      <w:tr>
        <w:trPr/>
        <w:tc>
          <w:tcPr>
            <w:tcW w:w="1224" w:type="dxa"/>
            <w:tcBorders/>
            <w:shd w:fill="auto" w:val="clear"/>
          </w:tcPr>
          <w:p>
            <w:pPr>
              <w:pStyle w:val="TableContents"/>
              <w:spacing w:before="0" w:after="283"/>
              <w:jc w:val="left"/>
              <w:rPr>
                <w:b/>
              </w:rPr>
            </w:pPr>
            <w:r>
              <w:rPr>
                <w:b/>
              </w:rPr>
              <w:t>Item 1.01.</w:t>
            </w:r>
          </w:p>
        </w:tc>
        <w:tc>
          <w:tcPr>
            <w:tcW w:w="8981"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spacing w:before="120" w:after="0"/>
        <w:jc w:val="left"/>
        <w:rPr>
          <w:rFonts w:ascii="Times New Roman" w:hAnsi="Times New Roman"/>
          <w:sz w:val="20"/>
        </w:rPr>
      </w:pPr>
      <w:r>
        <w:rPr>
          <w:rFonts w:ascii="Times New Roman" w:hAnsi="Times New Roman"/>
          <w:sz w:val="20"/>
        </w:rPr>
        <w:t xml:space="preserve">On March 22, 2021, the Registration Statement on Form S-1 (File No. 333-252730) (the Registration Statement) relating to the initial public offering (the IPO) of ArcLight Clean Transition Corp. II (the Company) was declared effective by the U.S. Securities and Exchange Commission. On March 22, 2021, the Company consummated the IPO of 31,116,305 units (the Units), which reflects an upsize of the offering from 25,000,000 to 27,500,000 units and also includes an additional sale of 3,616,305 units, pursuant to the partial exercise of the underwriters option to purchase an additional 4,125,000 Units at the initial public offering price to cover over-allotments. </w:t>
      </w:r>
    </w:p>
    <w:p>
      <w:pPr>
        <w:pStyle w:val="TextBody"/>
        <w:spacing w:before="240" w:after="0"/>
        <w:jc w:val="left"/>
        <w:rPr>
          <w:rFonts w:ascii="Times New Roman" w:hAnsi="Times New Roman"/>
          <w:sz w:val="20"/>
        </w:rPr>
      </w:pPr>
      <w:r>
        <w:rPr>
          <w:rFonts w:ascii="Times New Roman" w:hAnsi="Times New Roman"/>
          <w:sz w:val="20"/>
        </w:rPr>
        <w:t xml:space="preserve">Each Unit consists of one Class A ordinary share, $0.0001 par value per share (the Class A Ordinary Shares), and one-fifth of one redeemable warrant (the Public Warrants), each whole Public Warrant entitling the holder thereof to purchase one Class A Ordinary Share at an exercise price of $11.50 per share. The Units were sold at an offering price of $10.00 per Unit, generating gross proceeds of $311,163,050. </w:t>
      </w:r>
    </w:p>
    <w:p>
      <w:pPr>
        <w:pStyle w:val="TextBody"/>
        <w:spacing w:before="240" w:after="0"/>
        <w:jc w:val="left"/>
        <w:rPr>
          <w:rFonts w:ascii="Times New Roman" w:hAnsi="Times New Roman"/>
          <w:sz w:val="20"/>
        </w:rPr>
      </w:pPr>
      <w:r>
        <w:rPr>
          <w:rFonts w:ascii="Times New Roman" w:hAnsi="Times New Roman"/>
          <w:sz w:val="20"/>
        </w:rPr>
        <w:t xml:space="preserve">Further, in connection with the IPO, the Company entered into the following agreements previously filed as exhibits to the Registration Statement: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407"/>
        <w:gridCol w:w="100"/>
        <w:gridCol w:w="92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 Underwriting Agreement, dated March 22, 2021, between the Company and Citigroup Global Markets Inc. and Barclays Capital Inc. (the underwriters) who served as underwriters to in the IPO, which contains customary representations and warranties and indemnification of the underwriters by the Company;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407"/>
        <w:gridCol w:w="101"/>
        <w:gridCol w:w="9290"/>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Private Placement Warrants Purchase Agreement, dated March 22, 2021, between the Company and ArcLight CTC Holdings II, L.P. (the Sponsor), pursuant to which the Sponsor purchased 9,223,261 private placement warrants, each exercisable to purchase one Class A Ordinary Share at $11.50 per share, at a price of $1.00 per warrant (the Private Placement Warrants and, together with the Public Warrants, the Warrants);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407"/>
        <w:gridCol w:w="101"/>
        <w:gridCol w:w="9291"/>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Warrant Agreement, dated March 25, 2021, between the Company and Continental Stock Transfer &amp; Trust Company, as warrant agent (the Warrant Agreement), which sets forth the expiration and exercise price of and procedure for exercising the Warrants; certain adjustment features of the terms of exercise; provisions relating to redemption and cashless exercise of the Warrants; certain registration rights of the holders of Warrants; provision for amendments to the Warrant Agreement; and indemnification of the warrant agent by the Company under the agreement;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407"/>
        <w:gridCol w:w="101"/>
        <w:gridCol w:w="9291"/>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 Investment Management Trust Agreement, dated March 25, 2021, between the Company and Continental Stock Transfer &amp; Trust Company, as trustee, which establishes the trust account that will hold the net proceeds of the IPO and certain of the proceeds of the sale of the Private Placement Warrants, and sets forth the responsibilities of the trustee; the procedures for withdrawal and direction of funds from the trust account; and indemnification of the trustee by the Company under the agreement;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408"/>
        <w:gridCol w:w="101"/>
        <w:gridCol w:w="9289"/>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Registration and Shareholder Rights Agreement, dated March 25, 2021, among the Company, the Sponsor and certain equityholders of the Company, which provides for customary demand and piggy-back registration rights for the Sponsor, and customary piggy-back registration rights for such other equityholders, as well as certain transfer restrictions applicable to the Sponsor with respect to the Companys securities, and, upon consummation of our initial business combination, the right of the Sponsor to nominate three individuals for election to the Companys board of directors;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407"/>
        <w:gridCol w:w="100"/>
        <w:gridCol w:w="92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Letter Agreement, dated March 25, 2021, among the Company, the Sponsor and each executive officer and director of the Company, pursuant to which the Sponsor and each executive officer and director of the Company has agreed to vote any Class A Ordinary Shares held by him, her or it in favor of the Companys initial business combination; to facilitate the liquidation and winding up of the Company if an initial business combination is not consummated within 24 months; or 30 months from the closing of this offering if we have executed a letter of intent, to certain transfer restrictions with respect to the Companys securities; to certain indemnification obligations of the Sponsor; and the Company has </w:t>
            </w:r>
          </w:p>
        </w:tc>
      </w:tr>
    </w:tbl>
    <w:p>
      <w:pPr>
        <w:pStyle w:val="HorizontalLine"/>
        <w:pBdr>
          <w:bottom w:val="double" w:sz="6" w:space="0" w:color="808080"/>
        </w:pBdr>
        <w:rPr/>
      </w:pPr>
      <w:r>
        <w:br w:type="page"/>
      </w:r>
      <w:r>
        <w:rPr/>
      </w:r>
    </w:p>
    <w:tbl>
      <w:tblPr>
        <w:tblW w:w="5000" w:type="pct"/>
        <w:jc w:val="left"/>
        <w:tblInd w:w="0" w:type="dxa"/>
        <w:tblCellMar>
          <w:top w:w="0" w:type="dxa"/>
          <w:left w:w="0" w:type="dxa"/>
          <w:bottom w:w="0" w:type="dxa"/>
          <w:right w:w="0" w:type="dxa"/>
        </w:tblCellMar>
      </w:tblPr>
      <w:tblGrid>
        <w:gridCol w:w="917"/>
        <w:gridCol w:w="9288"/>
      </w:tblGrid>
      <w:tr>
        <w:trPr/>
        <w:tc>
          <w:tcPr>
            <w:tcW w:w="917" w:type="dxa"/>
            <w:tcBorders/>
            <w:shd w:fill="auto" w:val="clear"/>
            <w:vAlign w:val="center"/>
          </w:tcPr>
          <w:p>
            <w:pPr>
              <w:pStyle w:val="TableContents"/>
              <w:spacing w:before="0" w:after="283"/>
              <w:rPr/>
            </w:pPr>
            <w:r>
              <w:rPr/>
              <w:t> </w:t>
            </w:r>
          </w:p>
        </w:tc>
        <w:tc>
          <w:tcPr>
            <w:tcW w:w="9288" w:type="dxa"/>
            <w:tcBorders/>
            <w:shd w:fill="auto" w:val="clear"/>
          </w:tcPr>
          <w:p>
            <w:pPr>
              <w:pStyle w:val="TableContents"/>
              <w:spacing w:before="0" w:after="0"/>
              <w:rPr>
                <w:rFonts w:ascii="Times New Roman" w:hAnsi="Times New Roman"/>
                <w:sz w:val="20"/>
              </w:rPr>
            </w:pPr>
            <w:r>
              <w:rPr>
                <w:rFonts w:ascii="Times New Roman" w:hAnsi="Times New Roman"/>
                <w:sz w:val="20"/>
              </w:rPr>
              <w:t xml:space="preserve">agreed not to (i) enter into a definitive agreement regarding an initial business combination or (ii) or issue any equity securities of the Company prior to an initial Business Combination, in each case without the prior consent of the Sponsor;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407"/>
        <w:gridCol w:w="102"/>
        <w:gridCol w:w="9290"/>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 Administrative Services Agreement, dated March 25, 2021, between the Company and the Sponsor, pursuant to which the Sponsor has agreed to make available office space and certain administrative and support services, as may be required by the Company from time to time, for $10,000 per month until the earlier of the Companys initial business combination or liquidation. </w:t>
            </w:r>
          </w:p>
        </w:tc>
      </w:tr>
    </w:tbl>
    <w:p>
      <w:pPr>
        <w:pStyle w:val="TextBody"/>
        <w:spacing w:before="240" w:after="0"/>
        <w:jc w:val="left"/>
        <w:rPr>
          <w:rFonts w:ascii="Times New Roman" w:hAnsi="Times New Roman"/>
          <w:sz w:val="20"/>
        </w:rPr>
      </w:pPr>
      <w:r>
        <w:rPr>
          <w:rFonts w:ascii="Times New Roman" w:hAnsi="Times New Roman"/>
          <w:sz w:val="20"/>
        </w:rPr>
        <w:t xml:space="preserve">The above descriptions are qualified in their entirety by reference to the full text of the applicable agreement, each of which is incorporated by reference herein and filed herewith as Exhibits 1.1, 10.1, 4.1, 10.2, 10.3, 10.4 and 10.5, respectively.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224"/>
        <w:gridCol w:w="8981"/>
      </w:tblGrid>
      <w:tr>
        <w:trPr/>
        <w:tc>
          <w:tcPr>
            <w:tcW w:w="1224" w:type="dxa"/>
            <w:tcBorders/>
            <w:shd w:fill="auto" w:val="clear"/>
          </w:tcPr>
          <w:p>
            <w:pPr>
              <w:pStyle w:val="TableContents"/>
              <w:spacing w:before="0" w:after="283"/>
              <w:jc w:val="left"/>
              <w:rPr>
                <w:b/>
              </w:rPr>
            </w:pPr>
            <w:r>
              <w:rPr>
                <w:b/>
              </w:rPr>
              <w:t>Item 3.02.</w:t>
            </w:r>
          </w:p>
        </w:tc>
        <w:tc>
          <w:tcPr>
            <w:tcW w:w="8981"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Unregistered Sales of Equity Securities. </w:t>
            </w:r>
          </w:p>
        </w:tc>
      </w:tr>
    </w:tbl>
    <w:p>
      <w:pPr>
        <w:pStyle w:val="TextBody"/>
        <w:spacing w:before="120" w:after="0"/>
        <w:jc w:val="left"/>
        <w:rPr>
          <w:rFonts w:ascii="Times New Roman" w:hAnsi="Times New Roman"/>
          <w:sz w:val="20"/>
        </w:rPr>
      </w:pPr>
      <w:r>
        <w:rPr>
          <w:rFonts w:ascii="Times New Roman" w:hAnsi="Times New Roman"/>
          <w:sz w:val="20"/>
        </w:rPr>
        <w:t xml:space="preserve">Simultaneous with the consummation of the IPO and the issuance and sale of the Units, the Company consummated the private placement of 9,223,261 Private Placement Warrants at a price of $1.00 per Private Placement Warrant, generating total proceeds of $9,223,261 (the Private Placement). The Private Placement Warrants, which were purchased by the Sponsor, are substantially similar to the Public Warrants, except that if held by the Sponsor or its permitted transferees, they (i) may be exercised for cash or on a cashless basis, (ii) are not subject to being called for redemption and (iii) subject to certain limited exceptions, will be subject to transfer restrictions until 30 days following the consummation of the Companys initial business combination. If the Private Placement Warrants are held by holders other than the Sponsor or its permitted transferees, the Private Placement Warrants will be redeemable by the Company and exercisable by holders on the same basis as the Public Warrants. The Private Placement Warrants have been issued pursuant to, and are governed by, the Warrant Agreement.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223"/>
        <w:gridCol w:w="8982"/>
      </w:tblGrid>
      <w:tr>
        <w:trPr/>
        <w:tc>
          <w:tcPr>
            <w:tcW w:w="1223" w:type="dxa"/>
            <w:tcBorders/>
            <w:shd w:fill="auto" w:val="clear"/>
          </w:tcPr>
          <w:p>
            <w:pPr>
              <w:pStyle w:val="TableContents"/>
              <w:spacing w:before="0" w:after="283"/>
              <w:jc w:val="left"/>
              <w:rPr>
                <w:b/>
              </w:rPr>
            </w:pPr>
            <w:r>
              <w:rPr>
                <w:b/>
              </w:rPr>
              <w:t>Item 5.03.</w:t>
            </w:r>
          </w:p>
        </w:tc>
        <w:tc>
          <w:tcPr>
            <w:tcW w:w="8982"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Amendments to Memorandum and Articles of Association. </w:t>
            </w:r>
          </w:p>
        </w:tc>
      </w:tr>
    </w:tbl>
    <w:p>
      <w:pPr>
        <w:pStyle w:val="TextBody"/>
        <w:spacing w:before="120" w:after="0"/>
        <w:jc w:val="left"/>
        <w:rPr>
          <w:rFonts w:ascii="Times New Roman" w:hAnsi="Times New Roman"/>
          <w:sz w:val="20"/>
        </w:rPr>
      </w:pPr>
      <w:r>
        <w:rPr>
          <w:rFonts w:ascii="Times New Roman" w:hAnsi="Times New Roman"/>
          <w:sz w:val="20"/>
        </w:rPr>
        <w:t xml:space="preserve">On March 22, 2021 and in connection with the IPO, the Company adopted its Amended and Restated Memorandum and Articles of Association. The Amended and Restated Memorandum and Articles of Association are filed herewith as Exhibit 3.1 and are incorporated by reference herein.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1224"/>
        <w:gridCol w:w="8981"/>
      </w:tblGrid>
      <w:tr>
        <w:trPr/>
        <w:tc>
          <w:tcPr>
            <w:tcW w:w="1224" w:type="dxa"/>
            <w:tcBorders/>
            <w:shd w:fill="auto" w:val="clear"/>
          </w:tcPr>
          <w:p>
            <w:pPr>
              <w:pStyle w:val="TableContents"/>
              <w:spacing w:before="0" w:after="283"/>
              <w:jc w:val="left"/>
              <w:rPr>
                <w:b/>
              </w:rPr>
            </w:pPr>
            <w:r>
              <w:rPr>
                <w:b/>
              </w:rPr>
              <w:t>Item 9.01.</w:t>
            </w:r>
          </w:p>
        </w:tc>
        <w:tc>
          <w:tcPr>
            <w:tcW w:w="8981"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454"/>
        <w:gridCol w:w="327"/>
        <w:gridCol w:w="9424"/>
      </w:tblGrid>
      <w:tr>
        <w:trPr/>
        <w:tc>
          <w:tcPr>
            <w:tcW w:w="454" w:type="dxa"/>
            <w:tcBorders/>
            <w:shd w:fill="auto" w:val="clear"/>
            <w:vAlign w:val="center"/>
          </w:tcPr>
          <w:p>
            <w:pPr>
              <w:pStyle w:val="TableContents"/>
              <w:spacing w:before="0" w:after="283"/>
              <w:rPr>
                <w:sz w:val="4"/>
                <w:szCs w:val="4"/>
              </w:rPr>
            </w:pPr>
            <w:r>
              <w:rPr>
                <w:sz w:val="4"/>
                <w:szCs w:val="4"/>
              </w:rPr>
            </w:r>
          </w:p>
        </w:tc>
        <w:tc>
          <w:tcPr>
            <w:tcW w:w="327" w:type="dxa"/>
            <w:tcBorders/>
            <w:shd w:fill="auto" w:val="clear"/>
            <w:vAlign w:val="bottom"/>
          </w:tcPr>
          <w:p>
            <w:pPr>
              <w:pStyle w:val="TableContents"/>
              <w:spacing w:before="0" w:after="283"/>
              <w:rPr>
                <w:sz w:val="4"/>
                <w:szCs w:val="4"/>
              </w:rPr>
            </w:pPr>
            <w:r>
              <w:rPr>
                <w:sz w:val="4"/>
                <w:szCs w:val="4"/>
              </w:rPr>
            </w:r>
          </w:p>
        </w:tc>
        <w:tc>
          <w:tcPr>
            <w:tcW w:w="9424" w:type="dxa"/>
            <w:tcBorders/>
            <w:shd w:fill="auto" w:val="clear"/>
            <w:vAlign w:val="center"/>
          </w:tcPr>
          <w:p>
            <w:pPr>
              <w:pStyle w:val="TableContents"/>
              <w:spacing w:before="0" w:after="283"/>
              <w:rPr>
                <w:sz w:val="4"/>
                <w:szCs w:val="4"/>
              </w:rPr>
            </w:pPr>
            <w:r>
              <w:rPr>
                <w:sz w:val="4"/>
                <w:szCs w:val="4"/>
              </w:rPr>
            </w:r>
          </w:p>
        </w:tc>
      </w:tr>
      <w:tr>
        <w:trPr/>
        <w:tc>
          <w:tcPr>
            <w:tcW w:w="454" w:type="dxa"/>
            <w:tcBorders/>
            <w:shd w:fill="auto" w:val="clear"/>
            <w:vAlign w:val="bottom"/>
          </w:tcPr>
          <w:p>
            <w:pPr>
              <w:pStyle w:val="TableContents"/>
              <w:spacing w:before="0" w:after="283"/>
              <w:rPr/>
            </w:pPr>
            <w:r>
              <w:rPr/>
              <w:t> </w:t>
            </w:r>
          </w:p>
        </w:tc>
        <w:tc>
          <w:tcPr>
            <w:tcW w:w="327" w:type="dxa"/>
            <w:tcBorders/>
            <w:shd w:fill="auto" w:val="clear"/>
            <w:vAlign w:val="bottom"/>
          </w:tcPr>
          <w:p>
            <w:pPr>
              <w:pStyle w:val="TableContents"/>
              <w:spacing w:before="0" w:after="283"/>
              <w:rPr/>
            </w:pPr>
            <w:r>
              <w:rPr/>
              <w:t>  </w:t>
            </w:r>
          </w:p>
        </w:tc>
        <w:tc>
          <w:tcPr>
            <w:tcW w:w="9424" w:type="dxa"/>
            <w:tcBorders/>
            <w:shd w:fill="auto" w:val="clear"/>
            <w:vAlign w:val="bottom"/>
          </w:tcPr>
          <w:p>
            <w:pPr>
              <w:pStyle w:val="TableContents"/>
              <w:spacing w:before="0" w:after="283"/>
              <w:jc w:val="center"/>
              <w:rPr>
                <w:b/>
              </w:rPr>
            </w:pPr>
            <w:r>
              <w:rPr>
                <w:b/>
              </w:rPr>
              <w:t>Exhibits</w:t>
            </w:r>
          </w:p>
        </w:tc>
      </w:tr>
      <w:tr>
        <w:trPr>
          <w:trHeight w:val="120" w:hRule="atLeast"/>
        </w:trPr>
        <w:tc>
          <w:tcPr>
            <w:tcW w:w="454" w:type="dxa"/>
            <w:tcBorders/>
            <w:shd w:fill="auto" w:val="clear"/>
            <w:vAlign w:val="center"/>
          </w:tcPr>
          <w:p>
            <w:pPr>
              <w:pStyle w:val="TableContents"/>
              <w:spacing w:before="0" w:after="283"/>
              <w:rPr>
                <w:sz w:val="4"/>
                <w:szCs w:val="4"/>
              </w:rPr>
            </w:pPr>
            <w:r>
              <w:rPr>
                <w:sz w:val="4"/>
                <w:szCs w:val="4"/>
              </w:rPr>
            </w:r>
          </w:p>
        </w:tc>
        <w:tc>
          <w:tcPr>
            <w:tcW w:w="9751" w:type="dxa"/>
            <w:gridSpan w:val="2"/>
            <w:tcBorders/>
            <w:shd w:fill="auto" w:val="clear"/>
            <w:vAlign w:val="center"/>
          </w:tcPr>
          <w:p>
            <w:pPr>
              <w:pStyle w:val="TableContents"/>
              <w:spacing w:before="0" w:after="283"/>
              <w:rPr>
                <w:sz w:val="4"/>
                <w:szCs w:val="4"/>
              </w:rPr>
            </w:pPr>
            <w:r>
              <w:rPr>
                <w:sz w:val="4"/>
                <w:szCs w:val="4"/>
              </w:rPr>
            </w:r>
          </w:p>
        </w:tc>
      </w:tr>
      <w:tr>
        <w:trPr/>
        <w:tc>
          <w:tcPr>
            <w:tcW w:w="454" w:type="dxa"/>
            <w:tcBorders/>
            <w:shd w:fill="auto" w:val="clear"/>
          </w:tcPr>
          <w:p>
            <w:pPr>
              <w:pStyle w:val="TableContents"/>
              <w:spacing w:before="0" w:after="283"/>
              <w:rPr/>
            </w:pPr>
            <w:r>
              <w:rPr/>
              <w:t>  </w:t>
            </w:r>
            <w:r>
              <w:rPr/>
              <w:t>1.1</w:t>
            </w:r>
          </w:p>
        </w:tc>
        <w:tc>
          <w:tcPr>
            <w:tcW w:w="327" w:type="dxa"/>
            <w:tcBorders/>
            <w:shd w:fill="auto" w:val="clear"/>
            <w:vAlign w:val="bottom"/>
          </w:tcPr>
          <w:p>
            <w:pPr>
              <w:pStyle w:val="TableContents"/>
              <w:spacing w:before="0" w:after="283"/>
              <w:rPr/>
            </w:pPr>
            <w:r>
              <w:rPr/>
              <w:t>  </w:t>
            </w:r>
          </w:p>
        </w:tc>
        <w:tc>
          <w:tcPr>
            <w:tcW w:w="9424" w:type="dxa"/>
            <w:tcBorders/>
            <w:shd w:fill="auto" w:val="clear"/>
          </w:tcPr>
          <w:p>
            <w:pPr>
              <w:pStyle w:val="TableContents"/>
              <w:spacing w:before="0" w:after="283"/>
              <w:rPr/>
            </w:pPr>
            <w:hyperlink w:anchor="d167128dex11.htm">
              <w:r>
                <w:rPr>
                  <w:rStyle w:val="InternetLink"/>
                </w:rPr>
                <w:t xml:space="preserve">Underwriting Agreement between the Company and Citigroup Global Markets Inc. and Barclays Capital Inc. </w:t>
              </w:r>
            </w:hyperlink>
          </w:p>
        </w:tc>
      </w:tr>
      <w:tr>
        <w:trPr>
          <w:trHeight w:val="120" w:hRule="atLeast"/>
        </w:trPr>
        <w:tc>
          <w:tcPr>
            <w:tcW w:w="454" w:type="dxa"/>
            <w:tcBorders/>
            <w:shd w:fill="auto" w:val="clear"/>
            <w:vAlign w:val="center"/>
          </w:tcPr>
          <w:p>
            <w:pPr>
              <w:pStyle w:val="TableContents"/>
              <w:spacing w:before="0" w:after="283"/>
              <w:rPr>
                <w:sz w:val="4"/>
                <w:szCs w:val="4"/>
              </w:rPr>
            </w:pPr>
            <w:r>
              <w:rPr>
                <w:sz w:val="4"/>
                <w:szCs w:val="4"/>
              </w:rPr>
            </w:r>
          </w:p>
        </w:tc>
        <w:tc>
          <w:tcPr>
            <w:tcW w:w="9751" w:type="dxa"/>
            <w:gridSpan w:val="2"/>
            <w:tcBorders/>
            <w:shd w:fill="auto" w:val="clear"/>
            <w:vAlign w:val="center"/>
          </w:tcPr>
          <w:p>
            <w:pPr>
              <w:pStyle w:val="TableContents"/>
              <w:spacing w:before="0" w:after="283"/>
              <w:rPr>
                <w:sz w:val="4"/>
                <w:szCs w:val="4"/>
              </w:rPr>
            </w:pPr>
            <w:r>
              <w:rPr>
                <w:sz w:val="4"/>
                <w:szCs w:val="4"/>
              </w:rPr>
            </w:r>
          </w:p>
        </w:tc>
      </w:tr>
      <w:tr>
        <w:trPr/>
        <w:tc>
          <w:tcPr>
            <w:tcW w:w="454" w:type="dxa"/>
            <w:tcBorders/>
            <w:shd w:fill="auto" w:val="clear"/>
          </w:tcPr>
          <w:p>
            <w:pPr>
              <w:pStyle w:val="TableContents"/>
              <w:spacing w:before="0" w:after="283"/>
              <w:rPr/>
            </w:pPr>
            <w:r>
              <w:rPr/>
              <w:t>  </w:t>
            </w:r>
            <w:r>
              <w:rPr/>
              <w:t>3.1</w:t>
            </w:r>
          </w:p>
        </w:tc>
        <w:tc>
          <w:tcPr>
            <w:tcW w:w="327" w:type="dxa"/>
            <w:tcBorders/>
            <w:shd w:fill="auto" w:val="clear"/>
            <w:vAlign w:val="bottom"/>
          </w:tcPr>
          <w:p>
            <w:pPr>
              <w:pStyle w:val="TableContents"/>
              <w:spacing w:before="0" w:after="283"/>
              <w:rPr/>
            </w:pPr>
            <w:r>
              <w:rPr/>
              <w:t>  </w:t>
            </w:r>
          </w:p>
        </w:tc>
        <w:tc>
          <w:tcPr>
            <w:tcW w:w="9424" w:type="dxa"/>
            <w:tcBorders/>
            <w:shd w:fill="auto" w:val="clear"/>
          </w:tcPr>
          <w:p>
            <w:pPr>
              <w:pStyle w:val="TableContents"/>
              <w:spacing w:before="0" w:after="283"/>
              <w:rPr/>
            </w:pPr>
            <w:hyperlink w:anchor="d167128dex31.htm">
              <w:r>
                <w:rPr>
                  <w:rStyle w:val="InternetLink"/>
                </w:rPr>
                <w:t xml:space="preserve">Amended and Restated Memorandum and Articles of Association </w:t>
              </w:r>
            </w:hyperlink>
          </w:p>
        </w:tc>
      </w:tr>
      <w:tr>
        <w:trPr>
          <w:trHeight w:val="120" w:hRule="atLeast"/>
        </w:trPr>
        <w:tc>
          <w:tcPr>
            <w:tcW w:w="454" w:type="dxa"/>
            <w:tcBorders/>
            <w:shd w:fill="auto" w:val="clear"/>
            <w:vAlign w:val="center"/>
          </w:tcPr>
          <w:p>
            <w:pPr>
              <w:pStyle w:val="TableContents"/>
              <w:spacing w:before="0" w:after="283"/>
              <w:rPr>
                <w:sz w:val="4"/>
                <w:szCs w:val="4"/>
              </w:rPr>
            </w:pPr>
            <w:r>
              <w:rPr>
                <w:sz w:val="4"/>
                <w:szCs w:val="4"/>
              </w:rPr>
            </w:r>
          </w:p>
        </w:tc>
        <w:tc>
          <w:tcPr>
            <w:tcW w:w="9751" w:type="dxa"/>
            <w:gridSpan w:val="2"/>
            <w:tcBorders/>
            <w:shd w:fill="auto" w:val="clear"/>
            <w:vAlign w:val="center"/>
          </w:tcPr>
          <w:p>
            <w:pPr>
              <w:pStyle w:val="TableContents"/>
              <w:spacing w:before="0" w:after="283"/>
              <w:rPr>
                <w:sz w:val="4"/>
                <w:szCs w:val="4"/>
              </w:rPr>
            </w:pPr>
            <w:r>
              <w:rPr>
                <w:sz w:val="4"/>
                <w:szCs w:val="4"/>
              </w:rPr>
            </w:r>
          </w:p>
        </w:tc>
      </w:tr>
      <w:tr>
        <w:trPr/>
        <w:tc>
          <w:tcPr>
            <w:tcW w:w="454" w:type="dxa"/>
            <w:tcBorders/>
            <w:shd w:fill="auto" w:val="clear"/>
          </w:tcPr>
          <w:p>
            <w:pPr>
              <w:pStyle w:val="TableContents"/>
              <w:spacing w:before="0" w:after="283"/>
              <w:rPr/>
            </w:pPr>
            <w:r>
              <w:rPr/>
              <w:t>  </w:t>
            </w:r>
            <w:r>
              <w:rPr/>
              <w:t>4.1</w:t>
            </w:r>
          </w:p>
        </w:tc>
        <w:tc>
          <w:tcPr>
            <w:tcW w:w="327" w:type="dxa"/>
            <w:tcBorders/>
            <w:shd w:fill="auto" w:val="clear"/>
            <w:vAlign w:val="bottom"/>
          </w:tcPr>
          <w:p>
            <w:pPr>
              <w:pStyle w:val="TableContents"/>
              <w:spacing w:before="0" w:after="283"/>
              <w:rPr/>
            </w:pPr>
            <w:r>
              <w:rPr/>
              <w:t>  </w:t>
            </w:r>
          </w:p>
        </w:tc>
        <w:tc>
          <w:tcPr>
            <w:tcW w:w="9424" w:type="dxa"/>
            <w:tcBorders/>
            <w:shd w:fill="auto" w:val="clear"/>
          </w:tcPr>
          <w:p>
            <w:pPr>
              <w:pStyle w:val="TableContents"/>
              <w:spacing w:before="0" w:after="283"/>
              <w:rPr/>
            </w:pPr>
            <w:hyperlink w:anchor="d167128dex41.htm">
              <w:r>
                <w:rPr>
                  <w:rStyle w:val="InternetLink"/>
                </w:rPr>
                <w:t xml:space="preserve">Warrant Agreement between Continental Stock Transfer &amp; Trust Company and the Company </w:t>
              </w:r>
            </w:hyperlink>
          </w:p>
        </w:tc>
      </w:tr>
      <w:tr>
        <w:trPr>
          <w:trHeight w:val="120" w:hRule="atLeast"/>
        </w:trPr>
        <w:tc>
          <w:tcPr>
            <w:tcW w:w="454" w:type="dxa"/>
            <w:tcBorders/>
            <w:shd w:fill="auto" w:val="clear"/>
            <w:vAlign w:val="center"/>
          </w:tcPr>
          <w:p>
            <w:pPr>
              <w:pStyle w:val="TableContents"/>
              <w:spacing w:before="0" w:after="283"/>
              <w:rPr>
                <w:sz w:val="4"/>
                <w:szCs w:val="4"/>
              </w:rPr>
            </w:pPr>
            <w:r>
              <w:rPr>
                <w:sz w:val="4"/>
                <w:szCs w:val="4"/>
              </w:rPr>
            </w:r>
          </w:p>
        </w:tc>
        <w:tc>
          <w:tcPr>
            <w:tcW w:w="9751" w:type="dxa"/>
            <w:gridSpan w:val="2"/>
            <w:tcBorders/>
            <w:shd w:fill="auto" w:val="clear"/>
            <w:vAlign w:val="center"/>
          </w:tcPr>
          <w:p>
            <w:pPr>
              <w:pStyle w:val="TableContents"/>
              <w:spacing w:before="0" w:after="283"/>
              <w:rPr>
                <w:sz w:val="4"/>
                <w:szCs w:val="4"/>
              </w:rPr>
            </w:pPr>
            <w:r>
              <w:rPr>
                <w:sz w:val="4"/>
                <w:szCs w:val="4"/>
              </w:rPr>
            </w:r>
          </w:p>
        </w:tc>
      </w:tr>
      <w:tr>
        <w:trPr/>
        <w:tc>
          <w:tcPr>
            <w:tcW w:w="454" w:type="dxa"/>
            <w:tcBorders/>
            <w:shd w:fill="auto" w:val="clear"/>
          </w:tcPr>
          <w:p>
            <w:pPr>
              <w:pStyle w:val="TableContents"/>
              <w:spacing w:before="0" w:after="283"/>
              <w:rPr/>
            </w:pPr>
            <w:r>
              <w:rPr/>
              <w:t>10.1</w:t>
            </w:r>
          </w:p>
        </w:tc>
        <w:tc>
          <w:tcPr>
            <w:tcW w:w="327" w:type="dxa"/>
            <w:tcBorders/>
            <w:shd w:fill="auto" w:val="clear"/>
            <w:vAlign w:val="bottom"/>
          </w:tcPr>
          <w:p>
            <w:pPr>
              <w:pStyle w:val="TableContents"/>
              <w:spacing w:before="0" w:after="283"/>
              <w:rPr/>
            </w:pPr>
            <w:r>
              <w:rPr/>
              <w:t>  </w:t>
            </w:r>
          </w:p>
        </w:tc>
        <w:tc>
          <w:tcPr>
            <w:tcW w:w="9424" w:type="dxa"/>
            <w:tcBorders/>
            <w:shd w:fill="auto" w:val="clear"/>
          </w:tcPr>
          <w:p>
            <w:pPr>
              <w:pStyle w:val="TableContents"/>
              <w:spacing w:before="0" w:after="283"/>
              <w:rPr/>
            </w:pPr>
            <w:hyperlink w:anchor="d167128dex101.htm">
              <w:r>
                <w:rPr>
                  <w:rStyle w:val="InternetLink"/>
                </w:rPr>
                <w:t xml:space="preserve">Private Placement Warrants Purchase Agreement between the Company and the Sponsor </w:t>
              </w:r>
            </w:hyperlink>
          </w:p>
        </w:tc>
      </w:tr>
      <w:tr>
        <w:trPr>
          <w:trHeight w:val="120" w:hRule="atLeast"/>
        </w:trPr>
        <w:tc>
          <w:tcPr>
            <w:tcW w:w="454" w:type="dxa"/>
            <w:tcBorders/>
            <w:shd w:fill="auto" w:val="clear"/>
            <w:vAlign w:val="center"/>
          </w:tcPr>
          <w:p>
            <w:pPr>
              <w:pStyle w:val="TableContents"/>
              <w:spacing w:before="0" w:after="283"/>
              <w:rPr>
                <w:sz w:val="4"/>
                <w:szCs w:val="4"/>
              </w:rPr>
            </w:pPr>
            <w:r>
              <w:rPr>
                <w:sz w:val="4"/>
                <w:szCs w:val="4"/>
              </w:rPr>
            </w:r>
          </w:p>
        </w:tc>
        <w:tc>
          <w:tcPr>
            <w:tcW w:w="9751" w:type="dxa"/>
            <w:gridSpan w:val="2"/>
            <w:tcBorders/>
            <w:shd w:fill="auto" w:val="clear"/>
            <w:vAlign w:val="center"/>
          </w:tcPr>
          <w:p>
            <w:pPr>
              <w:pStyle w:val="TableContents"/>
              <w:spacing w:before="0" w:after="283"/>
              <w:rPr>
                <w:sz w:val="4"/>
                <w:szCs w:val="4"/>
              </w:rPr>
            </w:pPr>
            <w:r>
              <w:rPr>
                <w:sz w:val="4"/>
                <w:szCs w:val="4"/>
              </w:rPr>
            </w:r>
          </w:p>
        </w:tc>
      </w:tr>
      <w:tr>
        <w:trPr/>
        <w:tc>
          <w:tcPr>
            <w:tcW w:w="454" w:type="dxa"/>
            <w:tcBorders/>
            <w:shd w:fill="auto" w:val="clear"/>
          </w:tcPr>
          <w:p>
            <w:pPr>
              <w:pStyle w:val="TableContents"/>
              <w:spacing w:before="0" w:after="283"/>
              <w:rPr/>
            </w:pPr>
            <w:r>
              <w:rPr/>
              <w:t>10.2</w:t>
            </w:r>
          </w:p>
        </w:tc>
        <w:tc>
          <w:tcPr>
            <w:tcW w:w="327" w:type="dxa"/>
            <w:tcBorders/>
            <w:shd w:fill="auto" w:val="clear"/>
            <w:vAlign w:val="bottom"/>
          </w:tcPr>
          <w:p>
            <w:pPr>
              <w:pStyle w:val="TableContents"/>
              <w:spacing w:before="0" w:after="283"/>
              <w:rPr/>
            </w:pPr>
            <w:r>
              <w:rPr/>
              <w:t>  </w:t>
            </w:r>
          </w:p>
        </w:tc>
        <w:tc>
          <w:tcPr>
            <w:tcW w:w="9424" w:type="dxa"/>
            <w:tcBorders/>
            <w:shd w:fill="auto" w:val="clear"/>
          </w:tcPr>
          <w:p>
            <w:pPr>
              <w:pStyle w:val="TableContents"/>
              <w:spacing w:before="0" w:after="283"/>
              <w:rPr/>
            </w:pPr>
            <w:hyperlink w:anchor="d167128dex102.htm">
              <w:r>
                <w:rPr>
                  <w:rStyle w:val="InternetLink"/>
                </w:rPr>
                <w:t xml:space="preserve">Investment Management Trust Account Agreement between Continental Stock Transfer &amp; Trust Company and the Company </w:t>
              </w:r>
            </w:hyperlink>
          </w:p>
        </w:tc>
      </w:tr>
      <w:tr>
        <w:trPr>
          <w:trHeight w:val="120" w:hRule="atLeast"/>
        </w:trPr>
        <w:tc>
          <w:tcPr>
            <w:tcW w:w="454" w:type="dxa"/>
            <w:tcBorders/>
            <w:shd w:fill="auto" w:val="clear"/>
            <w:vAlign w:val="center"/>
          </w:tcPr>
          <w:p>
            <w:pPr>
              <w:pStyle w:val="TableContents"/>
              <w:spacing w:before="0" w:after="283"/>
              <w:rPr>
                <w:sz w:val="4"/>
                <w:szCs w:val="4"/>
              </w:rPr>
            </w:pPr>
            <w:r>
              <w:rPr>
                <w:sz w:val="4"/>
                <w:szCs w:val="4"/>
              </w:rPr>
            </w:r>
          </w:p>
        </w:tc>
        <w:tc>
          <w:tcPr>
            <w:tcW w:w="9751" w:type="dxa"/>
            <w:gridSpan w:val="2"/>
            <w:tcBorders/>
            <w:shd w:fill="auto" w:val="clear"/>
            <w:vAlign w:val="center"/>
          </w:tcPr>
          <w:p>
            <w:pPr>
              <w:pStyle w:val="TableContents"/>
              <w:spacing w:before="0" w:after="283"/>
              <w:rPr>
                <w:sz w:val="4"/>
                <w:szCs w:val="4"/>
              </w:rPr>
            </w:pPr>
            <w:r>
              <w:rPr>
                <w:sz w:val="4"/>
                <w:szCs w:val="4"/>
              </w:rPr>
            </w:r>
          </w:p>
        </w:tc>
      </w:tr>
      <w:tr>
        <w:trPr/>
        <w:tc>
          <w:tcPr>
            <w:tcW w:w="454" w:type="dxa"/>
            <w:tcBorders/>
            <w:shd w:fill="auto" w:val="clear"/>
          </w:tcPr>
          <w:p>
            <w:pPr>
              <w:pStyle w:val="TableContents"/>
              <w:spacing w:before="0" w:after="283"/>
              <w:rPr/>
            </w:pPr>
            <w:r>
              <w:rPr/>
              <w:t>10.3</w:t>
            </w:r>
          </w:p>
        </w:tc>
        <w:tc>
          <w:tcPr>
            <w:tcW w:w="327" w:type="dxa"/>
            <w:tcBorders/>
            <w:shd w:fill="auto" w:val="clear"/>
            <w:vAlign w:val="bottom"/>
          </w:tcPr>
          <w:p>
            <w:pPr>
              <w:pStyle w:val="TableContents"/>
              <w:spacing w:before="0" w:after="283"/>
              <w:rPr/>
            </w:pPr>
            <w:r>
              <w:rPr/>
              <w:t>  </w:t>
            </w:r>
          </w:p>
        </w:tc>
        <w:tc>
          <w:tcPr>
            <w:tcW w:w="9424" w:type="dxa"/>
            <w:tcBorders/>
            <w:shd w:fill="auto" w:val="clear"/>
          </w:tcPr>
          <w:p>
            <w:pPr>
              <w:pStyle w:val="TableContents"/>
              <w:spacing w:before="0" w:after="283"/>
              <w:rPr/>
            </w:pPr>
            <w:hyperlink w:anchor="d167128dex103.htm">
              <w:r>
                <w:rPr>
                  <w:rStyle w:val="InternetLink"/>
                </w:rPr>
                <w:t xml:space="preserve">Registration and Shareholder Rights Agreement among the Company, the Sponsor and certain other equityholders named therein </w:t>
              </w:r>
            </w:hyperlink>
          </w:p>
        </w:tc>
      </w:tr>
      <w:tr>
        <w:trPr>
          <w:trHeight w:val="120" w:hRule="atLeast"/>
        </w:trPr>
        <w:tc>
          <w:tcPr>
            <w:tcW w:w="454" w:type="dxa"/>
            <w:tcBorders/>
            <w:shd w:fill="auto" w:val="clear"/>
            <w:vAlign w:val="center"/>
          </w:tcPr>
          <w:p>
            <w:pPr>
              <w:pStyle w:val="TableContents"/>
              <w:spacing w:before="0" w:after="283"/>
              <w:rPr>
                <w:sz w:val="4"/>
                <w:szCs w:val="4"/>
              </w:rPr>
            </w:pPr>
            <w:r>
              <w:rPr>
                <w:sz w:val="4"/>
                <w:szCs w:val="4"/>
              </w:rPr>
            </w:r>
          </w:p>
        </w:tc>
        <w:tc>
          <w:tcPr>
            <w:tcW w:w="9751" w:type="dxa"/>
            <w:gridSpan w:val="2"/>
            <w:tcBorders/>
            <w:shd w:fill="auto" w:val="clear"/>
            <w:vAlign w:val="center"/>
          </w:tcPr>
          <w:p>
            <w:pPr>
              <w:pStyle w:val="TableContents"/>
              <w:spacing w:before="0" w:after="283"/>
              <w:rPr>
                <w:sz w:val="4"/>
                <w:szCs w:val="4"/>
              </w:rPr>
            </w:pPr>
            <w:r>
              <w:rPr>
                <w:sz w:val="4"/>
                <w:szCs w:val="4"/>
              </w:rPr>
            </w:r>
          </w:p>
        </w:tc>
      </w:tr>
      <w:tr>
        <w:trPr/>
        <w:tc>
          <w:tcPr>
            <w:tcW w:w="454" w:type="dxa"/>
            <w:tcBorders/>
            <w:shd w:fill="auto" w:val="clear"/>
          </w:tcPr>
          <w:p>
            <w:pPr>
              <w:pStyle w:val="TableContents"/>
              <w:spacing w:before="0" w:after="283"/>
              <w:rPr/>
            </w:pPr>
            <w:r>
              <w:rPr/>
              <w:t>10.4</w:t>
            </w:r>
          </w:p>
        </w:tc>
        <w:tc>
          <w:tcPr>
            <w:tcW w:w="327" w:type="dxa"/>
            <w:tcBorders/>
            <w:shd w:fill="auto" w:val="clear"/>
            <w:vAlign w:val="bottom"/>
          </w:tcPr>
          <w:p>
            <w:pPr>
              <w:pStyle w:val="TableContents"/>
              <w:spacing w:before="0" w:after="283"/>
              <w:rPr/>
            </w:pPr>
            <w:r>
              <w:rPr/>
              <w:t>  </w:t>
            </w:r>
          </w:p>
        </w:tc>
        <w:tc>
          <w:tcPr>
            <w:tcW w:w="9424" w:type="dxa"/>
            <w:tcBorders/>
            <w:shd w:fill="auto" w:val="clear"/>
          </w:tcPr>
          <w:p>
            <w:pPr>
              <w:pStyle w:val="TableContents"/>
              <w:spacing w:before="0" w:after="283"/>
              <w:rPr/>
            </w:pPr>
            <w:hyperlink w:anchor="d167128dex104.htm">
              <w:r>
                <w:rPr>
                  <w:rStyle w:val="InternetLink"/>
                </w:rPr>
                <w:t xml:space="preserve">Letter Agreement among the Company, the Sponsor and the Companys officers and directors </w:t>
              </w:r>
            </w:hyperlink>
          </w:p>
        </w:tc>
      </w:tr>
      <w:tr>
        <w:trPr>
          <w:trHeight w:val="120" w:hRule="atLeast"/>
        </w:trPr>
        <w:tc>
          <w:tcPr>
            <w:tcW w:w="454" w:type="dxa"/>
            <w:tcBorders/>
            <w:shd w:fill="auto" w:val="clear"/>
            <w:vAlign w:val="center"/>
          </w:tcPr>
          <w:p>
            <w:pPr>
              <w:pStyle w:val="TableContents"/>
              <w:spacing w:before="0" w:after="283"/>
              <w:rPr>
                <w:sz w:val="4"/>
                <w:szCs w:val="4"/>
              </w:rPr>
            </w:pPr>
            <w:r>
              <w:rPr>
                <w:sz w:val="4"/>
                <w:szCs w:val="4"/>
              </w:rPr>
            </w:r>
          </w:p>
        </w:tc>
        <w:tc>
          <w:tcPr>
            <w:tcW w:w="9751" w:type="dxa"/>
            <w:gridSpan w:val="2"/>
            <w:tcBorders/>
            <w:shd w:fill="auto" w:val="clear"/>
            <w:vAlign w:val="center"/>
          </w:tcPr>
          <w:p>
            <w:pPr>
              <w:pStyle w:val="TableContents"/>
              <w:spacing w:before="0" w:after="283"/>
              <w:rPr>
                <w:sz w:val="4"/>
                <w:szCs w:val="4"/>
              </w:rPr>
            </w:pPr>
            <w:r>
              <w:rPr>
                <w:sz w:val="4"/>
                <w:szCs w:val="4"/>
              </w:rPr>
            </w:r>
          </w:p>
        </w:tc>
      </w:tr>
      <w:tr>
        <w:trPr/>
        <w:tc>
          <w:tcPr>
            <w:tcW w:w="454" w:type="dxa"/>
            <w:tcBorders/>
            <w:shd w:fill="auto" w:val="clear"/>
          </w:tcPr>
          <w:p>
            <w:pPr>
              <w:pStyle w:val="TableContents"/>
              <w:spacing w:before="0" w:after="283"/>
              <w:rPr/>
            </w:pPr>
            <w:r>
              <w:rPr/>
              <w:t>10.5</w:t>
            </w:r>
          </w:p>
        </w:tc>
        <w:tc>
          <w:tcPr>
            <w:tcW w:w="327" w:type="dxa"/>
            <w:tcBorders/>
            <w:shd w:fill="auto" w:val="clear"/>
            <w:vAlign w:val="bottom"/>
          </w:tcPr>
          <w:p>
            <w:pPr>
              <w:pStyle w:val="TableContents"/>
              <w:spacing w:before="0" w:after="283"/>
              <w:rPr/>
            </w:pPr>
            <w:r>
              <w:rPr/>
              <w:t>  </w:t>
            </w:r>
          </w:p>
        </w:tc>
        <w:tc>
          <w:tcPr>
            <w:tcW w:w="9424" w:type="dxa"/>
            <w:tcBorders/>
            <w:shd w:fill="auto" w:val="clear"/>
          </w:tcPr>
          <w:p>
            <w:pPr>
              <w:pStyle w:val="TableContents"/>
              <w:spacing w:before="0" w:after="283"/>
              <w:rPr/>
            </w:pPr>
            <w:hyperlink w:anchor="d167128dex105.htm">
              <w:r>
                <w:rPr>
                  <w:rStyle w:val="InternetLink"/>
                </w:rPr>
                <w:t xml:space="preserve">Administrative Services Agreement between the Company and the Sponsor </w:t>
              </w:r>
            </w:hyperlink>
          </w:p>
        </w:tc>
      </w:tr>
    </w:tbl>
    <w:p>
      <w:pPr>
        <w:pStyle w:val="HorizontalLine"/>
        <w:pBdr>
          <w:bottom w:val="double" w:sz="6" w:space="0" w:color="808080"/>
        </w:pBdr>
        <w:rPr/>
      </w:pPr>
      <w:r>
        <w:br w:type="page"/>
      </w:r>
      <w:r>
        <w:rPr/>
      </w:r>
    </w:p>
    <w:p>
      <w:pPr>
        <w:pStyle w:val="TextBody"/>
        <w:spacing w:before="0" w:after="0"/>
        <w:jc w:val="center"/>
        <w:rPr>
          <w:rFonts w:ascii="Times New Roman" w:hAnsi="Times New Roman"/>
          <w:b/>
          <w:sz w:val="20"/>
        </w:rPr>
      </w:pPr>
      <w:r>
        <w:rPr>
          <w:rFonts w:ascii="Times New Roman" w:hAnsi="Times New Roman"/>
          <w:b/>
          <w:sz w:val="20"/>
        </w:rPr>
        <w:t xml:space="preserve">SIGNATURE </w:t>
      </w:r>
    </w:p>
    <w:p>
      <w:pPr>
        <w:pStyle w:val="TextBody"/>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spacing w:before="240" w:after="0"/>
        <w:jc w:val="left"/>
        <w:rPr>
          <w:rFonts w:ascii="Times New Roman" w:hAnsi="Times New Roman"/>
          <w:sz w:val="20"/>
        </w:rPr>
      </w:pPr>
      <w:r>
        <w:rPr>
          <w:rFonts w:ascii="Times New Roman" w:hAnsi="Times New Roman"/>
          <w:sz w:val="20"/>
        </w:rPr>
        <w:t xml:space="preserve">Dated: March 26, 2021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672"/>
        <w:gridCol w:w="61"/>
        <w:gridCol w:w="3349"/>
      </w:tblGrid>
      <w:tr>
        <w:trPr/>
        <w:tc>
          <w:tcPr>
            <w:tcW w:w="672"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sz w:val="4"/>
                <w:szCs w:val="4"/>
              </w:rPr>
            </w:pPr>
            <w:r>
              <w:rPr>
                <w:sz w:val="4"/>
                <w:szCs w:val="4"/>
              </w:rPr>
            </w:r>
          </w:p>
        </w:tc>
        <w:tc>
          <w:tcPr>
            <w:tcW w:w="3349"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b/>
              </w:rPr>
            </w:pPr>
            <w:r>
              <w:rPr>
                <w:b/>
              </w:rPr>
              <w:t>ARCLIGHT CLEAN TRANSITION CORP. II</w:t>
            </w:r>
          </w:p>
        </w:tc>
      </w:tr>
      <w:tr>
        <w:trPr>
          <w:trHeight w:val="240" w:hRule="atLeast"/>
        </w:trPr>
        <w:tc>
          <w:tcPr>
            <w:tcW w:w="672" w:type="dxa"/>
            <w:tcBorders/>
            <w:shd w:fill="auto" w:val="clear"/>
            <w:vAlign w:val="center"/>
          </w:tcPr>
          <w:p>
            <w:pPr>
              <w:pStyle w:val="TableContents"/>
              <w:spacing w:before="0" w:after="283"/>
              <w:rPr>
                <w:sz w:val="4"/>
                <w:szCs w:val="4"/>
              </w:rPr>
            </w:pPr>
            <w:r>
              <w:rPr>
                <w:sz w:val="4"/>
                <w:szCs w:val="4"/>
              </w:rPr>
            </w:r>
          </w:p>
        </w:tc>
        <w:tc>
          <w:tcPr>
            <w:tcW w:w="3410" w:type="dxa"/>
            <w:gridSpan w:val="2"/>
            <w:tcBorders/>
            <w:shd w:fill="auto" w:val="clear"/>
            <w:vAlign w:val="center"/>
          </w:tcPr>
          <w:p>
            <w:pPr>
              <w:pStyle w:val="TableContents"/>
              <w:spacing w:before="0" w:after="283"/>
              <w:rPr>
                <w:sz w:val="4"/>
                <w:szCs w:val="4"/>
              </w:rPr>
            </w:pPr>
            <w:r>
              <w:rPr>
                <w:sz w:val="4"/>
                <w:szCs w:val="4"/>
              </w:rPr>
            </w:r>
          </w:p>
        </w:tc>
      </w:tr>
      <w:tr>
        <w:trPr/>
        <w:tc>
          <w:tcPr>
            <w:tcW w:w="672" w:type="dxa"/>
            <w:tcBorders/>
            <w:shd w:fill="auto" w:val="clear"/>
          </w:tcPr>
          <w:p>
            <w:pPr>
              <w:pStyle w:val="TableContents"/>
              <w:spacing w:before="0" w:after="283"/>
              <w:rPr/>
            </w:pPr>
            <w:r>
              <w:rPr/>
              <w:t>By:</w:t>
            </w:r>
          </w:p>
        </w:tc>
        <w:tc>
          <w:tcPr>
            <w:tcW w:w="61" w:type="dxa"/>
            <w:tcBorders/>
            <w:shd w:fill="auto" w:val="clear"/>
            <w:vAlign w:val="bottom"/>
          </w:tcPr>
          <w:p>
            <w:pPr>
              <w:pStyle w:val="TableContents"/>
              <w:spacing w:before="0" w:after="283"/>
              <w:rPr/>
            </w:pPr>
            <w:r>
              <w:rPr/>
              <w:t> </w:t>
            </w:r>
          </w:p>
        </w:tc>
        <w:tc>
          <w:tcPr>
            <w:tcW w:w="3349" w:type="dxa"/>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John F. Erhard</w:t>
            </w:r>
          </w:p>
        </w:tc>
      </w:tr>
      <w:tr>
        <w:trPr/>
        <w:tc>
          <w:tcPr>
            <w:tcW w:w="672" w:type="dxa"/>
            <w:tcBorders/>
            <w:shd w:fill="auto" w:val="clear"/>
          </w:tcPr>
          <w:p>
            <w:pPr>
              <w:pStyle w:val="TableContents"/>
              <w:spacing w:before="0" w:after="283"/>
              <w:rPr/>
            </w:pPr>
            <w:r>
              <w:rPr/>
              <w:t>Name:</w:t>
            </w:r>
          </w:p>
        </w:tc>
        <w:tc>
          <w:tcPr>
            <w:tcW w:w="61" w:type="dxa"/>
            <w:tcBorders/>
            <w:shd w:fill="auto" w:val="clear"/>
            <w:vAlign w:val="bottom"/>
          </w:tcPr>
          <w:p>
            <w:pPr>
              <w:pStyle w:val="TableContents"/>
              <w:spacing w:before="0" w:after="283"/>
              <w:rPr/>
            </w:pPr>
            <w:r>
              <w:rPr/>
              <w:t> </w:t>
            </w:r>
          </w:p>
        </w:tc>
        <w:tc>
          <w:tcPr>
            <w:tcW w:w="3349" w:type="dxa"/>
            <w:tcBorders/>
            <w:shd w:fill="auto" w:val="clear"/>
          </w:tcPr>
          <w:p>
            <w:pPr>
              <w:pStyle w:val="TableContents"/>
              <w:spacing w:before="0" w:after="283"/>
              <w:rPr/>
            </w:pPr>
            <w:r>
              <w:rPr/>
              <w:t>John F. Erhard</w:t>
            </w:r>
          </w:p>
        </w:tc>
      </w:tr>
      <w:tr>
        <w:trPr/>
        <w:tc>
          <w:tcPr>
            <w:tcW w:w="672" w:type="dxa"/>
            <w:tcBorders/>
            <w:shd w:fill="auto" w:val="clear"/>
          </w:tcPr>
          <w:p>
            <w:pPr>
              <w:pStyle w:val="TableContents"/>
              <w:spacing w:before="0" w:after="283"/>
              <w:rPr/>
            </w:pPr>
            <w:r>
              <w:rPr/>
              <w:t>Title:</w:t>
            </w:r>
          </w:p>
        </w:tc>
        <w:tc>
          <w:tcPr>
            <w:tcW w:w="61" w:type="dxa"/>
            <w:tcBorders/>
            <w:shd w:fill="auto" w:val="clear"/>
            <w:vAlign w:val="bottom"/>
          </w:tcPr>
          <w:p>
            <w:pPr>
              <w:pStyle w:val="TableContents"/>
              <w:spacing w:before="0" w:after="283"/>
              <w:rPr/>
            </w:pPr>
            <w:r>
              <w:rPr/>
              <w:t> </w:t>
            </w:r>
          </w:p>
        </w:tc>
        <w:tc>
          <w:tcPr>
            <w:tcW w:w="3349" w:type="dxa"/>
            <w:tcBorders/>
            <w:shd w:fill="auto" w:val="clear"/>
          </w:tcPr>
          <w:p>
            <w:pPr>
              <w:pStyle w:val="TableContents"/>
              <w:spacing w:before="0" w:after="283"/>
              <w:rPr/>
            </w:pPr>
            <w:r>
              <w:rPr/>
              <w:t>President and Chief Executive Officer</w:t>
            </w:r>
          </w:p>
        </w:tc>
      </w:tr>
    </w:tbl>
    <w:p>
      <w:pPr>
        <w:pStyle w:val="TextBody"/>
        <w:spacing w:before="0" w:after="0"/>
        <w:jc w:val="right"/>
        <w:rPr>
          <w:rFonts w:ascii="Times New Roman" w:hAnsi="Times New Roman"/>
          <w:b/>
          <w:sz w:val="20"/>
        </w:rPr>
      </w:pPr>
      <w:r>
        <w:br w:type="page"/>
      </w:r>
      <w:bookmarkStart w:id="2" w:name="d167128dex11.htm"/>
      <w:bookmarkStart w:id="3" w:name="ksd167128dex11"/>
      <w:bookmarkEnd w:id="2"/>
      <w:bookmarkEnd w:id="3"/>
      <w:r>
        <w:rPr>
          <w:rFonts w:ascii="Times New Roman" w:hAnsi="Times New Roman"/>
          <w:b/>
          <w:sz w:val="20"/>
        </w:rPr>
        <w:t xml:space="preserve">Exhibit 1.1 </w:t>
      </w:r>
    </w:p>
    <w:p>
      <w:pPr>
        <w:pStyle w:val="TextBody"/>
        <w:spacing w:before="240" w:after="0"/>
        <w:jc w:val="center"/>
        <w:rPr>
          <w:rFonts w:ascii="Times New Roman" w:hAnsi="Times New Roman"/>
          <w:sz w:val="20"/>
        </w:rPr>
      </w:pPr>
      <w:r>
        <w:rPr>
          <w:rFonts w:ascii="Times New Roman" w:hAnsi="Times New Roman"/>
          <w:sz w:val="20"/>
        </w:rPr>
        <w:t xml:space="preserve">ArcLight Clean Transition Corp. II </w:t>
      </w:r>
    </w:p>
    <w:p>
      <w:pPr>
        <w:pStyle w:val="TextBody"/>
        <w:spacing w:before="0" w:after="0"/>
        <w:jc w:val="center"/>
        <w:rPr>
          <w:rFonts w:ascii="Times New Roman" w:hAnsi="Times New Roman"/>
          <w:sz w:val="20"/>
        </w:rPr>
      </w:pPr>
      <w:r>
        <w:rPr>
          <w:rFonts w:ascii="Times New Roman" w:hAnsi="Times New Roman"/>
          <w:sz w:val="20"/>
        </w:rPr>
        <w:t xml:space="preserve">27,500,000 Units1 </w:t>
      </w:r>
    </w:p>
    <w:p>
      <w:pPr>
        <w:pStyle w:val="TextBody"/>
        <w:spacing w:before="0" w:after="0"/>
        <w:jc w:val="center"/>
        <w:rPr>
          <w:rFonts w:ascii="Times New Roman" w:hAnsi="Times New Roman"/>
          <w:sz w:val="20"/>
        </w:rPr>
      </w:pPr>
      <w:r>
        <w:rPr>
          <w:rFonts w:ascii="Times New Roman" w:hAnsi="Times New Roman"/>
          <w:sz w:val="20"/>
        </w:rPr>
        <w:t xml:space="preserve">UNDERWRITING AGREEMENT </w:t>
      </w:r>
    </w:p>
    <w:p>
      <w:pPr>
        <w:pStyle w:val="TextBody"/>
        <w:spacing w:before="240" w:after="0"/>
        <w:jc w:val="right"/>
        <w:rPr>
          <w:rFonts w:ascii="Times New Roman" w:hAnsi="Times New Roman"/>
          <w:sz w:val="20"/>
        </w:rPr>
      </w:pPr>
      <w:r>
        <w:rPr>
          <w:rFonts w:ascii="Times New Roman" w:hAnsi="Times New Roman"/>
          <w:sz w:val="20"/>
        </w:rPr>
        <w:t xml:space="preserve">New York, New York </w:t>
      </w:r>
    </w:p>
    <w:p>
      <w:pPr>
        <w:pStyle w:val="TextBody"/>
        <w:spacing w:before="0" w:after="0"/>
        <w:jc w:val="right"/>
        <w:rPr>
          <w:rFonts w:ascii="Times New Roman" w:hAnsi="Times New Roman"/>
          <w:sz w:val="20"/>
        </w:rPr>
      </w:pPr>
      <w:r>
        <w:rPr>
          <w:rFonts w:ascii="Times New Roman" w:hAnsi="Times New Roman"/>
          <w:sz w:val="20"/>
        </w:rPr>
        <w:t xml:space="preserve">March 22, 2021 </w:t>
      </w:r>
    </w:p>
    <w:p>
      <w:pPr>
        <w:pStyle w:val="TextBody"/>
        <w:spacing w:before="240" w:after="0"/>
        <w:jc w:val="left"/>
        <w:rPr>
          <w:rFonts w:ascii="Times New Roman" w:hAnsi="Times New Roman"/>
          <w:sz w:val="20"/>
        </w:rPr>
      </w:pPr>
      <w:r>
        <w:rPr>
          <w:rFonts w:ascii="Times New Roman" w:hAnsi="Times New Roman"/>
          <w:sz w:val="20"/>
        </w:rPr>
        <w:t xml:space="preserve">Citigroup Global Markets Inc. </w:t>
      </w:r>
    </w:p>
    <w:p>
      <w:pPr>
        <w:pStyle w:val="TextBody"/>
        <w:spacing w:before="0" w:after="0"/>
        <w:jc w:val="left"/>
        <w:rPr>
          <w:rFonts w:ascii="Times New Roman" w:hAnsi="Times New Roman"/>
          <w:sz w:val="20"/>
        </w:rPr>
      </w:pPr>
      <w:r>
        <w:rPr>
          <w:rFonts w:ascii="Times New Roman" w:hAnsi="Times New Roman"/>
          <w:sz w:val="20"/>
        </w:rPr>
        <w:t xml:space="preserve">388 Greenwich Street </w:t>
      </w:r>
    </w:p>
    <w:p>
      <w:pPr>
        <w:pStyle w:val="TextBody"/>
        <w:spacing w:before="0" w:after="0"/>
        <w:jc w:val="left"/>
        <w:rPr>
          <w:rFonts w:ascii="Times New Roman" w:hAnsi="Times New Roman"/>
          <w:sz w:val="20"/>
        </w:rPr>
      </w:pPr>
      <w:r>
        <w:rPr>
          <w:rFonts w:ascii="Times New Roman" w:hAnsi="Times New Roman"/>
          <w:sz w:val="20"/>
        </w:rPr>
        <w:t xml:space="preserve">New York, NY 10013 </w:t>
      </w:r>
    </w:p>
    <w:p>
      <w:pPr>
        <w:pStyle w:val="TextBody"/>
        <w:spacing w:before="240" w:after="0"/>
        <w:jc w:val="left"/>
        <w:rPr>
          <w:rFonts w:ascii="Times New Roman" w:hAnsi="Times New Roman"/>
          <w:sz w:val="20"/>
        </w:rPr>
      </w:pPr>
      <w:r>
        <w:rPr>
          <w:rFonts w:ascii="Times New Roman" w:hAnsi="Times New Roman"/>
          <w:sz w:val="20"/>
        </w:rPr>
        <w:t xml:space="preserve">Barclays Capital Inc. </w:t>
      </w:r>
    </w:p>
    <w:p>
      <w:pPr>
        <w:pStyle w:val="TextBody"/>
        <w:spacing w:before="0" w:after="0"/>
        <w:jc w:val="left"/>
        <w:rPr>
          <w:rFonts w:ascii="Times New Roman" w:hAnsi="Times New Roman"/>
          <w:sz w:val="20"/>
        </w:rPr>
      </w:pPr>
      <w:r>
        <w:rPr>
          <w:rFonts w:ascii="Times New Roman" w:hAnsi="Times New Roman"/>
          <w:sz w:val="20"/>
        </w:rPr>
        <w:t xml:space="preserve">745 7th Avenue </w:t>
      </w:r>
    </w:p>
    <w:p>
      <w:pPr>
        <w:pStyle w:val="TextBody"/>
        <w:spacing w:before="0" w:after="0"/>
        <w:jc w:val="left"/>
        <w:rPr>
          <w:rFonts w:ascii="Times New Roman" w:hAnsi="Times New Roman"/>
          <w:sz w:val="20"/>
        </w:rPr>
      </w:pPr>
      <w:r>
        <w:rPr>
          <w:rFonts w:ascii="Times New Roman" w:hAnsi="Times New Roman"/>
          <w:sz w:val="20"/>
        </w:rPr>
        <w:t xml:space="preserve">New York, NY 10019 </w:t>
      </w:r>
    </w:p>
    <w:p>
      <w:pPr>
        <w:pStyle w:val="TextBody"/>
        <w:spacing w:before="240" w:after="0"/>
        <w:jc w:val="left"/>
        <w:rPr>
          <w:rFonts w:ascii="Times New Roman" w:hAnsi="Times New Roman"/>
          <w:sz w:val="20"/>
        </w:rPr>
      </w:pPr>
      <w:r>
        <w:rPr>
          <w:rFonts w:ascii="Times New Roman" w:hAnsi="Times New Roman"/>
          <w:sz w:val="20"/>
        </w:rPr>
        <w:t xml:space="preserve">Ladies and Gentlemen: </w:t>
      </w:r>
    </w:p>
    <w:p>
      <w:pPr>
        <w:pStyle w:val="TextBody"/>
        <w:spacing w:before="240" w:after="0"/>
        <w:jc w:val="left"/>
        <w:rPr>
          <w:rFonts w:ascii="Times New Roman" w:hAnsi="Times New Roman"/>
          <w:sz w:val="20"/>
        </w:rPr>
      </w:pPr>
      <w:r>
        <w:rPr>
          <w:rFonts w:ascii="Times New Roman" w:hAnsi="Times New Roman"/>
          <w:sz w:val="20"/>
        </w:rPr>
        <w:t>ArcLight Clean Transition Corp. II, a Cayman Islands exempted company (the </w:t>
      </w:r>
      <w:r>
        <w:rPr>
          <w:rFonts w:ascii="Times New Roman" w:hAnsi="Times New Roman"/>
          <w:sz w:val="20"/>
          <w:u w:val="single"/>
        </w:rPr>
        <w:t>Company</w:t>
      </w:r>
      <w:r>
        <w:rPr>
          <w:rFonts w:ascii="Times New Roman" w:hAnsi="Times New Roman"/>
          <w:sz w:val="20"/>
        </w:rPr>
        <w:t>), proposes to issue and sell to Citigroup Global Markets Inc. and Barclays Capital Inc. (the </w:t>
      </w:r>
      <w:r>
        <w:rPr>
          <w:rFonts w:ascii="Times New Roman" w:hAnsi="Times New Roman"/>
          <w:sz w:val="20"/>
          <w:u w:val="single"/>
        </w:rPr>
        <w:t>Underwriters</w:t>
      </w:r>
      <w:r>
        <w:rPr>
          <w:rFonts w:ascii="Times New Roman" w:hAnsi="Times New Roman"/>
          <w:sz w:val="20"/>
        </w:rPr>
        <w:t>), an aggregate of 27,500,000 units (the </w:t>
      </w:r>
      <w:r>
        <w:rPr>
          <w:rFonts w:ascii="Times New Roman" w:hAnsi="Times New Roman"/>
          <w:sz w:val="20"/>
          <w:u w:val="single"/>
        </w:rPr>
        <w:t>Units</w:t>
      </w:r>
      <w:r>
        <w:rPr>
          <w:rFonts w:ascii="Times New Roman" w:hAnsi="Times New Roman"/>
          <w:sz w:val="20"/>
        </w:rPr>
        <w:t>) of the Company (said Units to be issued and sold by the Company being hereinafter called the </w:t>
      </w:r>
      <w:r>
        <w:rPr>
          <w:rFonts w:ascii="Times New Roman" w:hAnsi="Times New Roman"/>
          <w:sz w:val="20"/>
          <w:u w:val="single"/>
        </w:rPr>
        <w:t>Underwritten Securities</w:t>
      </w:r>
      <w:r>
        <w:rPr>
          <w:rFonts w:ascii="Times New Roman" w:hAnsi="Times New Roman"/>
          <w:sz w:val="20"/>
        </w:rPr>
        <w:t>) (the </w:t>
      </w:r>
      <w:r>
        <w:rPr>
          <w:rFonts w:ascii="Times New Roman" w:hAnsi="Times New Roman"/>
          <w:sz w:val="20"/>
          <w:u w:val="single"/>
        </w:rPr>
        <w:t>Offering</w:t>
      </w:r>
      <w:r>
        <w:rPr>
          <w:rFonts w:ascii="Times New Roman" w:hAnsi="Times New Roman"/>
          <w:sz w:val="20"/>
        </w:rPr>
        <w:t>). The Company also proposes to grant to the Underwriters an option to purchase up to 4,125,000 additional Units to cover over-allotments (the </w:t>
      </w:r>
      <w:r>
        <w:rPr>
          <w:rFonts w:ascii="Times New Roman" w:hAnsi="Times New Roman"/>
          <w:sz w:val="20"/>
          <w:u w:val="single"/>
        </w:rPr>
        <w:t>Option Securities</w:t>
      </w:r>
      <w:r>
        <w:rPr>
          <w:rFonts w:ascii="Times New Roman" w:hAnsi="Times New Roman"/>
          <w:sz w:val="20"/>
        </w:rPr>
        <w:t>; the Option Securities, together with the Underwritten Securities, being hereinafter called the </w:t>
      </w:r>
      <w:r>
        <w:rPr>
          <w:rFonts w:ascii="Times New Roman" w:hAnsi="Times New Roman"/>
          <w:sz w:val="20"/>
          <w:u w:val="single"/>
        </w:rPr>
        <w:t>Securities</w:t>
      </w:r>
      <w:r>
        <w:rPr>
          <w:rFonts w:ascii="Times New Roman" w:hAnsi="Times New Roman"/>
          <w:sz w:val="20"/>
        </w:rPr>
        <w:t xml:space="preserve">). To the extent there are no additional Underwriters listed on Schedule I other than you, the term Underwriters as used herein shall mean you, as Underwriter, and the term Underwriter shall mean either the singular or plural as the context requires. Certain capitalized terms used in this Agreement and not otherwise defined are defined in Section 22 hereof. </w:t>
      </w:r>
    </w:p>
    <w:p>
      <w:pPr>
        <w:pStyle w:val="TextBody"/>
        <w:spacing w:before="240" w:after="0"/>
        <w:jc w:val="left"/>
        <w:rPr>
          <w:rFonts w:ascii="Times New Roman" w:hAnsi="Times New Roman"/>
          <w:sz w:val="20"/>
        </w:rPr>
      </w:pPr>
      <w:r>
        <w:rPr>
          <w:rFonts w:ascii="Times New Roman" w:hAnsi="Times New Roman"/>
          <w:sz w:val="20"/>
        </w:rPr>
        <w:t>Each Unit consists of one Class A ordinary share, par value $0.0001 per share (the </w:t>
      </w:r>
      <w:r>
        <w:rPr>
          <w:rFonts w:ascii="Times New Roman" w:hAnsi="Times New Roman"/>
          <w:sz w:val="20"/>
          <w:u w:val="single"/>
        </w:rPr>
        <w:t>Ordinary Shares</w:t>
      </w:r>
      <w:r>
        <w:rPr>
          <w:rFonts w:ascii="Times New Roman" w:hAnsi="Times New Roman"/>
          <w:sz w:val="20"/>
        </w:rPr>
        <w:t>), of the Company and one-fifth of one warrant, where each whole warrant entitles the holder to purchase one (1) Ordinary Share (the </w:t>
      </w:r>
      <w:r>
        <w:rPr>
          <w:rFonts w:ascii="Times New Roman" w:hAnsi="Times New Roman"/>
          <w:sz w:val="20"/>
          <w:u w:val="single"/>
        </w:rPr>
        <w:t>Warrant(s)</w:t>
      </w:r>
      <w:r>
        <w:rPr>
          <w:rFonts w:ascii="Times New Roman" w:hAnsi="Times New Roman"/>
          <w:sz w:val="20"/>
        </w:rPr>
        <w:t>). The Ordinary Shares and the Warrants included in the Units will not trade separately until the 52nd day following the date of the Prospectus (as defined herein) unless the Underwriters inform the Company of its decision to allow earlier separate trading, subject to (a) the preparation of an audited balance sheet of the Company reflecting receipt by the Company of the proceeds of the Offering, (b) the filing by the Company of such audited balance sheet with the Commission on a Current Report on Form 8-K (the Closing Form 8-K) and (c) the issuance by the Company of a press release announcing when such separate trading will begin. Each whole Warrant entitles its holder, upon exercise, to purchase one (1) Ordinary Share for $11.50, subject to certain adjustments, during the period commencing on the later of thirty (30) days after the completion by the Company of its Initial Business Combination (as defined below) and twelve (12) months from the date of the consummation of the Offering and terminating on the five-year anniversary of the completion by the Company of its Initial Business Combination or earlier upon redemption or liquidation of the Trust Account (as defined herein). As used herein, the term </w:t>
      </w:r>
      <w:r>
        <w:rPr>
          <w:rFonts w:ascii="Times New Roman" w:hAnsi="Times New Roman"/>
          <w:sz w:val="20"/>
          <w:u w:val="single"/>
        </w:rPr>
        <w:t>Initial Business Combination</w:t>
      </w:r>
      <w:r>
        <w:rPr>
          <w:rFonts w:ascii="Times New Roman" w:hAnsi="Times New Roman"/>
          <w:sz w:val="20"/>
        </w:rPr>
        <w:t> (as described more fully in the Registration Statement (as defined herein)) shall mean any merger, share exchange, asset acquisition, share purchase, reorganization or other similar business combination with one or more businesses or entities (collectively, a </w:t>
      </w:r>
      <w:r>
        <w:rPr>
          <w:rFonts w:ascii="Times New Roman" w:hAnsi="Times New Roman"/>
          <w:sz w:val="20"/>
          <w:u w:val="single"/>
        </w:rPr>
        <w:t>Target Business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Pursuant to the Securities Subscription Agreement, dated January 20, 2021 (the </w:t>
      </w:r>
      <w:r>
        <w:rPr>
          <w:rFonts w:ascii="Times New Roman" w:hAnsi="Times New Roman"/>
          <w:sz w:val="20"/>
          <w:u w:val="single"/>
        </w:rPr>
        <w:t>Securities Subscription Agreement</w:t>
      </w:r>
      <w:r>
        <w:rPr>
          <w:rFonts w:ascii="Times New Roman" w:hAnsi="Times New Roman"/>
          <w:sz w:val="20"/>
        </w:rPr>
        <w:t>), the Company issued to ArcLight CTC Holdings II, L.P. (the </w:t>
      </w:r>
      <w:r>
        <w:rPr>
          <w:rFonts w:ascii="Times New Roman" w:hAnsi="Times New Roman"/>
          <w:sz w:val="20"/>
          <w:u w:val="single"/>
        </w:rPr>
        <w:t>Sponsor</w:t>
      </w:r>
      <w:r>
        <w:rPr>
          <w:rFonts w:ascii="Times New Roman" w:hAnsi="Times New Roman"/>
          <w:sz w:val="20"/>
        </w:rPr>
        <w:t>) an aggregate of 7,187,500 Class B ordinary share, par value $0.0001 per share (such shares, as well as the Ordinary Shares issuable upon conversion thereof, where applicable, the </w:t>
      </w:r>
      <w:r>
        <w:rPr>
          <w:rFonts w:ascii="Times New Roman" w:hAnsi="Times New Roman"/>
          <w:sz w:val="20"/>
          <w:u w:val="single"/>
        </w:rPr>
        <w:t>Founder Shares</w:t>
      </w:r>
      <w:r>
        <w:rPr>
          <w:rFonts w:ascii="Times New Roman" w:hAnsi="Times New Roman"/>
          <w:sz w:val="20"/>
        </w:rPr>
        <w:t xml:space="preserve">) in a private placement for an aggregate purchase price of $25,000 in cash. On March 22, 2021, the Company effected a share capitalization to which the Company issued 718,750 additional Class B ordinary shares, which resulted in the Sponsor holding an aggregate of 7,766,250 Founder Shares. Up to 1,031,250 of the Founder Shares held by the Sponsor are subject to forfeiture to the extent the Underwriters do not exercise their over-allotment option. </w:t>
      </w:r>
    </w:p>
    <w:p>
      <w:pPr>
        <w:pStyle w:val="TextBody"/>
        <w:spacing w:before="240" w:after="0"/>
        <w:jc w:val="left"/>
        <w:rPr>
          <w:rFonts w:ascii="Times New Roman" w:hAnsi="Times New Roman"/>
          <w:sz w:val="20"/>
        </w:rPr>
      </w:pPr>
      <w:r>
        <w:rPr>
          <w:rFonts w:ascii="Times New Roman" w:hAnsi="Times New Roman"/>
          <w:sz w:val="20"/>
        </w:rPr>
        <w:t>The Company has entered into a Private Placement Warrants Purchase Agreement, dated as of the date hereof (the </w:t>
      </w:r>
      <w:r>
        <w:rPr>
          <w:rFonts w:ascii="Times New Roman" w:hAnsi="Times New Roman"/>
          <w:sz w:val="20"/>
          <w:u w:val="single"/>
        </w:rPr>
        <w:t>Private Placement Warrants Purchase Agreement</w:t>
      </w:r>
      <w:r>
        <w:rPr>
          <w:rFonts w:ascii="Times New Roman" w:hAnsi="Times New Roman"/>
          <w:sz w:val="20"/>
        </w:rPr>
        <w:t xml:space="preserve">), with the Sponsor, a form of which is filed as an exhibit to the Registration Statement, pursuant to which the Sponsor has agreed to purchase from the Company an aggregate of </w:t>
      </w:r>
    </w:p>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1 </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Plus an option to purchase from the Company up to 4,125,000 additional Units to cover over-allotments, if any. </w:t>
            </w:r>
          </w:p>
        </w:tc>
      </w:tr>
    </w:tbl>
    <w:p>
      <w:pPr>
        <w:pStyle w:val="HorizontalLine"/>
        <w:pBdr>
          <w:bottom w:val="double" w:sz="6" w:space="0" w:color="808080"/>
        </w:pBdr>
        <w:rPr/>
      </w:pPr>
      <w:r>
        <w:br w:type="page"/>
      </w:r>
      <w:r>
        <w:rPr/>
      </w:r>
    </w:p>
    <w:p>
      <w:pPr>
        <w:pStyle w:val="TextBody"/>
        <w:spacing w:before="0" w:after="0"/>
        <w:jc w:val="left"/>
        <w:rPr>
          <w:rFonts w:ascii="Times New Roman" w:hAnsi="Times New Roman"/>
          <w:sz w:val="20"/>
        </w:rPr>
      </w:pPr>
      <w:r>
        <w:rPr>
          <w:rFonts w:ascii="Times New Roman" w:hAnsi="Times New Roman"/>
          <w:sz w:val="20"/>
        </w:rPr>
        <w:t>8,500,000 warrants (or up to 9,325,000 warrants depending on the extent to which the Underwriters exercise their right to purchase Option Securities), each entitling the holder to purchase one (1) Ordinary Share (the </w:t>
      </w:r>
      <w:r>
        <w:rPr>
          <w:rFonts w:ascii="Times New Roman" w:hAnsi="Times New Roman"/>
          <w:sz w:val="20"/>
          <w:u w:val="single"/>
        </w:rPr>
        <w:t>Private Placement Warrants</w:t>
      </w:r>
      <w:r>
        <w:rPr>
          <w:rFonts w:ascii="Times New Roman" w:hAnsi="Times New Roman"/>
          <w:sz w:val="20"/>
        </w:rPr>
        <w:t xml:space="preserve">) at a price of $1.00 per warrant ($8,500,000 in the aggregate, or $9,325,000 in the aggregate if the Underwriters exercise their right to purchase Option Securities in full) in a private placement that will occur simultaneously with the consummation of the Offering. The Private Placement Warrants are substantially similar to the Warrants included in the Units, except as described in the Statutory Prospectus, Registration Statement and Prospectus. </w:t>
      </w:r>
    </w:p>
    <w:p>
      <w:pPr>
        <w:pStyle w:val="TextBody"/>
        <w:spacing w:before="240" w:after="0"/>
        <w:jc w:val="left"/>
        <w:rPr>
          <w:rFonts w:ascii="Times New Roman" w:hAnsi="Times New Roman"/>
          <w:sz w:val="20"/>
        </w:rPr>
      </w:pPr>
      <w:r>
        <w:rPr>
          <w:rFonts w:ascii="Times New Roman" w:hAnsi="Times New Roman"/>
          <w:sz w:val="20"/>
        </w:rPr>
        <w:t>The Company will enter into a Warrant Agreement, dated as of the Closing Date, with respect to the Warrants, the Private Placement Warrants and certain warrants that may be issued to the Companys executive officers or directors, the Sponsor or their permitted transferees or affiliates upon conversion of working capital loans made to the Company (the </w:t>
      </w:r>
      <w:r>
        <w:rPr>
          <w:rFonts w:ascii="Times New Roman" w:hAnsi="Times New Roman"/>
          <w:sz w:val="20"/>
          <w:u w:val="single"/>
        </w:rPr>
        <w:t>Working Capital Warrants</w:t>
      </w:r>
      <w:r>
        <w:rPr>
          <w:rFonts w:ascii="Times New Roman" w:hAnsi="Times New Roman"/>
          <w:sz w:val="20"/>
        </w:rPr>
        <w:t>) with Continental Stock Transfer &amp; Trust Company, as warrant agent, in substantially the form filed as an exhibit to the Registration Statement (the </w:t>
      </w:r>
      <w:r>
        <w:rPr>
          <w:rFonts w:ascii="Times New Roman" w:hAnsi="Times New Roman"/>
          <w:sz w:val="20"/>
          <w:u w:val="single"/>
        </w:rPr>
        <w:t>Warrant Agreement</w:t>
      </w:r>
      <w:r>
        <w:rPr>
          <w:rFonts w:ascii="Times New Roman" w:hAnsi="Times New Roman"/>
          <w:sz w:val="20"/>
        </w:rPr>
        <w:t xml:space="preserve">), pursuant to which Continental Stock Transfer &amp; Trust Company will act as warrant agent in connection with the issuance, registration, transfer, exchange, redemption and exercise of the Warrants, Private Placement Warrants and Working Capital Warrants. </w:t>
      </w:r>
    </w:p>
    <w:p>
      <w:pPr>
        <w:pStyle w:val="TextBody"/>
        <w:spacing w:before="240" w:after="0"/>
        <w:jc w:val="left"/>
        <w:rPr>
          <w:rFonts w:ascii="Times New Roman" w:hAnsi="Times New Roman"/>
          <w:sz w:val="20"/>
        </w:rPr>
      </w:pPr>
      <w:r>
        <w:rPr>
          <w:rFonts w:ascii="Times New Roman" w:hAnsi="Times New Roman"/>
          <w:sz w:val="20"/>
        </w:rPr>
        <w:t>The Company will enter into an Investment Management Trust Agreement, dated as of the Closing Date, with Continental Stock Transfer &amp; Trust Company, as trustee (the </w:t>
      </w:r>
      <w:r>
        <w:rPr>
          <w:rFonts w:ascii="Times New Roman" w:hAnsi="Times New Roman"/>
          <w:sz w:val="20"/>
          <w:u w:val="single"/>
        </w:rPr>
        <w:t>Trustee</w:t>
      </w:r>
      <w:r>
        <w:rPr>
          <w:rFonts w:ascii="Times New Roman" w:hAnsi="Times New Roman"/>
          <w:sz w:val="20"/>
        </w:rPr>
        <w:t>), in substantially the form filed as an exhibit to the Registration Statement (the </w:t>
      </w:r>
      <w:r>
        <w:rPr>
          <w:rFonts w:ascii="Times New Roman" w:hAnsi="Times New Roman"/>
          <w:sz w:val="20"/>
          <w:u w:val="single"/>
        </w:rPr>
        <w:t>Trust Agreement</w:t>
      </w:r>
      <w:r>
        <w:rPr>
          <w:rFonts w:ascii="Times New Roman" w:hAnsi="Times New Roman"/>
          <w:sz w:val="20"/>
        </w:rPr>
        <w:t>), pursuant to which the proceeds from the sale of the Private Placement Warrants and certain proceeds of the Offering will be deposited and held in a trust account (the </w:t>
      </w:r>
      <w:r>
        <w:rPr>
          <w:rFonts w:ascii="Times New Roman" w:hAnsi="Times New Roman"/>
          <w:sz w:val="20"/>
          <w:u w:val="single"/>
        </w:rPr>
        <w:t>Trust Account</w:t>
      </w:r>
      <w:r>
        <w:rPr>
          <w:rFonts w:ascii="Times New Roman" w:hAnsi="Times New Roman"/>
          <w:sz w:val="20"/>
        </w:rPr>
        <w:t xml:space="preserve">) for the benefit of the Company, the Underwriters and holders of the Securities. </w:t>
      </w:r>
    </w:p>
    <w:p>
      <w:pPr>
        <w:pStyle w:val="TextBody"/>
        <w:spacing w:before="240" w:after="0"/>
        <w:jc w:val="left"/>
        <w:rPr>
          <w:rFonts w:ascii="Times New Roman" w:hAnsi="Times New Roman"/>
          <w:sz w:val="20"/>
        </w:rPr>
      </w:pPr>
      <w:r>
        <w:rPr>
          <w:rFonts w:ascii="Times New Roman" w:hAnsi="Times New Roman"/>
          <w:sz w:val="20"/>
        </w:rPr>
        <w:t>The Company has issued a non-interest bearing, unsecured promissory note for an aggregate amount of $300,000 to the Sponsor in substantially the form filed as an exhibit to the Registration Statement (the </w:t>
      </w:r>
      <w:r>
        <w:rPr>
          <w:rFonts w:ascii="Times New Roman" w:hAnsi="Times New Roman"/>
          <w:sz w:val="20"/>
          <w:u w:val="single"/>
        </w:rPr>
        <w:t>Promissory Note</w:t>
      </w:r>
      <w:r>
        <w:rPr>
          <w:rFonts w:ascii="Times New Roman" w:hAnsi="Times New Roman"/>
          <w:sz w:val="20"/>
        </w:rPr>
        <w:t xml:space="preserve">), in exchange for the payment of the equivalent amount by the Sponsor to the Company. These monies have been used to cover expenses relating to the Offering. The Promissory Note will be payable on the earlier to occur of June 30, 2021 the date of the consummation of the Offering. </w:t>
      </w:r>
    </w:p>
    <w:p>
      <w:pPr>
        <w:pStyle w:val="TextBody"/>
        <w:spacing w:before="240" w:after="0"/>
        <w:jc w:val="left"/>
        <w:rPr>
          <w:rFonts w:ascii="Times New Roman" w:hAnsi="Times New Roman"/>
          <w:sz w:val="20"/>
        </w:rPr>
      </w:pPr>
      <w:r>
        <w:rPr>
          <w:rFonts w:ascii="Times New Roman" w:hAnsi="Times New Roman"/>
          <w:sz w:val="20"/>
        </w:rPr>
        <w:t>The Company will enter into a Registration and Shareholder Rights Agreement, dated as of the Closing Date, in substantially the form filed as an exhibit to the Registration Statement (the </w:t>
      </w:r>
      <w:r>
        <w:rPr>
          <w:rFonts w:ascii="Times New Roman" w:hAnsi="Times New Roman"/>
          <w:sz w:val="20"/>
          <w:u w:val="single"/>
        </w:rPr>
        <w:t>Registration Rights Agreement</w:t>
      </w:r>
      <w:r>
        <w:rPr>
          <w:rFonts w:ascii="Times New Roman" w:hAnsi="Times New Roman"/>
          <w:sz w:val="20"/>
        </w:rPr>
        <w:t xml:space="preserve">), pursuant to which the Company has granted certain registration rights in respect of the Founder Shares, the Private Placement Warrants and the Working Capital Warrants (and any Ordinary Shares issuable upon exercise of the Private Placement Warrants or the Working Capital Warrants and upon the conversion of the Founder Shares). </w:t>
      </w:r>
    </w:p>
    <w:p>
      <w:pPr>
        <w:pStyle w:val="TextBody"/>
        <w:spacing w:before="240" w:after="0"/>
        <w:jc w:val="left"/>
        <w:rPr>
          <w:rFonts w:ascii="Times New Roman" w:hAnsi="Times New Roman"/>
          <w:sz w:val="20"/>
        </w:rPr>
      </w:pPr>
      <w:r>
        <w:rPr>
          <w:rFonts w:ascii="Times New Roman" w:hAnsi="Times New Roman"/>
          <w:sz w:val="20"/>
        </w:rPr>
        <w:t>The Company will cause the Sponsor and each of the Companys directors, director nominees, and executive officers to enter into a letter agreement, dated as of the Closing Date, in substantially the form filed as an exhibit to the Registration Statement (the </w:t>
      </w:r>
      <w:r>
        <w:rPr>
          <w:rFonts w:ascii="Times New Roman" w:hAnsi="Times New Roman"/>
          <w:sz w:val="20"/>
          <w:u w:val="single"/>
        </w:rPr>
        <w:t>Insider Letter</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The Company will enter into an Administrative Services Agreement, dated as of the Closing Date, with an affiliate of the Sponsor, in substantially the form filed as an exhibit to the Registration Statement (the </w:t>
      </w:r>
      <w:r>
        <w:rPr>
          <w:rFonts w:ascii="Times New Roman" w:hAnsi="Times New Roman"/>
          <w:sz w:val="20"/>
          <w:u w:val="single"/>
        </w:rPr>
        <w:t>Administrative Services Agreement</w:t>
      </w:r>
      <w:r>
        <w:rPr>
          <w:rFonts w:ascii="Times New Roman" w:hAnsi="Times New Roman"/>
          <w:sz w:val="20"/>
        </w:rPr>
        <w:t xml:space="preserve">), pursuant to which the Company will pay to such affiliate of the Sponsor an aggregate monthly fee of $10,000 for certain office space, utilities and secretarial and administrative support from the date that the Units are first listed on Nasdaq until the earlier of the consummation of an initial Business Combination and the Companys liquidation. </w:t>
      </w:r>
    </w:p>
    <w:p>
      <w:pPr>
        <w:pStyle w:val="TextBody"/>
        <w:spacing w:before="360" w:after="0"/>
        <w:jc w:val="left"/>
        <w:rPr>
          <w:rFonts w:ascii="Times New Roman" w:hAnsi="Times New Roman"/>
          <w:b/>
          <w:sz w:val="20"/>
        </w:rPr>
      </w:pPr>
      <w:r>
        <w:rPr>
          <w:rFonts w:ascii="Times New Roman" w:hAnsi="Times New Roman"/>
          <w:b/>
          <w:sz w:val="20"/>
        </w:rPr>
        <w:t xml:space="preserve">1. Representations and Warranties. </w:t>
      </w:r>
    </w:p>
    <w:p>
      <w:pPr>
        <w:pStyle w:val="TextBody"/>
        <w:spacing w:before="120" w:after="0"/>
        <w:jc w:val="left"/>
        <w:rPr>
          <w:rFonts w:ascii="Times New Roman" w:hAnsi="Times New Roman"/>
          <w:sz w:val="20"/>
        </w:rPr>
      </w:pPr>
      <w:r>
        <w:rPr>
          <w:rFonts w:ascii="Times New Roman" w:hAnsi="Times New Roman"/>
          <w:sz w:val="20"/>
        </w:rPr>
        <w:t xml:space="preserve">(a) The Company represents and warrants to, and agrees with, each Underwriter as set forth below in this Section 1(a).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u w:val="single"/>
        </w:rPr>
      </w:pPr>
      <w:r>
        <w:rPr>
          <w:rFonts w:ascii="Times New Roman" w:hAnsi="Times New Roman"/>
          <w:sz w:val="20"/>
          <w:u w:val="single"/>
        </w:rPr>
        <w:t xml:space="preserve">(1) Effectiveness of Registration Statement. </w:t>
      </w:r>
    </w:p>
    <w:p>
      <w:pPr>
        <w:pStyle w:val="TextBody"/>
        <w:spacing w:before="120" w:after="0"/>
        <w:jc w:val="left"/>
        <w:rPr>
          <w:rFonts w:ascii="Times New Roman" w:hAnsi="Times New Roman"/>
          <w:sz w:val="20"/>
        </w:rPr>
      </w:pPr>
      <w:r>
        <w:rPr>
          <w:rFonts w:ascii="Times New Roman" w:hAnsi="Times New Roman"/>
          <w:sz w:val="20"/>
        </w:rPr>
        <w:t>The Company has prepared and filed with the Commission the Registration Statement (file number 333-252730) on Form S-1 (the </w:t>
      </w:r>
      <w:r>
        <w:rPr>
          <w:rFonts w:ascii="Times New Roman" w:hAnsi="Times New Roman"/>
          <w:sz w:val="20"/>
          <w:u w:val="single"/>
        </w:rPr>
        <w:t>Registration Statement</w:t>
      </w:r>
      <w:r>
        <w:rPr>
          <w:rFonts w:ascii="Times New Roman" w:hAnsi="Times New Roman"/>
          <w:sz w:val="20"/>
        </w:rPr>
        <w:t xml:space="preserve">), including the related Preliminary Prospectus, for registration under the Act of the offering and sale of the Securities. Such Registration Statement, including any amendments thereto filed prior to the Execution Time, has become effective. The Company may have filed one or more amendments thereto, including the related Preliminary Prospectus, each of which has previously been furnished to the Underwriters. The Company will file with the Commission the Prospectus in accordance with Rule 424(b). As filed, such Prospectus shall contain all information required by the Act and, except to the extent the Underwriters shall agree in writing to a modification, shall be in all substantive respects in the form furnished to the Underwriters prior to the Execution Time or, to the extent not completed at the Execution Time, shall contain only such specific additional information and other changes (beyond that contained in the Statutory Prospectus) as the Company has advised the Underwriters, prior to the Execution Time, will be included or made therein. The Company has complied to the Commissions satisfaction with all requests of the Commission for additional or supplemental information. </w:t>
      </w:r>
    </w:p>
    <w:p>
      <w:pPr>
        <w:pStyle w:val="TextBody"/>
        <w:spacing w:before="360" w:after="0"/>
        <w:jc w:val="left"/>
        <w:rPr>
          <w:rFonts w:ascii="Times New Roman" w:hAnsi="Times New Roman"/>
          <w:sz w:val="20"/>
          <w:u w:val="single"/>
        </w:rPr>
      </w:pPr>
      <w:r>
        <w:rPr>
          <w:rFonts w:ascii="Times New Roman" w:hAnsi="Times New Roman"/>
          <w:sz w:val="20"/>
          <w:u w:val="single"/>
        </w:rPr>
        <w:t xml:space="preserve">(2) Effective Date. </w:t>
      </w:r>
    </w:p>
    <w:p>
      <w:pPr>
        <w:pStyle w:val="TextBody"/>
        <w:spacing w:before="120" w:after="0"/>
        <w:jc w:val="left"/>
        <w:rPr>
          <w:rFonts w:ascii="Times New Roman" w:hAnsi="Times New Roman"/>
          <w:sz w:val="20"/>
        </w:rPr>
      </w:pPr>
      <w:r>
        <w:rPr>
          <w:rFonts w:ascii="Times New Roman" w:hAnsi="Times New Roman"/>
          <w:sz w:val="20"/>
        </w:rPr>
        <w:t>On the Effective Date, the Registration Statement did, and when the Prospectus is first filed in accordance with Rule 424(b) and on the Closing Date (as defined herein) and on any date on which Option Securities are purchased, if such date is not the Closing Date (a </w:t>
      </w:r>
      <w:r>
        <w:rPr>
          <w:rFonts w:ascii="Times New Roman" w:hAnsi="Times New Roman"/>
          <w:sz w:val="20"/>
          <w:u w:val="single"/>
        </w:rPr>
        <w:t>settlement date</w:t>
      </w:r>
      <w:r>
        <w:rPr>
          <w:rFonts w:ascii="Times New Roman" w:hAnsi="Times New Roman"/>
          <w:sz w:val="20"/>
        </w:rPr>
        <w:t xml:space="preserve">), the Prospectus (and any supplements thereto) will, comply in all material respects with the applicable requirements of the Act; on the Effective Date and at the Execution Time, the Registration Statement did not and will not contain any untrue statement of a material fact or omit to state any material fact required to be stated therein or necessary in order to make the statements therein not misleading; and on the date of any filing pursuant to Rule 424(b) and on the Closing Date and any settlement date, the Prospectus (together with any supplement thereto) will not include any untrue statement of a material fact or omit to state a material fact necessary in order to make the statements therein, in the light of the circumstances under which they were made, not misleading;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Company makes no representations or warranties as to the information contained in or omitted from the Registration Statement, or the Prospectus (or any supplement thereto) in reliance upon and in conformity with information furnished in writing to the Company by or on behalf of any Underwriter specifically for inclusion in the Registration Statement or the Prospectus (or any supplement thereto), it being understood and agreed that the only such information furnished by any Underwriter consists of the information described as such in Section 8 hereof. </w:t>
      </w:r>
    </w:p>
    <w:p>
      <w:pPr>
        <w:pStyle w:val="TextBody"/>
        <w:spacing w:before="360" w:after="0"/>
        <w:jc w:val="left"/>
        <w:rPr>
          <w:rFonts w:ascii="Times New Roman" w:hAnsi="Times New Roman"/>
          <w:sz w:val="20"/>
          <w:u w:val="single"/>
        </w:rPr>
      </w:pPr>
      <w:r>
        <w:rPr>
          <w:rFonts w:ascii="Times New Roman" w:hAnsi="Times New Roman"/>
          <w:sz w:val="20"/>
          <w:u w:val="single"/>
        </w:rPr>
        <w:t xml:space="preserve">(3) Execution Time. </w:t>
      </w:r>
    </w:p>
    <w:p>
      <w:pPr>
        <w:pStyle w:val="TextBody"/>
        <w:spacing w:before="120" w:after="0"/>
        <w:jc w:val="left"/>
        <w:rPr>
          <w:rFonts w:ascii="Times New Roman" w:hAnsi="Times New Roman"/>
          <w:sz w:val="20"/>
        </w:rPr>
      </w:pPr>
      <w:r>
        <w:rPr>
          <w:rFonts w:ascii="Times New Roman" w:hAnsi="Times New Roman"/>
          <w:sz w:val="20"/>
        </w:rPr>
        <w:t xml:space="preserve">At the Execution Time, the Statutory Prospectus, each road show when taken together as a whole with the Statutory Prospectus, and any individual Written Testing-the-Waters Communication (as defined below), when taken together as a whole with the Statutory Prospectus, does not contain any untrue statement of a material fact or omit to state any material fact necessary in order to make the statements therein, in the light of the circumstances under which they were made, not misleading;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Company makes no representations or warranties as to the information contained in or omitted from the Statutory Prospectus in reliance upon and in conformity with information furnished in writing to the Company by or on behalf of any Underwriter specifically for inclusion in the Statutory Prospectus, it being understood and agreed that the only such information furnished by or on behalf of any Underwriter consists of the information described as such in Section 8(b) hereof. </w:t>
      </w:r>
    </w:p>
    <w:p>
      <w:pPr>
        <w:pStyle w:val="TextBody"/>
        <w:spacing w:before="360" w:after="0"/>
        <w:jc w:val="left"/>
        <w:rPr>
          <w:rFonts w:ascii="Times New Roman" w:hAnsi="Times New Roman"/>
          <w:sz w:val="20"/>
          <w:u w:val="single"/>
        </w:rPr>
      </w:pPr>
      <w:r>
        <w:rPr>
          <w:rFonts w:ascii="Times New Roman" w:hAnsi="Times New Roman"/>
          <w:sz w:val="20"/>
          <w:u w:val="single"/>
        </w:rPr>
        <w:t xml:space="preserve">(4) Compliance with Exchange Act. </w:t>
      </w:r>
    </w:p>
    <w:p>
      <w:pPr>
        <w:pStyle w:val="TextBody"/>
        <w:spacing w:before="120" w:after="0"/>
        <w:jc w:val="left"/>
        <w:rPr>
          <w:rFonts w:ascii="Times New Roman" w:hAnsi="Times New Roman"/>
          <w:sz w:val="20"/>
        </w:rPr>
      </w:pPr>
      <w:r>
        <w:rPr>
          <w:rFonts w:ascii="Times New Roman" w:hAnsi="Times New Roman"/>
          <w:sz w:val="20"/>
        </w:rPr>
        <w:t>The Company has filed with the Commission a Form 8-A (file number 001-40272) providing for the registration under the Exchange Act of the Securities, the Ordinary Shares included as part of the Securities and the Warrants included as part of the Securities. The registration of such securities under the Exchange Act has been declared effective by the Commission on or prior to the date of this Agreement. The Securities have been authorized for listing, subject to official notice of issuance and evidence of satisfactory distribution, on the Nasdaq Capital Market (</w:t>
      </w:r>
      <w:r>
        <w:rPr>
          <w:rFonts w:ascii="Times New Roman" w:hAnsi="Times New Roman"/>
          <w:sz w:val="20"/>
          <w:u w:val="single"/>
        </w:rPr>
        <w:t>Nasdaq</w:t>
      </w:r>
      <w:r>
        <w:rPr>
          <w:rFonts w:ascii="Times New Roman" w:hAnsi="Times New Roman"/>
          <w:sz w:val="20"/>
        </w:rPr>
        <w:t xml:space="preserve">), and the Company knows of no reason or set of facts that is likely to adversely affect such authorization.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u w:val="single"/>
        </w:rPr>
      </w:pPr>
      <w:r>
        <w:rPr>
          <w:rFonts w:ascii="Times New Roman" w:hAnsi="Times New Roman"/>
          <w:sz w:val="20"/>
          <w:u w:val="single"/>
        </w:rPr>
        <w:t xml:space="preserve">(5) No Stop Orders, Etc. </w:t>
      </w:r>
    </w:p>
    <w:p>
      <w:pPr>
        <w:pStyle w:val="TextBody"/>
        <w:spacing w:before="120" w:after="0"/>
        <w:jc w:val="left"/>
        <w:rPr>
          <w:rFonts w:ascii="Times New Roman" w:hAnsi="Times New Roman"/>
          <w:sz w:val="20"/>
        </w:rPr>
      </w:pPr>
      <w:r>
        <w:rPr>
          <w:rFonts w:ascii="Times New Roman" w:hAnsi="Times New Roman"/>
          <w:sz w:val="20"/>
        </w:rPr>
        <w:t xml:space="preserve">Neither the Commission nor, to the Companys knowledge, any state regulatory authority has issued any order or threatened to issue any order preventing or suspending the effectiveness of the Registration Statement or the use of any Preliminary Prospectus, the Prospectus or any part thereof, or has instituted or, to the Companys knowledge, threatened to institute any proceedings with respect to such an order including, without limitation, pursuant to Section 8A of the Act. </w:t>
      </w:r>
    </w:p>
    <w:p>
      <w:pPr>
        <w:pStyle w:val="TextBody"/>
        <w:spacing w:before="360" w:after="0"/>
        <w:jc w:val="left"/>
        <w:rPr>
          <w:rFonts w:ascii="Times New Roman" w:hAnsi="Times New Roman"/>
          <w:sz w:val="20"/>
          <w:u w:val="single"/>
        </w:rPr>
      </w:pPr>
      <w:r>
        <w:rPr>
          <w:rFonts w:ascii="Times New Roman" w:hAnsi="Times New Roman"/>
          <w:sz w:val="20"/>
          <w:u w:val="single"/>
        </w:rPr>
        <w:t xml:space="preserve">(6) Disclosure of Agreements. </w:t>
      </w:r>
    </w:p>
    <w:p>
      <w:pPr>
        <w:pStyle w:val="TextBody"/>
        <w:spacing w:before="120" w:after="0"/>
        <w:jc w:val="left"/>
        <w:rPr>
          <w:rFonts w:ascii="Times New Roman" w:hAnsi="Times New Roman"/>
          <w:sz w:val="20"/>
        </w:rPr>
      </w:pPr>
      <w:r>
        <w:rPr>
          <w:rFonts w:ascii="Times New Roman" w:hAnsi="Times New Roman"/>
          <w:sz w:val="20"/>
        </w:rPr>
        <w:t xml:space="preserve">The agreements and documents described in the Statutory Prospectus, the Registration Statement and the Prospectus conform in all material respects to the descriptions thereof contained therein. There is no franchise, contract or other document of a character required to be described in the Registration Statement, the Statutory Prospectus or the Prospectus, or to be filed as an exhibit to the Registration Statement, which is not described or filed as required (and the Statutory Prospectus contains in all material respects the same description of the foregoing matters contained in the Prospectus); and the statements in the Statutory Prospectus and the Prospectus under the headings Principal Shareholders, Certain Relationships and Related Party Transactions, and Description of Securities, insofar as such statements summarize legal matters, agreements, documents or proceedings discussed therein, are in all material respects accurate and fair summaries of such legal matters, agreements, documents or proceedings. There are no business relationships or related party transactions involving the Company or any other person required by the Act to be described in the Registration Statement or Prospectus that have not been described as required. </w:t>
      </w:r>
    </w:p>
    <w:p>
      <w:pPr>
        <w:pStyle w:val="TextBody"/>
        <w:spacing w:before="360" w:after="0"/>
        <w:jc w:val="left"/>
        <w:rPr>
          <w:rFonts w:ascii="Times New Roman" w:hAnsi="Times New Roman"/>
          <w:sz w:val="20"/>
          <w:u w:val="single"/>
        </w:rPr>
      </w:pPr>
      <w:r>
        <w:rPr>
          <w:rFonts w:ascii="Times New Roman" w:hAnsi="Times New Roman"/>
          <w:sz w:val="20"/>
          <w:u w:val="single"/>
        </w:rPr>
        <w:t xml:space="preserve">(7) Capitalization. </w:t>
      </w:r>
    </w:p>
    <w:p>
      <w:pPr>
        <w:pStyle w:val="TextBody"/>
        <w:spacing w:before="120" w:after="0"/>
        <w:jc w:val="left"/>
        <w:rPr>
          <w:rFonts w:ascii="Times New Roman" w:hAnsi="Times New Roman"/>
          <w:sz w:val="20"/>
        </w:rPr>
      </w:pPr>
      <w:r>
        <w:rPr>
          <w:rFonts w:ascii="Times New Roman" w:hAnsi="Times New Roman"/>
          <w:sz w:val="20"/>
        </w:rPr>
        <w:t xml:space="preserve">The Companys authorized equity capitalization is as set forth in the Statutory Prospectus, the Registration Statement and the Prospectus. The share capital of the Company conforms in all material respects to the description thereof contained in the Statutory Prospectus, the Registration Statement and the Prospectus. </w:t>
      </w:r>
    </w:p>
    <w:p>
      <w:pPr>
        <w:pStyle w:val="TextBody"/>
        <w:spacing w:before="360" w:after="0"/>
        <w:jc w:val="left"/>
        <w:rPr>
          <w:rFonts w:ascii="Times New Roman" w:hAnsi="Times New Roman"/>
          <w:sz w:val="20"/>
          <w:u w:val="single"/>
        </w:rPr>
      </w:pPr>
      <w:r>
        <w:rPr>
          <w:rFonts w:ascii="Times New Roman" w:hAnsi="Times New Roman"/>
          <w:sz w:val="20"/>
          <w:u w:val="single"/>
        </w:rPr>
        <w:t xml:space="preserve">(8) Outstanding Securities. </w:t>
      </w:r>
    </w:p>
    <w:p>
      <w:pPr>
        <w:pStyle w:val="TextBody"/>
        <w:spacing w:before="120" w:after="0"/>
        <w:jc w:val="left"/>
        <w:rPr>
          <w:rFonts w:ascii="Times New Roman" w:hAnsi="Times New Roman"/>
          <w:sz w:val="20"/>
        </w:rPr>
      </w:pPr>
      <w:r>
        <w:rPr>
          <w:rFonts w:ascii="Times New Roman" w:hAnsi="Times New Roman"/>
          <w:sz w:val="20"/>
        </w:rPr>
        <w:t>All issued and outstanding securities of the Company have been duly and validly authorized and issued and are fully paid and non-assessable; and none of such securities were issued in violation of the preemptive rights of any holders of any security of the Company or similar contractual rights granted by the Company. The offers and sales of the outstanding Ordinary Shares and Warrants were at all relevant times either registered under the Act, the applicable state securities and blue sky laws or, based in part on the representations and warranties of the purchasers of such Ordinary Shares and Warrants, exempt from such registration requirements. The holders of outstanding securities of the Company are not entitled to preemptive or other rights to subscribe for the Securities arising by operation of law or under the Companys Amended and Restated Memorandum and Articles of Association Memorandum and Articles of Association (as amended from time to time, the </w:t>
      </w:r>
      <w:r>
        <w:rPr>
          <w:rFonts w:ascii="Times New Roman" w:hAnsi="Times New Roman"/>
          <w:sz w:val="20"/>
          <w:u w:val="single"/>
        </w:rPr>
        <w:t>Amended and Restated Memorandum and Articles of Association</w:t>
      </w:r>
      <w:r>
        <w:rPr>
          <w:rFonts w:ascii="Times New Roman" w:hAnsi="Times New Roman"/>
          <w:sz w:val="20"/>
        </w:rPr>
        <w:t xml:space="preserve">); and, except as set forth in the Registration Statement, the Statutory Prospectus and the Prospectus, no options, warrants or other rights to purchase, agreements or other obligations to issue, or rights to convert any obligations into or exchange any securities for, shares or other ownership interests in the Company are outstanding. </w:t>
      </w:r>
    </w:p>
    <w:p>
      <w:pPr>
        <w:pStyle w:val="TextBody"/>
        <w:spacing w:before="360" w:after="0"/>
        <w:jc w:val="left"/>
        <w:rPr>
          <w:rFonts w:ascii="Times New Roman" w:hAnsi="Times New Roman"/>
          <w:sz w:val="20"/>
          <w:u w:val="single"/>
        </w:rPr>
      </w:pPr>
      <w:r>
        <w:rPr>
          <w:rFonts w:ascii="Times New Roman" w:hAnsi="Times New Roman"/>
          <w:sz w:val="20"/>
          <w:u w:val="single"/>
        </w:rPr>
        <w:t xml:space="preserve">(9) Securities Sold Pursuant to this Agreement. </w:t>
      </w:r>
    </w:p>
    <w:p>
      <w:pPr>
        <w:pStyle w:val="TextBody"/>
        <w:spacing w:before="120" w:after="0"/>
        <w:jc w:val="left"/>
        <w:rPr>
          <w:rFonts w:ascii="Times New Roman" w:hAnsi="Times New Roman"/>
          <w:sz w:val="20"/>
        </w:rPr>
      </w:pPr>
      <w:r>
        <w:rPr>
          <w:rFonts w:ascii="Times New Roman" w:hAnsi="Times New Roman"/>
          <w:sz w:val="20"/>
        </w:rPr>
        <w:t xml:space="preserve">(i) The Securities have been duly authorized and when issued and delivered against payment therefor by the Underwriters pursuant to this Agreement, will be validly issued. </w:t>
      </w:r>
    </w:p>
    <w:p>
      <w:pPr>
        <w:pStyle w:val="TextBody"/>
        <w:spacing w:before="240" w:after="0"/>
        <w:jc w:val="left"/>
        <w:rPr>
          <w:rFonts w:ascii="Times New Roman" w:hAnsi="Times New Roman"/>
          <w:sz w:val="20"/>
        </w:rPr>
      </w:pPr>
      <w:r>
        <w:rPr>
          <w:rFonts w:ascii="Times New Roman" w:hAnsi="Times New Roman"/>
          <w:sz w:val="20"/>
        </w:rPr>
        <w:t xml:space="preserve">(ii) The Ordinary Shares included in the Securities have been duly authorized and, when issued and delivered against payment for the Securities by the Underwriters pursuant to this Agreement and the Amended and Restated Memorandum and Articles of Association of the Company, and following registration in the Register of Members of the Company, will be validly issued as, fully paid and non-assessable. The holders of such Ordinary Shares are not and will not be subject to personal liability by reason of being such holders; such Ordinary Shares are not and will not be subject to any preemptive or other similar contractual rights granted by the Company.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(iii) The Warrants included in the Securities have been duly authorized and, when issued and delivered in the manner set forth in the Warrant Agreement against payment for the Securities by the Underwriters pursuant to this Agreement, will constitute legal, valid and binding obligations of the Company, enforceable against the Company in accordance with their terms, except as the enforceability thereof may be limited by bankruptcy, insolvency, or similar laws affecting creditors rights generally from time to time in effect and by equitable principles of general applicability. </w:t>
      </w:r>
    </w:p>
    <w:p>
      <w:pPr>
        <w:pStyle w:val="TextBody"/>
        <w:spacing w:before="240" w:after="0"/>
        <w:jc w:val="left"/>
        <w:rPr>
          <w:rFonts w:ascii="Times New Roman" w:hAnsi="Times New Roman"/>
          <w:sz w:val="20"/>
        </w:rPr>
      </w:pPr>
      <w:r>
        <w:rPr>
          <w:rFonts w:ascii="Times New Roman" w:hAnsi="Times New Roman"/>
          <w:sz w:val="20"/>
        </w:rPr>
        <w:t xml:space="preserve">(iv) The Ordinary Shares issuable upon exercise of the Warrants included in the Securities have been duly authorized and reserved for issuance and, when issued and delivered against payment therefor pursuant to the Warrants, the Warrant Agreement and the Amended and Restated Memorandum and Articles of Association of the Company, and following registration in the Register of Members of the Company, will be validly issued as fully paid and non-assessable. The holders of such Ordinary Shares are not and will not be subject to personal liability by reason of being such holders; such Ordinary Shares are not and will not be subject to any preemptive or other similar contractual rights granted by the Company. </w:t>
      </w:r>
    </w:p>
    <w:p>
      <w:pPr>
        <w:pStyle w:val="TextBody"/>
        <w:spacing w:before="360" w:after="0"/>
        <w:jc w:val="left"/>
        <w:rPr>
          <w:rFonts w:ascii="Times New Roman" w:hAnsi="Times New Roman"/>
          <w:sz w:val="20"/>
          <w:u w:val="single"/>
        </w:rPr>
      </w:pPr>
      <w:r>
        <w:rPr>
          <w:rFonts w:ascii="Times New Roman" w:hAnsi="Times New Roman"/>
          <w:sz w:val="20"/>
          <w:u w:val="single"/>
        </w:rPr>
        <w:t xml:space="preserve">(10) Registration Rights of Third Parties. </w:t>
      </w:r>
    </w:p>
    <w:p>
      <w:pPr>
        <w:pStyle w:val="TextBody"/>
        <w:spacing w:before="120" w:after="0"/>
        <w:jc w:val="left"/>
        <w:rPr>
          <w:rFonts w:ascii="Times New Roman" w:hAnsi="Times New Roman"/>
          <w:sz w:val="20"/>
        </w:rPr>
      </w:pPr>
      <w:r>
        <w:rPr>
          <w:rFonts w:ascii="Times New Roman" w:hAnsi="Times New Roman"/>
          <w:sz w:val="20"/>
        </w:rPr>
        <w:t xml:space="preserve">Except as set forth in the Registration Statement, Statutory Prospectus and the Prospectus, no holders of any securities of the Company or any rights exercisable for or convertible or exchangeable into securities of the Company have the right to require the Company to register any such securities of the Company under the Act or to include any such securities in a registration statement to be filed by the Company. </w:t>
      </w:r>
    </w:p>
    <w:p>
      <w:pPr>
        <w:pStyle w:val="TextBody"/>
        <w:spacing w:before="360" w:after="0"/>
        <w:jc w:val="left"/>
        <w:rPr>
          <w:rFonts w:ascii="Times New Roman" w:hAnsi="Times New Roman"/>
          <w:sz w:val="20"/>
          <w:u w:val="single"/>
        </w:rPr>
      </w:pPr>
      <w:r>
        <w:rPr>
          <w:rFonts w:ascii="Times New Roman" w:hAnsi="Times New Roman"/>
          <w:sz w:val="20"/>
          <w:u w:val="single"/>
        </w:rPr>
        <w:t xml:space="preserve">(11) Prior Securities Transactions. </w:t>
      </w:r>
    </w:p>
    <w:p>
      <w:pPr>
        <w:pStyle w:val="TextBody"/>
        <w:spacing w:before="120" w:after="0"/>
        <w:jc w:val="left"/>
        <w:rPr>
          <w:rFonts w:ascii="Times New Roman" w:hAnsi="Times New Roman"/>
          <w:sz w:val="20"/>
        </w:rPr>
      </w:pPr>
      <w:r>
        <w:rPr>
          <w:rFonts w:ascii="Times New Roman" w:hAnsi="Times New Roman"/>
          <w:sz w:val="20"/>
        </w:rPr>
        <w:t xml:space="preserve">(i) No securities of the Company have been sold by the Company or by or on behalf of, or for the benefit of, any person or persons controlling, controlled by, or under common control with the Company from its inception through and including the date hereof, except as disclosed in the Registration Statement, the Statutory Prospectus or the Prospectus. </w:t>
      </w:r>
    </w:p>
    <w:p>
      <w:pPr>
        <w:pStyle w:val="TextBody"/>
        <w:spacing w:before="240" w:after="0"/>
        <w:jc w:val="left"/>
        <w:rPr>
          <w:rFonts w:ascii="Times New Roman" w:hAnsi="Times New Roman"/>
          <w:sz w:val="20"/>
        </w:rPr>
      </w:pPr>
      <w:r>
        <w:rPr>
          <w:rFonts w:ascii="Times New Roman" w:hAnsi="Times New Roman"/>
          <w:sz w:val="20"/>
        </w:rPr>
        <w:t xml:space="preserve">(ii) Neither the Company nor any of its affiliates has, prior to the date hereof, made any offer or sale of any securities that are required to be integrated pursuant to the Act with the offer and sale of the Securities pursuant to the Registration Statement. </w:t>
      </w:r>
    </w:p>
    <w:p>
      <w:pPr>
        <w:pStyle w:val="TextBody"/>
        <w:spacing w:before="360" w:after="0"/>
        <w:jc w:val="left"/>
        <w:rPr>
          <w:rFonts w:ascii="Times New Roman" w:hAnsi="Times New Roman"/>
          <w:sz w:val="20"/>
          <w:u w:val="single"/>
        </w:rPr>
      </w:pPr>
      <w:r>
        <w:rPr>
          <w:rFonts w:ascii="Times New Roman" w:hAnsi="Times New Roman"/>
          <w:sz w:val="20"/>
          <w:u w:val="single"/>
        </w:rPr>
        <w:t xml:space="preserve">(12) Securities Sold to Founders, Sponsor and Insiders. </w:t>
      </w:r>
    </w:p>
    <w:p>
      <w:pPr>
        <w:pStyle w:val="TextBody"/>
        <w:spacing w:before="120" w:after="0"/>
        <w:jc w:val="left"/>
        <w:rPr>
          <w:rFonts w:ascii="Times New Roman" w:hAnsi="Times New Roman"/>
          <w:sz w:val="20"/>
        </w:rPr>
      </w:pPr>
      <w:r>
        <w:rPr>
          <w:rFonts w:ascii="Times New Roman" w:hAnsi="Times New Roman"/>
          <w:sz w:val="20"/>
        </w:rPr>
        <w:t xml:space="preserve">The Founder Shares have been duly authorized and are validly issued, fully paid and, except with respect to the forfeiture of certain Founder Shares as described in the Registration Statement upon the failure by the Underwriters to purchase any or all of the Option Securities, non-assessable. The Private Placement Warrants have been duly authorized and, when delivered upon the consummation of the Offering, will be duly issued and delivered, and will constitute valid and binding obligations of the Company, enforceable against the Company in accordance with their terms, except as the enforceability thereof may be limited by bankruptcy, insolvency, or similar laws affecting creditors rights generally from time to time in effect and by equitable principles of general applicability. The Ordinary Shares issuable upon exercise of the Private Placement Warrants have been duly authorized and reserved for issuance and, when issued and delivered against payment therefor pursuant to the Private Placement Warrants Purchase Agreement, the Private Placement Warrants, and the Warrant Agreement will be validly issued, fully paid and non-assessable. </w:t>
      </w:r>
    </w:p>
    <w:p>
      <w:pPr>
        <w:pStyle w:val="TextBody"/>
        <w:spacing w:before="240" w:after="0"/>
        <w:jc w:val="left"/>
        <w:rPr>
          <w:rFonts w:ascii="Times New Roman" w:hAnsi="Times New Roman"/>
          <w:sz w:val="20"/>
        </w:rPr>
      </w:pPr>
      <w:r>
        <w:rPr>
          <w:rFonts w:ascii="Times New Roman" w:hAnsi="Times New Roman"/>
          <w:sz w:val="20"/>
        </w:rPr>
        <w:t>Each of the Sponsor and the Companys executive officers and directors have agreed to: (a) waive their redemption rights with respect to any Founder Shares and Ordinary Shares sold as part of the Units in the Offering (the </w:t>
      </w:r>
      <w:r>
        <w:rPr>
          <w:rFonts w:ascii="Times New Roman" w:hAnsi="Times New Roman"/>
          <w:sz w:val="20"/>
          <w:u w:val="single"/>
        </w:rPr>
        <w:t>Public Shares</w:t>
      </w:r>
      <w:r>
        <w:rPr>
          <w:rFonts w:ascii="Times New Roman" w:hAnsi="Times New Roman"/>
          <w:sz w:val="20"/>
        </w:rPr>
        <w:t xml:space="preserve">) held by them in connection with the completion of an Initial Business Combination; (b) waive their redemption rights with respect to any Founder Shares and Public Shares held by them in connection with a shareholder vote to approve an amendment to the Amended and Restated Memorandum and Articles of Association to modify the substance or timing of the Companys obligation to provide for the redemption of the Public Shares in connection with an Initial Business Combination or to redeem 100% of its Public Shares if the Company has not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consummated an Initial Business Combination within the time period set forth in the Amended and Restated Memorandum and Articles of Association; (c) waive their rights to liquidating distributions from the Trust Account with respect to any Founder Shares held by them if the Company fails to complete an Initial Business Combination within the time period set forth in the Amended and Restated Memorandum and Articles of Association (although they will be entitled to liquidating distributions from the Trust Account with respect to any Public Shares held by them if the Company fails to complete an Initial Business Combination within the time period set forth in the Amended and Restated Memorandum and Articles of Association); and (d) vote any Founder Shares and any Public Shares held by them in favor of an initial Business Combination if the Company submits an Initial Business Combination to its public shareholders for a vote. </w:t>
      </w:r>
    </w:p>
    <w:p>
      <w:pPr>
        <w:pStyle w:val="TextBody"/>
        <w:spacing w:before="360" w:after="0"/>
        <w:jc w:val="left"/>
        <w:rPr>
          <w:rFonts w:ascii="Times New Roman" w:hAnsi="Times New Roman"/>
          <w:sz w:val="20"/>
          <w:u w:val="single"/>
        </w:rPr>
      </w:pPr>
      <w:r>
        <w:rPr>
          <w:rFonts w:ascii="Times New Roman" w:hAnsi="Times New Roman"/>
          <w:sz w:val="20"/>
          <w:u w:val="single"/>
        </w:rPr>
        <w:t xml:space="preserve">(13) Due Incorporation; Power and Authority. </w:t>
      </w:r>
    </w:p>
    <w:p>
      <w:pPr>
        <w:pStyle w:val="TextBody"/>
        <w:spacing w:before="120" w:after="0"/>
        <w:jc w:val="left"/>
        <w:rPr>
          <w:rFonts w:ascii="Times New Roman" w:hAnsi="Times New Roman"/>
          <w:sz w:val="20"/>
        </w:rPr>
      </w:pPr>
      <w:r>
        <w:rPr>
          <w:rFonts w:ascii="Times New Roman" w:hAnsi="Times New Roman"/>
          <w:sz w:val="20"/>
        </w:rPr>
        <w:t xml:space="preserve">The Company has been duly incorporated and is validly existing as an exempted company in good standing under the laws of the Cayman Islands with full corporate power and authority to own or lease, as the case may be, and to operate its properties and conduct its business as described in the Statutory Prospectus and the Prospectus. </w:t>
      </w:r>
    </w:p>
    <w:p>
      <w:pPr>
        <w:pStyle w:val="TextBody"/>
        <w:spacing w:before="360" w:after="0"/>
        <w:jc w:val="left"/>
        <w:rPr>
          <w:rFonts w:ascii="Times New Roman" w:hAnsi="Times New Roman"/>
          <w:sz w:val="20"/>
          <w:u w:val="single"/>
        </w:rPr>
      </w:pPr>
      <w:r>
        <w:rPr>
          <w:rFonts w:ascii="Times New Roman" w:hAnsi="Times New Roman"/>
          <w:sz w:val="20"/>
          <w:u w:val="single"/>
        </w:rPr>
        <w:t xml:space="preserve">(14) Validity and Binding Effect of Agreements. </w:t>
      </w:r>
    </w:p>
    <w:p>
      <w:pPr>
        <w:pStyle w:val="TextBody"/>
        <w:spacing w:before="120" w:after="0"/>
        <w:jc w:val="left"/>
        <w:rPr>
          <w:rFonts w:ascii="Times New Roman" w:hAnsi="Times New Roman"/>
          <w:sz w:val="20"/>
        </w:rPr>
      </w:pPr>
      <w:r>
        <w:rPr>
          <w:rFonts w:ascii="Times New Roman" w:hAnsi="Times New Roman"/>
          <w:sz w:val="20"/>
        </w:rPr>
        <w:t xml:space="preserve">(i) The Trust Agreement has been duly authorized, executed and delivered by the Company and is a valid and binding agreement of the Company, enforceable against the Company in accordance with its terms except as the enforceability thereof may be limited by bankruptcy, insolvency, or similar laws affecting creditors rights generally from time to time in effect and by equitable principles of general applicability. </w:t>
      </w:r>
    </w:p>
    <w:p>
      <w:pPr>
        <w:pStyle w:val="TextBody"/>
        <w:spacing w:before="240" w:after="0"/>
        <w:jc w:val="left"/>
        <w:rPr>
          <w:rFonts w:ascii="Times New Roman" w:hAnsi="Times New Roman"/>
          <w:sz w:val="20"/>
        </w:rPr>
      </w:pPr>
      <w:r>
        <w:rPr>
          <w:rFonts w:ascii="Times New Roman" w:hAnsi="Times New Roman"/>
          <w:sz w:val="20"/>
        </w:rPr>
        <w:t xml:space="preserve">(ii) The Warrant Agreement has been duly authorized, executed and delivered by the Company and is a valid and binding agreement of the Company, enforceable against the Company in accordance with its terms except as the enforceability thereof may be limited by bankruptcy, insolvency, or similar laws affecting creditors rights generally from time to time in effect and by equitable principles of general applicability. </w:t>
      </w:r>
    </w:p>
    <w:p>
      <w:pPr>
        <w:pStyle w:val="TextBody"/>
        <w:spacing w:before="240" w:after="0"/>
        <w:jc w:val="left"/>
        <w:rPr>
          <w:rFonts w:ascii="Times New Roman" w:hAnsi="Times New Roman"/>
          <w:sz w:val="20"/>
        </w:rPr>
      </w:pPr>
      <w:r>
        <w:rPr>
          <w:rFonts w:ascii="Times New Roman" w:hAnsi="Times New Roman"/>
          <w:sz w:val="20"/>
        </w:rPr>
        <w:t xml:space="preserve">(iii) The Private Placement Warrants Purchase Agreement has been duly authorized, executed and delivered by the Company and, to the Companys knowledge, the Sponsor, and is a valid and binding agreement of the Company and, to the Companys knowledge, the Sponsor, enforceable against the Company and, to the Companys knowledge, the Sponsor in accordance with its terms except as the enforceability thereof may be limited by bankruptcy, insolvency, or similar laws affecting creditors rights generally from time to time in effect and by equitable principles of general applicability. </w:t>
      </w:r>
    </w:p>
    <w:p>
      <w:pPr>
        <w:pStyle w:val="TextBody"/>
        <w:spacing w:before="240" w:after="0"/>
        <w:jc w:val="left"/>
        <w:rPr>
          <w:rFonts w:ascii="Times New Roman" w:hAnsi="Times New Roman"/>
          <w:sz w:val="20"/>
        </w:rPr>
      </w:pPr>
      <w:r>
        <w:rPr>
          <w:rFonts w:ascii="Times New Roman" w:hAnsi="Times New Roman"/>
          <w:sz w:val="20"/>
        </w:rPr>
        <w:t xml:space="preserve">(iv) The Registration Rights Agreement has been duly authorized, executed and delivered by the Company and is a valid and binding agreement of the Company, enforceable against the Company in accordance with its terms except as the enforceability thereof may be limited by bankruptcy, insolvency, or similar laws affecting creditors rights generally from time to time in effect and by equitable principles of general applicability and except that the indemnification and contribution provisions of the Registration Rights Agreement may be unenforceable. </w:t>
      </w:r>
    </w:p>
    <w:p>
      <w:pPr>
        <w:pStyle w:val="TextBody"/>
        <w:spacing w:before="240" w:after="0"/>
        <w:jc w:val="left"/>
        <w:rPr>
          <w:rFonts w:ascii="Times New Roman" w:hAnsi="Times New Roman"/>
          <w:sz w:val="20"/>
        </w:rPr>
      </w:pPr>
      <w:r>
        <w:rPr>
          <w:rFonts w:ascii="Times New Roman" w:hAnsi="Times New Roman"/>
          <w:sz w:val="20"/>
        </w:rPr>
        <w:t xml:space="preserve">(v) The Administrative Services Agreement has been duly authorized, executed and delivered by the Company and is a valid and binding agreement of the Company, enforceable against the Company in accordance with its terms except as the enforceability thereof may be limited by bankruptcy, insolvency, or similar laws affecting creditors rights generally from time to time in effect and by equitable principles of general applicability. </w:t>
      </w:r>
    </w:p>
    <w:p>
      <w:pPr>
        <w:pStyle w:val="TextBody"/>
        <w:spacing w:before="240" w:after="0"/>
        <w:jc w:val="left"/>
        <w:rPr>
          <w:rFonts w:ascii="Times New Roman" w:hAnsi="Times New Roman"/>
          <w:sz w:val="20"/>
        </w:rPr>
      </w:pPr>
      <w:r>
        <w:rPr>
          <w:rFonts w:ascii="Times New Roman" w:hAnsi="Times New Roman"/>
          <w:sz w:val="20"/>
        </w:rPr>
        <w:t xml:space="preserve">(vi) The Insider Letter has been duly authorized, executed and delivered by the Sponsor and, to the knowledge of the Company, each of the Companys directors and executive officers, respectively, and is a valid and binding agreement of the Sponsor and each of the Companys directors and executive officers respectively, enforceable against the Sponsor and each of the Companys directors and executive officers, respectively, in accordance with its terms except as the enforceability thereof may be limited by bankruptcy, insolvency, or similar laws affecting creditors rights generally from time to time in effect and by equitable principles of general applicability.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(vii) The Securities Subscription Agreement has been duly authorized, executed and delivered by the Company and is a valid and binding agreement of the Company, enforceable against the Company in accordance with its terms except as the enforceability thereof may be limited by bankruptcy, insolvency, or similar laws affecting creditors rights generally from time to time in effect and by equitable principles of general applicability. </w:t>
      </w:r>
    </w:p>
    <w:p>
      <w:pPr>
        <w:pStyle w:val="TextBody"/>
        <w:spacing w:before="360" w:after="0"/>
        <w:jc w:val="left"/>
        <w:rPr>
          <w:rFonts w:ascii="Times New Roman" w:hAnsi="Times New Roman"/>
          <w:sz w:val="20"/>
          <w:u w:val="single"/>
        </w:rPr>
      </w:pPr>
      <w:r>
        <w:rPr>
          <w:rFonts w:ascii="Times New Roman" w:hAnsi="Times New Roman"/>
          <w:sz w:val="20"/>
          <w:u w:val="single"/>
        </w:rPr>
        <w:t xml:space="preserve">(15) Consents, Approvals, Etc. </w:t>
      </w:r>
    </w:p>
    <w:p>
      <w:pPr>
        <w:pStyle w:val="TextBody"/>
        <w:spacing w:before="120" w:after="0"/>
        <w:jc w:val="left"/>
        <w:rPr>
          <w:rFonts w:ascii="Times New Roman" w:hAnsi="Times New Roman"/>
          <w:sz w:val="20"/>
        </w:rPr>
      </w:pPr>
      <w:r>
        <w:rPr>
          <w:rFonts w:ascii="Times New Roman" w:hAnsi="Times New Roman"/>
          <w:sz w:val="20"/>
        </w:rPr>
        <w:t xml:space="preserve">No consent, approval, authorization, filing with or order of any court or governmental agency or body is required in connection with the transactions contemplated herein or in the Trust Agreement, the Warrant Agreement, the Securities Subscription Agreement, the Private Placement Warrants Purchase Agreement, the Registration Rights Agreement, or the Insider Letter, except for the registration under the Act and the Exchange Act of the Securities, and such as may be required under the state securities or blue sky laws of any jurisdiction in connection with the purchase and distribution of the Securities by the Underwriters in the manner contemplated herein and in the Registration Statement, Statutory Prospectus and the Prospectus. </w:t>
      </w:r>
    </w:p>
    <w:p>
      <w:pPr>
        <w:pStyle w:val="TextBody"/>
        <w:spacing w:before="360" w:after="0"/>
        <w:jc w:val="left"/>
        <w:rPr>
          <w:rFonts w:ascii="Times New Roman" w:hAnsi="Times New Roman"/>
          <w:sz w:val="20"/>
          <w:u w:val="single"/>
        </w:rPr>
      </w:pPr>
      <w:r>
        <w:rPr>
          <w:rFonts w:ascii="Times New Roman" w:hAnsi="Times New Roman"/>
          <w:sz w:val="20"/>
          <w:u w:val="single"/>
        </w:rPr>
        <w:t xml:space="preserve">(16) No Breach or Violation. </w:t>
      </w:r>
    </w:p>
    <w:p>
      <w:pPr>
        <w:pStyle w:val="TextBody"/>
        <w:spacing w:before="120" w:after="0"/>
        <w:jc w:val="left"/>
        <w:rPr>
          <w:rFonts w:ascii="Times New Roman" w:hAnsi="Times New Roman"/>
          <w:sz w:val="20"/>
        </w:rPr>
      </w:pPr>
      <w:r>
        <w:rPr>
          <w:rFonts w:ascii="Times New Roman" w:hAnsi="Times New Roman"/>
          <w:sz w:val="20"/>
        </w:rPr>
        <w:t xml:space="preserve">Neither the issue and sale of the Securities nor the consummation of any other of the transactions herein contemplated nor the fulfillment of the terms hereof or of the Trust Agreement, the Warrant Agreement, the Securities Subscription Agreement, the Private Placement Warrants Purchase Agreement, the Registration Rights Agreement, Administrative Services Agreement, or the Insider Letter will conflict with, result in a breach or violation of, or imposition of any lien, charge or encumbrance upon any property or assets of the Company pursuant to (i) the Amended and Restated Memorandum and Articles of Association; (ii) the terms of any indenture, contract, lease, mortgage, deed of trust, note agreement, loan agreement or other agreement, obligation, condition, covenant or instrument to which the Company is a party or bound or to which its property is subject; or (iii) any statute, law, rule, regulation, judgment, order or decree applicable to the Company of any court, regulatory body, administrative agency, governmental body, arbitrator or other authority having jurisdiction over the Company or any of its properties; except in the case of clauses (ii) and (iii) above for any such conflict, breach or violation that would not, individually or in the aggregate, be reasonably expected to have a material adverse effect on the condition (financial or otherwise), prospects, earnings, business or properties of the Company, taken as a whole, whether or not arising from transactions in the ordinary course of business (a Material Adverse Effect) and that would not, individually or in the aggregate, have a material adverse effect on the ability of the Underwriters to consummate the transactions contemplated by this Agreement. </w:t>
      </w:r>
    </w:p>
    <w:p>
      <w:pPr>
        <w:pStyle w:val="TextBody"/>
        <w:spacing w:before="360" w:after="0"/>
        <w:jc w:val="left"/>
        <w:rPr>
          <w:rFonts w:ascii="Times New Roman" w:hAnsi="Times New Roman"/>
          <w:sz w:val="20"/>
          <w:u w:val="single"/>
        </w:rPr>
      </w:pPr>
      <w:r>
        <w:rPr>
          <w:rFonts w:ascii="Times New Roman" w:hAnsi="Times New Roman"/>
          <w:sz w:val="20"/>
          <w:u w:val="single"/>
        </w:rPr>
        <w:t xml:space="preserve">(17) No Conflicts, Etc. </w:t>
      </w:r>
    </w:p>
    <w:p>
      <w:pPr>
        <w:pStyle w:val="TextBody"/>
        <w:spacing w:before="120" w:after="0"/>
        <w:jc w:val="left"/>
        <w:rPr>
          <w:rFonts w:ascii="Times New Roman" w:hAnsi="Times New Roman"/>
          <w:sz w:val="20"/>
        </w:rPr>
      </w:pPr>
      <w:r>
        <w:rPr>
          <w:rFonts w:ascii="Times New Roman" w:hAnsi="Times New Roman"/>
          <w:sz w:val="20"/>
        </w:rPr>
        <w:t xml:space="preserve">The Company is not in violation or default of (i) any provision of its Amended and Restated Memorandum and Articles of Association; (ii) the terms of any indenture, contract, lease, mortgage, deed of trust, note agreement, loan agreement or other agreement, obligation, condition, covenant or instrument to which it is a party or bound or to which its property is subject; or (iii) any statute, law, rule, regulation, or judgment, order or decree of any court, regulatory body, administrative agency, governmental body, arbitrator or other authority having jurisdiction over the Company; except in the case of clauses (ii) and (iii) above for any such conflict, breach or violation that would not, individually or in the aggregate, be reasonably expected to have a Material Adverse Effect. </w:t>
      </w:r>
    </w:p>
    <w:p>
      <w:pPr>
        <w:pStyle w:val="TextBody"/>
        <w:spacing w:before="360" w:after="0"/>
        <w:jc w:val="left"/>
        <w:rPr>
          <w:rFonts w:ascii="Times New Roman" w:hAnsi="Times New Roman"/>
          <w:sz w:val="20"/>
          <w:u w:val="single"/>
        </w:rPr>
      </w:pPr>
      <w:r>
        <w:rPr>
          <w:rFonts w:ascii="Times New Roman" w:hAnsi="Times New Roman"/>
          <w:sz w:val="20"/>
          <w:u w:val="single"/>
        </w:rPr>
        <w:t xml:space="preserve">(18) Investment Company Act. </w:t>
      </w:r>
    </w:p>
    <w:p>
      <w:pPr>
        <w:pStyle w:val="TextBody"/>
        <w:spacing w:before="120" w:after="0"/>
        <w:jc w:val="left"/>
        <w:rPr>
          <w:rFonts w:ascii="Times New Roman" w:hAnsi="Times New Roman"/>
          <w:sz w:val="20"/>
        </w:rPr>
      </w:pPr>
      <w:r>
        <w:rPr>
          <w:rFonts w:ascii="Times New Roman" w:hAnsi="Times New Roman"/>
          <w:sz w:val="20"/>
        </w:rPr>
        <w:t>The Company is not and, after giving effect to the Offering and the application of the proceeds thereof as described in the Statutory Prospectus and the Prospectus, will not be required to register as an investment company as defined in the Investment Company Act of 1940, as amended (the </w:t>
      </w:r>
      <w:r>
        <w:rPr>
          <w:rFonts w:ascii="Times New Roman" w:hAnsi="Times New Roman"/>
          <w:sz w:val="20"/>
          <w:u w:val="single"/>
        </w:rPr>
        <w:t>Investment Company Act</w:t>
      </w:r>
      <w:r>
        <w:rPr>
          <w:rFonts w:ascii="Times New Roman" w:hAnsi="Times New Roman"/>
          <w:sz w:val="20"/>
        </w:rPr>
        <w:t xml:space="preserve">) and the rules and regulations of the Commission thereunder. </w:t>
      </w:r>
    </w:p>
    <w:p>
      <w:pPr>
        <w:pStyle w:val="TextBody"/>
        <w:spacing w:before="360" w:after="0"/>
        <w:jc w:val="left"/>
        <w:rPr>
          <w:rFonts w:ascii="Times New Roman" w:hAnsi="Times New Roman"/>
          <w:sz w:val="20"/>
        </w:rPr>
      </w:pPr>
      <w:r>
        <w:rPr>
          <w:rFonts w:ascii="Times New Roman" w:hAnsi="Times New Roman"/>
          <w:sz w:val="20"/>
        </w:rPr>
        <w:t xml:space="preserve">(19) </w:t>
      </w:r>
      <w:r>
        <w:rPr>
          <w:rFonts w:ascii="Times New Roman" w:hAnsi="Times New Roman"/>
          <w:sz w:val="20"/>
          <w:u w:val="single"/>
        </w:rPr>
        <w:t>Financial Statements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The financial statements, including the notes thereto and the supporting schedules, if any, of the Company included in the Statutory Prospectus, the Prospectus and the Registration Statement present fairly the financial condition, results of operations and cash flows of the Company as of the dates and for the periods indicated, comply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as to form with the applicable accounting requirements of the Act and have been prepared in conformity with generally accepted accounting principles applied on a consistent basis throughout the periods involved (except as otherwise noted therein). There are no pro forma or as adjusted financial statements that are required to be included in the Statutory Prospectus, the Prospectus and the Registration Statement in accordance with Regulation S-X that have not been included as so required. All disclosures contained in the Registration Statement, the Pricing Prospectus and the Prospectus regarding non-GAAP financial measures (as such term is defined by the rules and regulations of the Commission), if any, comply with Regulation G of the Exchange Act and Item 10 of Regulation S-K of the Act, to the extent applicable. </w:t>
      </w:r>
    </w:p>
    <w:p>
      <w:pPr>
        <w:pStyle w:val="TextBody"/>
        <w:spacing w:before="360" w:after="0"/>
        <w:jc w:val="left"/>
        <w:rPr>
          <w:rFonts w:ascii="Times New Roman" w:hAnsi="Times New Roman"/>
          <w:sz w:val="20"/>
          <w:u w:val="single"/>
        </w:rPr>
      </w:pPr>
      <w:r>
        <w:rPr>
          <w:rFonts w:ascii="Times New Roman" w:hAnsi="Times New Roman"/>
          <w:sz w:val="20"/>
          <w:u w:val="single"/>
        </w:rPr>
        <w:t xml:space="preserve">(20) Off-Balance Sheet Arrangements. </w:t>
      </w:r>
    </w:p>
    <w:p>
      <w:pPr>
        <w:pStyle w:val="TextBody"/>
        <w:spacing w:before="120" w:after="0"/>
        <w:jc w:val="left"/>
        <w:rPr>
          <w:rFonts w:ascii="Times New Roman" w:hAnsi="Times New Roman"/>
          <w:sz w:val="20"/>
        </w:rPr>
      </w:pPr>
      <w:r>
        <w:rPr>
          <w:rFonts w:ascii="Times New Roman" w:hAnsi="Times New Roman"/>
          <w:sz w:val="20"/>
        </w:rPr>
        <w:t xml:space="preserve">The Company is not party to any off-balance sheet transactions, arrangements, obligations (including contingent obligations), or other relationships with unconsolidated entities or other persons that may have a material current or future effect on the Companys financial condition, changes in financial condition, results of operations, liquidity, capital expenditures, capital resources, or significant components of revenues or expenses. </w:t>
      </w:r>
    </w:p>
    <w:p>
      <w:pPr>
        <w:pStyle w:val="TextBody"/>
        <w:spacing w:before="360" w:after="0"/>
        <w:jc w:val="left"/>
        <w:rPr>
          <w:rFonts w:ascii="Times New Roman" w:hAnsi="Times New Roman"/>
          <w:sz w:val="20"/>
          <w:u w:val="single"/>
        </w:rPr>
      </w:pPr>
      <w:r>
        <w:rPr>
          <w:rFonts w:ascii="Times New Roman" w:hAnsi="Times New Roman"/>
          <w:sz w:val="20"/>
          <w:u w:val="single"/>
        </w:rPr>
        <w:t xml:space="preserve">(21) Other Data. </w:t>
      </w:r>
    </w:p>
    <w:p>
      <w:pPr>
        <w:pStyle w:val="TextBody"/>
        <w:spacing w:before="120" w:after="0"/>
        <w:jc w:val="left"/>
        <w:rPr>
          <w:rFonts w:ascii="Times New Roman" w:hAnsi="Times New Roman"/>
          <w:sz w:val="20"/>
        </w:rPr>
      </w:pPr>
      <w:r>
        <w:rPr>
          <w:rFonts w:ascii="Times New Roman" w:hAnsi="Times New Roman"/>
          <w:sz w:val="20"/>
        </w:rPr>
        <w:t xml:space="preserve">The statistical, industry-related and market-related data included in the Registration Statement, the Statutory Prospectus and the Prospectus, if any, are based on or derived from sources that the Company reasonably and in good faith believes are reliable and accurate, and such data agree with the sources from which they are derived. </w:t>
      </w:r>
    </w:p>
    <w:p>
      <w:pPr>
        <w:pStyle w:val="TextBody"/>
        <w:spacing w:before="360" w:after="0"/>
        <w:jc w:val="left"/>
        <w:rPr>
          <w:rFonts w:ascii="Times New Roman" w:hAnsi="Times New Roman"/>
          <w:sz w:val="20"/>
          <w:u w:val="single"/>
        </w:rPr>
      </w:pPr>
      <w:r>
        <w:rPr>
          <w:rFonts w:ascii="Times New Roman" w:hAnsi="Times New Roman"/>
          <w:sz w:val="20"/>
          <w:u w:val="single"/>
        </w:rPr>
        <w:t xml:space="preserve">(22) Independent Accountants. </w:t>
      </w:r>
    </w:p>
    <w:p>
      <w:pPr>
        <w:pStyle w:val="TextBody"/>
        <w:spacing w:before="120" w:after="0"/>
        <w:jc w:val="left"/>
        <w:rPr>
          <w:rFonts w:ascii="Times New Roman" w:hAnsi="Times New Roman"/>
          <w:sz w:val="20"/>
        </w:rPr>
      </w:pPr>
      <w:r>
        <w:rPr>
          <w:rFonts w:ascii="Times New Roman" w:hAnsi="Times New Roman"/>
          <w:sz w:val="20"/>
        </w:rPr>
        <w:t>Marcum LLP (</w:t>
      </w:r>
      <w:r>
        <w:rPr>
          <w:rFonts w:ascii="Times New Roman" w:hAnsi="Times New Roman"/>
          <w:sz w:val="20"/>
          <w:u w:val="single"/>
        </w:rPr>
        <w:t>Marcum</w:t>
      </w:r>
      <w:r>
        <w:rPr>
          <w:rFonts w:ascii="Times New Roman" w:hAnsi="Times New Roman"/>
          <w:sz w:val="20"/>
        </w:rPr>
        <w:t xml:space="preserve">) are independent public accountants with respect to the Company within the meaning of the Act and the applicable published rules and regulations thereunder and the Public Company Accounting Oversight Board (including the rules and regulations promulgated by such entity). Marcum has not, during the periods covered by the financial statements included in the Statutory Prospectus, the Prospectus and the Registration Statement, provided to the Company any non-audit services, as such term is used in Section 10A(g) of the Exchange Act. </w:t>
      </w:r>
    </w:p>
    <w:p>
      <w:pPr>
        <w:pStyle w:val="TextBody"/>
        <w:spacing w:before="360" w:after="0"/>
        <w:jc w:val="left"/>
        <w:rPr>
          <w:rFonts w:ascii="Times New Roman" w:hAnsi="Times New Roman"/>
          <w:sz w:val="20"/>
          <w:u w:val="single"/>
        </w:rPr>
      </w:pPr>
      <w:r>
        <w:rPr>
          <w:rFonts w:ascii="Times New Roman" w:hAnsi="Times New Roman"/>
          <w:sz w:val="20"/>
          <w:u w:val="single"/>
        </w:rPr>
        <w:t xml:space="preserve">(23) Disclosure Controls and Procedures. </w:t>
      </w:r>
    </w:p>
    <w:p>
      <w:pPr>
        <w:pStyle w:val="TextBody"/>
        <w:spacing w:before="120" w:after="0"/>
        <w:jc w:val="left"/>
        <w:rPr>
          <w:rFonts w:ascii="Times New Roman" w:hAnsi="Times New Roman"/>
          <w:sz w:val="20"/>
        </w:rPr>
      </w:pPr>
      <w:r>
        <w:rPr>
          <w:rFonts w:ascii="Times New Roman" w:hAnsi="Times New Roman"/>
          <w:sz w:val="20"/>
        </w:rPr>
        <w:t xml:space="preserve">The Company maintains effective disclosure controls and procedures (as defined under Rule 13a-15(e) under the Exchange Act) to the extent required by such rule. </w:t>
      </w:r>
    </w:p>
    <w:p>
      <w:pPr>
        <w:pStyle w:val="TextBody"/>
        <w:spacing w:before="360" w:after="0"/>
        <w:jc w:val="left"/>
        <w:rPr>
          <w:rFonts w:ascii="Times New Roman" w:hAnsi="Times New Roman"/>
          <w:sz w:val="20"/>
          <w:u w:val="single"/>
        </w:rPr>
      </w:pPr>
      <w:r>
        <w:rPr>
          <w:rFonts w:ascii="Times New Roman" w:hAnsi="Times New Roman"/>
          <w:sz w:val="20"/>
          <w:u w:val="single"/>
        </w:rPr>
        <w:t xml:space="preserve">(24) Sarbanes-Oxley. </w:t>
      </w:r>
    </w:p>
    <w:p>
      <w:pPr>
        <w:pStyle w:val="TextBody"/>
        <w:spacing w:before="120" w:after="0"/>
        <w:jc w:val="left"/>
        <w:rPr>
          <w:rFonts w:ascii="Times New Roman" w:hAnsi="Times New Roman"/>
          <w:sz w:val="20"/>
        </w:rPr>
      </w:pPr>
      <w:r>
        <w:rPr>
          <w:rFonts w:ascii="Times New Roman" w:hAnsi="Times New Roman"/>
          <w:sz w:val="20"/>
        </w:rPr>
        <w:t>Solely to the extent that the Sarbanes-Oxley Act of 2002, as amended, and the rules and regulations promulgated by the Commission thereunder (the </w:t>
      </w:r>
      <w:r>
        <w:rPr>
          <w:rFonts w:ascii="Times New Roman" w:hAnsi="Times New Roman"/>
          <w:sz w:val="20"/>
          <w:u w:val="single"/>
        </w:rPr>
        <w:t>Sarbanes-Oxley Act</w:t>
      </w:r>
      <w:r>
        <w:rPr>
          <w:rFonts w:ascii="Times New Roman" w:hAnsi="Times New Roman"/>
          <w:sz w:val="20"/>
        </w:rPr>
        <w:t xml:space="preserve">) have been applicable to the Company, there is and has been no failure on the part of the Company to comply with any applicable provision of the Sarbanes-Oxley Act. The Company has taken all necessary actions to ensure that it is in compliance with all provisions of the Sarbanes-Oxley Act that are in effect and with which the Company is required to comply and is making commercially reasonable efforts to ensure that it will be in compliance with other provisions of the Sarbanes-Oxley Act not currently in effect or which will become applicable to the Company. </w:t>
      </w:r>
    </w:p>
    <w:p>
      <w:pPr>
        <w:pStyle w:val="TextBody"/>
        <w:spacing w:before="360" w:after="0"/>
        <w:jc w:val="left"/>
        <w:rPr>
          <w:rFonts w:ascii="Times New Roman" w:hAnsi="Times New Roman"/>
          <w:sz w:val="20"/>
          <w:u w:val="single"/>
        </w:rPr>
      </w:pPr>
      <w:r>
        <w:rPr>
          <w:rFonts w:ascii="Times New Roman" w:hAnsi="Times New Roman"/>
          <w:sz w:val="20"/>
          <w:u w:val="single"/>
        </w:rPr>
        <w:t xml:space="preserve">(25) Transfer Taxes. </w:t>
      </w:r>
    </w:p>
    <w:p>
      <w:pPr>
        <w:pStyle w:val="TextBody"/>
        <w:spacing w:before="120" w:after="0"/>
        <w:jc w:val="left"/>
        <w:rPr>
          <w:rFonts w:ascii="Times New Roman" w:hAnsi="Times New Roman"/>
          <w:sz w:val="20"/>
        </w:rPr>
      </w:pPr>
      <w:r>
        <w:rPr>
          <w:rFonts w:ascii="Times New Roman" w:hAnsi="Times New Roman"/>
          <w:sz w:val="20"/>
        </w:rPr>
        <w:t xml:space="preserve">There are no transfer, stamp, issue, registration, documentary or other similar taxes, duties, fees or charges under U.S. federal law or the laws of any state, or any political subdivision thereof, or under the laws of any non-U.S. jurisdiction, required to be paid in connection with the execution and delivery of this Agreement or the issuance or sale by the Company of the Securities.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u w:val="single"/>
        </w:rPr>
      </w:pPr>
      <w:r>
        <w:rPr>
          <w:rFonts w:ascii="Times New Roman" w:hAnsi="Times New Roman"/>
          <w:sz w:val="20"/>
          <w:u w:val="single"/>
        </w:rPr>
        <w:t xml:space="preserve">(26) Ownership. </w:t>
      </w:r>
    </w:p>
    <w:p>
      <w:pPr>
        <w:pStyle w:val="TextBody"/>
        <w:spacing w:before="120" w:after="0"/>
        <w:jc w:val="left"/>
        <w:rPr>
          <w:rFonts w:ascii="Times New Roman" w:hAnsi="Times New Roman"/>
          <w:sz w:val="20"/>
        </w:rPr>
      </w:pPr>
      <w:r>
        <w:rPr>
          <w:rFonts w:ascii="Times New Roman" w:hAnsi="Times New Roman"/>
          <w:sz w:val="20"/>
        </w:rPr>
        <w:t xml:space="preserve">The Company owns or leases all such properties as are necessary to the conduct of its operations as presently conducted. </w:t>
      </w:r>
    </w:p>
    <w:p>
      <w:pPr>
        <w:pStyle w:val="TextBody"/>
        <w:spacing w:before="360" w:after="0"/>
        <w:jc w:val="left"/>
        <w:rPr>
          <w:rFonts w:ascii="Times New Roman" w:hAnsi="Times New Roman"/>
          <w:sz w:val="20"/>
          <w:u w:val="single"/>
        </w:rPr>
      </w:pPr>
      <w:r>
        <w:rPr>
          <w:rFonts w:ascii="Times New Roman" w:hAnsi="Times New Roman"/>
          <w:sz w:val="20"/>
          <w:u w:val="single"/>
        </w:rPr>
        <w:t xml:space="preserve">(27) Litigation; Government Proceedings. </w:t>
      </w:r>
    </w:p>
    <w:p>
      <w:pPr>
        <w:pStyle w:val="TextBody"/>
        <w:spacing w:before="120" w:after="0"/>
        <w:jc w:val="left"/>
        <w:rPr>
          <w:rFonts w:ascii="Times New Roman" w:hAnsi="Times New Roman"/>
          <w:sz w:val="20"/>
        </w:rPr>
      </w:pPr>
      <w:r>
        <w:rPr>
          <w:rFonts w:ascii="Times New Roman" w:hAnsi="Times New Roman"/>
          <w:sz w:val="20"/>
        </w:rPr>
        <w:t xml:space="preserve">No action, suit or proceeding by or before any court or governmental agency, authority or body or any arbitrator involving the Company, or to the Companys knowledge, the Sponsor, or any executive officer or director of the Company, or its or their property is pending or, to the knowledge of the Company, threatened that (i) would reasonably be expected to have a material adverse effect on the performance of this Agreement or the consummation of any of the transactions contemplated hereby or (ii) would reasonably be expected to have a Material Adverse Effect, except as set forth in or contemplated in the Statutory Prospectus and the Prospectus (exclusive of any supplement thereto). </w:t>
      </w:r>
    </w:p>
    <w:p>
      <w:pPr>
        <w:pStyle w:val="TextBody"/>
        <w:spacing w:before="360" w:after="0"/>
        <w:jc w:val="left"/>
        <w:rPr>
          <w:rFonts w:ascii="Times New Roman" w:hAnsi="Times New Roman"/>
          <w:sz w:val="20"/>
          <w:u w:val="single"/>
        </w:rPr>
      </w:pPr>
      <w:r>
        <w:rPr>
          <w:rFonts w:ascii="Times New Roman" w:hAnsi="Times New Roman"/>
          <w:sz w:val="20"/>
          <w:u w:val="single"/>
        </w:rPr>
        <w:t xml:space="preserve">(28) Tax Returns. </w:t>
      </w:r>
    </w:p>
    <w:p>
      <w:pPr>
        <w:pStyle w:val="TextBody"/>
        <w:spacing w:before="120" w:after="0"/>
        <w:jc w:val="left"/>
        <w:rPr>
          <w:rFonts w:ascii="Times New Roman" w:hAnsi="Times New Roman"/>
          <w:sz w:val="20"/>
        </w:rPr>
      </w:pPr>
      <w:r>
        <w:rPr>
          <w:rFonts w:ascii="Times New Roman" w:hAnsi="Times New Roman"/>
          <w:sz w:val="20"/>
        </w:rPr>
        <w:t xml:space="preserve">The Company has filed all U.S. federal, state, local and non-U.S. tax returns required to be filed through the date hereof and has paid all taxes required to be paid thereon, and no tax deficiency has been determined adversely to the Company (nor does the Company have any notice or knowledge of any tax deficiency which could reasonably be expected to be determined adversely to the Company), except in each case as would not reasonably be expected to have a Material Adverse Effect. </w:t>
      </w:r>
    </w:p>
    <w:p>
      <w:pPr>
        <w:pStyle w:val="TextBody"/>
        <w:spacing w:before="360" w:after="0"/>
        <w:jc w:val="left"/>
        <w:rPr>
          <w:rFonts w:ascii="Times New Roman" w:hAnsi="Times New Roman"/>
          <w:sz w:val="20"/>
          <w:u w:val="single"/>
        </w:rPr>
      </w:pPr>
      <w:r>
        <w:rPr>
          <w:rFonts w:ascii="Times New Roman" w:hAnsi="Times New Roman"/>
          <w:sz w:val="20"/>
          <w:u w:val="single"/>
        </w:rPr>
        <w:t xml:space="preserve">(29) Licenses and Permits. </w:t>
      </w:r>
    </w:p>
    <w:p>
      <w:pPr>
        <w:pStyle w:val="TextBody"/>
        <w:spacing w:before="120" w:after="0"/>
        <w:jc w:val="left"/>
        <w:rPr>
          <w:rFonts w:ascii="Times New Roman" w:hAnsi="Times New Roman"/>
          <w:sz w:val="20"/>
        </w:rPr>
      </w:pPr>
      <w:r>
        <w:rPr>
          <w:rFonts w:ascii="Times New Roman" w:hAnsi="Times New Roman"/>
          <w:sz w:val="20"/>
        </w:rPr>
        <w:t xml:space="preserve">The Company possesses all licenses, certificates, permits and other authorizations issued by the appropriate U.S. federal, state or foreign regulatory authorities necessary to conduct its business, and the Company has not received any notice of proceedings relating to the revocation or modification of any such license, certificate, authorization or permit which, singly or in the aggregate, would reasonably be expected to have a Material Adverse Effect, whether or not arising from transactions in the ordinary course of business, except as set forth in or contemplated in the Statutory Prospectus and the Prospectus (exclusive of any supplement thereto). </w:t>
      </w:r>
    </w:p>
    <w:p>
      <w:pPr>
        <w:pStyle w:val="TextBody"/>
        <w:spacing w:before="360" w:after="0"/>
        <w:jc w:val="left"/>
        <w:rPr>
          <w:rFonts w:ascii="Times New Roman" w:hAnsi="Times New Roman"/>
          <w:sz w:val="20"/>
          <w:u w:val="single"/>
        </w:rPr>
      </w:pPr>
      <w:r>
        <w:rPr>
          <w:rFonts w:ascii="Times New Roman" w:hAnsi="Times New Roman"/>
          <w:sz w:val="20"/>
          <w:u w:val="single"/>
        </w:rPr>
        <w:t xml:space="preserve">(30) Stabilization. </w:t>
      </w:r>
    </w:p>
    <w:p>
      <w:pPr>
        <w:pStyle w:val="TextBody"/>
        <w:spacing w:before="120" w:after="0"/>
        <w:jc w:val="left"/>
        <w:rPr>
          <w:rFonts w:ascii="Times New Roman" w:hAnsi="Times New Roman"/>
          <w:sz w:val="20"/>
        </w:rPr>
      </w:pPr>
      <w:r>
        <w:rPr>
          <w:rFonts w:ascii="Times New Roman" w:hAnsi="Times New Roman"/>
          <w:sz w:val="20"/>
        </w:rPr>
        <w:t xml:space="preserve">The Company has not taken, directly or indirectly, any action designed to or that would constitute or that might reasonably be expected to cause or result in, under the Exchange Act or otherwise, stabilization or manipulation of the price of any security of the Company to facilitate the sale or resale of the Securities. </w:t>
      </w:r>
    </w:p>
    <w:p>
      <w:pPr>
        <w:pStyle w:val="TextBody"/>
        <w:spacing w:before="360" w:after="0"/>
        <w:jc w:val="left"/>
        <w:rPr>
          <w:rFonts w:ascii="Times New Roman" w:hAnsi="Times New Roman"/>
          <w:sz w:val="20"/>
          <w:u w:val="single"/>
        </w:rPr>
      </w:pPr>
      <w:r>
        <w:rPr>
          <w:rFonts w:ascii="Times New Roman" w:hAnsi="Times New Roman"/>
          <w:sz w:val="20"/>
          <w:u w:val="single"/>
        </w:rPr>
        <w:t xml:space="preserve">(31) Certain Regulatory Matters. </w:t>
      </w:r>
    </w:p>
    <w:p>
      <w:pPr>
        <w:pStyle w:val="TextBody"/>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Foreign Corrupt Practices Act</w:t>
      </w:r>
      <w:r>
        <w:rPr>
          <w:rFonts w:ascii="Times New Roman" w:hAnsi="Times New Roman"/>
          <w:sz w:val="20"/>
        </w:rPr>
        <w:t xml:space="preserve">. Neither the Company, the Sponsor, any director, director nominee, officer or employee of the Company, nor to the knowledge of the Company, any agent, affiliate or other person acting on behalf of the Company or any director, officer, agent, employee or affiliate of the Sponsor is aware of or has taken any action, directly or indirectly, that could result in a violation or a sanction for violation by such persons of the Foreign Corrupt Practices Act of 1977 or the U.K. Bribery Act 2010, each as may be amended, or similar law of any other relevant jurisdiction, or the rules or regulations thereunder; and the Company has instituted and maintains policies and procedures to ensure compliance therewith. No part of the proceeds of the Offering will be used, directly or indirectly, in violation of the Foreign Corrupt Practices Act of 1977 or the U.K. Bribery Act 2010, each as may be amended, or similar law of any other relevant jurisdiction, or the rules or regulations thereunder. </w:t>
      </w:r>
    </w:p>
    <w:p>
      <w:pPr>
        <w:pStyle w:val="TextBody"/>
        <w:spacing w:before="24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Money Laundering Laws</w:t>
      </w:r>
      <w:r>
        <w:rPr>
          <w:rFonts w:ascii="Times New Roman" w:hAnsi="Times New Roman"/>
          <w:sz w:val="20"/>
        </w:rPr>
        <w:t>. The operations of the Company are and have been conducted at all times in compliance with applicable financial recordkeeping and reporting requirements and the money laundering statutes and the rules and regulations thereunder and any related or similar rules, regulations or guidelines, issued, administered or enforced by any governmental agency (collectively, the </w:t>
      </w:r>
      <w:r>
        <w:rPr>
          <w:rFonts w:ascii="Times New Roman" w:hAnsi="Times New Roman"/>
          <w:sz w:val="20"/>
          <w:u w:val="single"/>
        </w:rPr>
        <w:t>Money Laundering Laws</w:t>
      </w:r>
      <w:r>
        <w:rPr>
          <w:rFonts w:ascii="Times New Roman" w:hAnsi="Times New Roman"/>
          <w:sz w:val="20"/>
        </w:rPr>
        <w:t xml:space="preserve">) and no action, suit or proceeding by or before any court or governmental agency, authority or body or any arbitrator involving the Company or any of its subsidiaries with respect to the Money Laundering Laws is pending or, to the best knowledge of the Company, threatened.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OFAC</w:t>
      </w:r>
      <w:r>
        <w:rPr>
          <w:rFonts w:ascii="Times New Roman" w:hAnsi="Times New Roman"/>
          <w:sz w:val="20"/>
        </w:rPr>
        <w:t>. Neither the Company, the Sponsor, any director, director nominee, officer or employee of the Company, nor to the knowledge of the Company, any agent or affiliate of the Company or any director, officer, agent, employee or affiliate of the Sponsor (i) is, or is controlled or 50% or more owned in the aggregate by or is acting on behalf of, one or more individuals or entities that are currently the subject of any sanctions administered or enforced by the United States (including any administered or enforced by the Office of Foreign Assets Control of the U.S. Department of the Treasury, the U.S. Department of State or the Bureau of Industry and Security of the U.S. Department of Commerce), the United Nations Security Council, the European Union, a member state of the European Union (including sanctions administered or enforced by Her Majestys Treasury of the United Kingdom) or other relevant sanctions authority (collectively, </w:t>
      </w:r>
      <w:r>
        <w:rPr>
          <w:rFonts w:ascii="Times New Roman" w:hAnsi="Times New Roman"/>
          <w:sz w:val="20"/>
          <w:u w:val="single"/>
        </w:rPr>
        <w:t>Sanctions</w:t>
      </w:r>
      <w:r>
        <w:rPr>
          <w:rFonts w:ascii="Times New Roman" w:hAnsi="Times New Roman"/>
          <w:sz w:val="20"/>
        </w:rPr>
        <w:t> and such persons, </w:t>
      </w:r>
      <w:r>
        <w:rPr>
          <w:rFonts w:ascii="Times New Roman" w:hAnsi="Times New Roman"/>
          <w:sz w:val="20"/>
          <w:u w:val="single"/>
        </w:rPr>
        <w:t>Sanctioned Persons</w:t>
      </w:r>
      <w:r>
        <w:rPr>
          <w:rFonts w:ascii="Times New Roman" w:hAnsi="Times New Roman"/>
          <w:sz w:val="20"/>
        </w:rPr>
        <w:t> and each such person, a </w:t>
      </w:r>
      <w:r>
        <w:rPr>
          <w:rFonts w:ascii="Times New Roman" w:hAnsi="Times New Roman"/>
          <w:sz w:val="20"/>
          <w:u w:val="single"/>
        </w:rPr>
        <w:t>Sanctioned Person</w:t>
      </w:r>
      <w:r>
        <w:rPr>
          <w:rFonts w:ascii="Times New Roman" w:hAnsi="Times New Roman"/>
          <w:sz w:val="20"/>
        </w:rPr>
        <w:t>); (ii) is located, organized or resident in a country or territory that is, or whose government is, the subject of Sanctions that broadly prohibit dealings with that country or territory (collectively, </w:t>
      </w:r>
      <w:r>
        <w:rPr>
          <w:rFonts w:ascii="Times New Roman" w:hAnsi="Times New Roman"/>
          <w:sz w:val="20"/>
          <w:u w:val="single"/>
        </w:rPr>
        <w:t>Sanctioned Countries</w:t>
      </w:r>
      <w:r>
        <w:rPr>
          <w:rFonts w:ascii="Times New Roman" w:hAnsi="Times New Roman"/>
          <w:sz w:val="20"/>
        </w:rPr>
        <w:t> and each, a </w:t>
      </w:r>
      <w:r>
        <w:rPr>
          <w:rFonts w:ascii="Times New Roman" w:hAnsi="Times New Roman"/>
          <w:sz w:val="20"/>
          <w:u w:val="single"/>
        </w:rPr>
        <w:t>Sanctioned Country</w:t>
      </w:r>
      <w:r>
        <w:rPr>
          <w:rFonts w:ascii="Times New Roman" w:hAnsi="Times New Roman"/>
          <w:sz w:val="20"/>
        </w:rPr>
        <w:t xml:space="preserve">); or (iii) will (either directly or through the Trust Account), directly or indirectly, use the proceeds of the Offering, or lend, contribute or otherwise make available such proceeds to any subsidiary, joint venture partner or other individual or entity in any manner that would result in a violation of any Sanctions by, or could result in the imposition of Sanctions against, any individual or entity (including any individual or entity participating in the Offering, whether as underwriter, advisor, investor or otherwise). </w:t>
      </w:r>
    </w:p>
    <w:p>
      <w:pPr>
        <w:pStyle w:val="TextBody"/>
        <w:spacing w:before="240" w:after="0"/>
        <w:jc w:val="left"/>
        <w:rPr>
          <w:rFonts w:ascii="Times New Roman" w:hAnsi="Times New Roman"/>
          <w:sz w:val="20"/>
        </w:rPr>
      </w:pPr>
      <w:r>
        <w:rPr>
          <w:rFonts w:ascii="Times New Roman" w:hAnsi="Times New Roman"/>
          <w:sz w:val="20"/>
        </w:rPr>
        <w:t xml:space="preserve">(iv) </w:t>
      </w:r>
      <w:r>
        <w:rPr>
          <w:rFonts w:ascii="Times New Roman" w:hAnsi="Times New Roman"/>
          <w:sz w:val="20"/>
          <w:u w:val="single"/>
        </w:rPr>
        <w:t>Sanctions</w:t>
      </w:r>
      <w:r>
        <w:rPr>
          <w:rFonts w:ascii="Times New Roman" w:hAnsi="Times New Roman"/>
          <w:sz w:val="20"/>
        </w:rPr>
        <w:t xml:space="preserve">. None of the Company, the Sponsor, any director, director nominee, officer or employee of the Company, nor to the knowledge of the Company, any agent or affiliate of the Company is a person that is, or is 50% or more owned or otherwise controlled by a person that is: (i) a Sanctioned Person or (ii) located in, organized under the laws of or resident in a country or territory that is, or whose government is, the subject of Sanctions that broadly prohibit dealings with that country or territory (including, without limitation, the Crimea region, Cuba, Iran, North Korea, Sudan, and Syria). In the preceding three (3) years, except as has been disclosed to the Underwriters or is not material to the analysis under any Sanctions, neither the Company nor the Sponsor has engaged in any dealings or transactions with or for the benefit of a Sanctioned Person, or with or in a Sanctioned Country, in the preceding five (5) years, nor does the Company or the Sponsor have any plans to engage in dealings or transactions with or for the benefit of a Sanctioned Person, or with or in a Sanctioned Country. </w:t>
      </w:r>
    </w:p>
    <w:p>
      <w:pPr>
        <w:pStyle w:val="TextBody"/>
        <w:spacing w:before="240" w:after="0"/>
        <w:jc w:val="left"/>
        <w:rPr>
          <w:rFonts w:ascii="Times New Roman" w:hAnsi="Times New Roman"/>
          <w:sz w:val="20"/>
        </w:rPr>
      </w:pPr>
      <w:r>
        <w:rPr>
          <w:rFonts w:ascii="Times New Roman" w:hAnsi="Times New Roman"/>
          <w:sz w:val="20"/>
        </w:rPr>
        <w:t xml:space="preserve">(v) </w:t>
      </w:r>
      <w:r>
        <w:rPr>
          <w:rFonts w:ascii="Times New Roman" w:hAnsi="Times New Roman"/>
          <w:sz w:val="20"/>
          <w:u w:val="single"/>
        </w:rPr>
        <w:t>Bank Secrecy Act; Money Laundering; Patriot Act</w:t>
      </w:r>
      <w:r>
        <w:rPr>
          <w:rFonts w:ascii="Times New Roman" w:hAnsi="Times New Roman"/>
          <w:sz w:val="20"/>
        </w:rPr>
        <w:t xml:space="preserve">. None of the Company, the Sponsor or any executive officer, director or director nominee of the Company has violated: (a) the Bank Secrecy Act, as amended; (b) the Money Laundering Laws; or (c) the Uniting and Strengthening of America by Providing Appropriate Tools Required to Intercept and Obstruct Terrorism (USA PATRIOT ACT) Act of 2001, and/or the rules and regulations promulgated under any such law, or any successor law. </w:t>
      </w:r>
    </w:p>
    <w:p>
      <w:pPr>
        <w:pStyle w:val="TextBody"/>
        <w:spacing w:before="360" w:after="0"/>
        <w:jc w:val="left"/>
        <w:rPr>
          <w:rFonts w:ascii="Times New Roman" w:hAnsi="Times New Roman"/>
          <w:sz w:val="20"/>
        </w:rPr>
      </w:pPr>
      <w:r>
        <w:rPr>
          <w:rFonts w:ascii="Times New Roman" w:hAnsi="Times New Roman"/>
          <w:sz w:val="20"/>
        </w:rPr>
        <w:t xml:space="preserve">(32) Cybersecurity. </w:t>
      </w:r>
    </w:p>
    <w:p>
      <w:pPr>
        <w:pStyle w:val="TextBody"/>
        <w:spacing w:before="120" w:after="0"/>
        <w:jc w:val="left"/>
        <w:rPr>
          <w:rFonts w:ascii="Times New Roman" w:hAnsi="Times New Roman"/>
          <w:sz w:val="20"/>
        </w:rPr>
      </w:pPr>
      <w:r>
        <w:rPr>
          <w:rFonts w:ascii="Times New Roman" w:hAnsi="Times New Roman"/>
          <w:sz w:val="20"/>
        </w:rPr>
        <w:t>The Companys information technology assets and equipment, computers, systems, networks, hardware, software, websites, applications, and databases (collectively, </w:t>
      </w:r>
      <w:r>
        <w:rPr>
          <w:rFonts w:ascii="Times New Roman" w:hAnsi="Times New Roman"/>
          <w:sz w:val="20"/>
          <w:u w:val="single"/>
        </w:rPr>
        <w:t>IT Systems</w:t>
      </w:r>
      <w:r>
        <w:rPr>
          <w:rFonts w:ascii="Times New Roman" w:hAnsi="Times New Roman"/>
          <w:sz w:val="20"/>
        </w:rPr>
        <w:t xml:space="preserve">) owned by or utilized by the Company are adequate for, and operate and perform in all material respects as required in connection with the operation of the business of the Company as currently conducted, and are, to the knowledge of the Company, free and clear of all material bugs, errors, defects, Trojan horses, time bombs, malware and other corruptants. The Company has or has ensured that its relevant affiliate has implemented and maintained commercially reasonable physical, technical and administrative controls, policies, procedures, and safeguards to maintain and protect its material confidential information and the integrity, operation, redundancy and security of all IT Systems and data, including Personal Data, used in connection with their businesses. Personal Data means: (i) a natural persons name, street address, telephone number, e-mail address, photograph, social security number or tax identification number, drivers license number, passport number, credit card number, bank information, or customer or account number; (ii) any information which would qualify as personally identifying information under the Federal Trade Commission Act, as amended; (iii) personal data as defined by GDPR; and (iv) any other piece of information that allows the identification of such natural person, or his or her family, or permits the collection or analysis of any data related to an identified persons health or sexual orientation. There have been no breaches, violations, outages or unauthorized uses of or accesses to same, except for those that have been remedied without material cost or liability or the duty to notify any other person, nor any incidents under internal review or investigations relating to the same. The Company is presently in material compliance with all applicable laws or statutes and all judgments, orders, rules and regulations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 </w:t>
      </w:r>
    </w:p>
    <w:p>
      <w:pPr>
        <w:pStyle w:val="TextBody"/>
        <w:spacing w:before="360" w:after="0"/>
        <w:jc w:val="left"/>
        <w:rPr>
          <w:rFonts w:ascii="Times New Roman" w:hAnsi="Times New Roman"/>
          <w:sz w:val="20"/>
          <w:u w:val="single"/>
        </w:rPr>
      </w:pPr>
      <w:r>
        <w:rPr>
          <w:rFonts w:ascii="Times New Roman" w:hAnsi="Times New Roman"/>
          <w:sz w:val="20"/>
          <w:u w:val="single"/>
        </w:rPr>
        <w:t xml:space="preserve">(33) D&amp;O Questionnaires. </w:t>
      </w:r>
    </w:p>
    <w:p>
      <w:pPr>
        <w:pStyle w:val="TextBody"/>
        <w:spacing w:before="120" w:after="0"/>
        <w:jc w:val="left"/>
        <w:rPr>
          <w:rFonts w:ascii="Times New Roman" w:hAnsi="Times New Roman"/>
          <w:sz w:val="20"/>
        </w:rPr>
      </w:pPr>
      <w:r>
        <w:rPr>
          <w:rFonts w:ascii="Times New Roman" w:hAnsi="Times New Roman"/>
          <w:sz w:val="20"/>
        </w:rPr>
        <w:t>To the Companys knowledge, all information contained in the questionnaires (the </w:t>
      </w:r>
      <w:r>
        <w:rPr>
          <w:rFonts w:ascii="Times New Roman" w:hAnsi="Times New Roman"/>
          <w:sz w:val="20"/>
          <w:u w:val="single"/>
        </w:rPr>
        <w:t>Questionnaires</w:t>
      </w:r>
      <w:r>
        <w:rPr>
          <w:rFonts w:ascii="Times New Roman" w:hAnsi="Times New Roman"/>
          <w:sz w:val="20"/>
        </w:rPr>
        <w:t xml:space="preserve">) completed by each of the Companys executive officers, director nominees and directors and provided to the Underwriters is true and correct in all material respects and the Company has not become aware of any information which would cause the information disclosed in the Questionnaires completed by the Companys executive officers, director nominees or directors to become inaccurate and incorrect in any material respect. </w:t>
      </w:r>
    </w:p>
    <w:p>
      <w:pPr>
        <w:pStyle w:val="TextBody"/>
        <w:spacing w:before="360" w:after="0"/>
        <w:jc w:val="left"/>
        <w:rPr>
          <w:rFonts w:ascii="Times New Roman" w:hAnsi="Times New Roman"/>
          <w:sz w:val="20"/>
          <w:u w:val="single"/>
        </w:rPr>
      </w:pPr>
      <w:r>
        <w:rPr>
          <w:rFonts w:ascii="Times New Roman" w:hAnsi="Times New Roman"/>
          <w:sz w:val="20"/>
          <w:u w:val="single"/>
        </w:rPr>
        <w:t xml:space="preserve">(34) Initial Business Combination. </w:t>
      </w:r>
    </w:p>
    <w:p>
      <w:pPr>
        <w:pStyle w:val="TextBody"/>
        <w:spacing w:before="120" w:after="0"/>
        <w:jc w:val="left"/>
        <w:rPr>
          <w:rFonts w:ascii="Times New Roman" w:hAnsi="Times New Roman"/>
          <w:sz w:val="20"/>
        </w:rPr>
      </w:pPr>
      <w:r>
        <w:rPr>
          <w:rFonts w:ascii="Times New Roman" w:hAnsi="Times New Roman"/>
          <w:sz w:val="20"/>
        </w:rPr>
        <w:t xml:space="preserve">Except as disclosed in the Registration Statement, the Statutory Prospectus and the Prospectus, prior to the date hereof, the Company has not identified any business combination target and it has not, nor has anyone on its behalf, initiated any substantive discussions, directly or indirectly, with any business combination target. </w:t>
      </w:r>
    </w:p>
    <w:p>
      <w:pPr>
        <w:pStyle w:val="TextBody"/>
        <w:spacing w:before="360" w:after="0"/>
        <w:jc w:val="left"/>
        <w:rPr>
          <w:rFonts w:ascii="Times New Roman" w:hAnsi="Times New Roman"/>
          <w:sz w:val="20"/>
          <w:u w:val="single"/>
        </w:rPr>
      </w:pPr>
      <w:r>
        <w:rPr>
          <w:rFonts w:ascii="Times New Roman" w:hAnsi="Times New Roman"/>
          <w:sz w:val="20"/>
          <w:u w:val="single"/>
        </w:rPr>
        <w:t xml:space="preserve">(35) FINRA Matters. </w:t>
      </w:r>
    </w:p>
    <w:p>
      <w:pPr>
        <w:pStyle w:val="TextBody"/>
        <w:spacing w:before="120" w:after="0"/>
        <w:jc w:val="left"/>
        <w:rPr>
          <w:rFonts w:ascii="Times New Roman" w:hAnsi="Times New Roman"/>
          <w:sz w:val="20"/>
        </w:rPr>
      </w:pPr>
      <w:r>
        <w:rPr>
          <w:rFonts w:ascii="Times New Roman" w:hAnsi="Times New Roman"/>
          <w:sz w:val="20"/>
        </w:rPr>
        <w:t>(i) Except as described in the Statutory Prospectus and the Prospectus, there are no claims, payments, arrangements, contracts, agreements or understandings relating to the payment of a brokerage commission or finders, consulting, origination or similar fee by the Company, the Sponsor or any executive officer, director nominee or director of the Company, or their respective affiliates, with respect to the sale of the Securities hereunder or any other arrangements, agreements or understandings of the Company or, to the knowledge of the Company, the Sponsor or any executive officer, director nominee or director of the Company, or their respective affiliates, that may affect the Underwriters compensation, as determined by the Financial Industry Regulatory Authority (</w:t>
      </w:r>
      <w:r>
        <w:rPr>
          <w:rFonts w:ascii="Times New Roman" w:hAnsi="Times New Roman"/>
          <w:sz w:val="20"/>
          <w:u w:val="single"/>
        </w:rPr>
        <w:t>FINRA</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(ii) The Company has not made any direct or indirect payments (in cash, securities or any other type of underwriting compensation as defined in FINRA Rule 5110(j)(22) of FINRAs Conduct Rules and Supplementary Material .01 thereunder) to: (i) any person, as a finders fee, consulting fee or otherwise, in consideration of such person raising capital for the Company or introducing to the Company persons who raised or provided capital to the Company; (ii) to any person that, to the Companys knowledge, has been accepted by FINRA as a member of FINRA (a Member); or (iii) to any person or entity that, to the Companys knowledge, has any direct or indirect affiliation or association with any Member, within the 180- day period prior to the initial filing date of the Registration Statement, other than payments to the Underwriters pursuant to this Agreement. </w:t>
      </w:r>
    </w:p>
    <w:p>
      <w:pPr>
        <w:pStyle w:val="TextBody"/>
        <w:spacing w:before="240" w:after="0"/>
        <w:jc w:val="left"/>
        <w:rPr>
          <w:rFonts w:ascii="Times New Roman" w:hAnsi="Times New Roman"/>
          <w:sz w:val="20"/>
        </w:rPr>
      </w:pPr>
      <w:r>
        <w:rPr>
          <w:rFonts w:ascii="Times New Roman" w:hAnsi="Times New Roman"/>
          <w:sz w:val="20"/>
        </w:rPr>
        <w:t xml:space="preserve">(iii) Except as described in the Statutory Prospectus and the Prospectus, during the period beginning 180 days prior to the initial filing date and ending on the Effective Date, no Member and/or any person associated or affiliated with a Member has provided any investment banking, financial advisory and/or consulting services to the Company. No Participating Member (as defined in FINRA Rule 5110(j)(15)) in the Offering has received any underwriting compensation in connection with a public offering that has not been completed according to the terms of an agreement entered into by the Company and a Participating Member in the Offering. </w:t>
      </w:r>
    </w:p>
    <w:p>
      <w:pPr>
        <w:pStyle w:val="TextBody"/>
        <w:spacing w:before="240" w:after="0"/>
        <w:jc w:val="left"/>
        <w:rPr>
          <w:rFonts w:ascii="Times New Roman" w:hAnsi="Times New Roman"/>
          <w:sz w:val="20"/>
        </w:rPr>
      </w:pPr>
      <w:r>
        <w:rPr>
          <w:rFonts w:ascii="Times New Roman" w:hAnsi="Times New Roman"/>
          <w:sz w:val="20"/>
        </w:rPr>
        <w:t>(iv) Except as disclosed in the FINRA questionnaires provided to the Underwriters, to the Companys knowledge, no executive officer, director, or beneficial owner of any class of the Companys securities (whether debt or equity, registered or unregistered, regardless of the time acquired or the source from which derived) (any such individual or entity, a </w:t>
      </w:r>
      <w:r>
        <w:rPr>
          <w:rFonts w:ascii="Times New Roman" w:hAnsi="Times New Roman"/>
          <w:sz w:val="20"/>
          <w:u w:val="single"/>
        </w:rPr>
        <w:t>Company Affiliate</w:t>
      </w:r>
      <w:r>
        <w:rPr>
          <w:rFonts w:ascii="Times New Roman" w:hAnsi="Times New Roman"/>
          <w:sz w:val="20"/>
        </w:rPr>
        <w:t xml:space="preserve">) is a Member or a person associated or affiliated with a Member. </w:t>
      </w:r>
    </w:p>
    <w:p>
      <w:pPr>
        <w:pStyle w:val="TextBody"/>
        <w:spacing w:before="240" w:after="0"/>
        <w:jc w:val="left"/>
        <w:rPr>
          <w:rFonts w:ascii="Times New Roman" w:hAnsi="Times New Roman"/>
          <w:sz w:val="20"/>
        </w:rPr>
      </w:pPr>
      <w:r>
        <w:rPr>
          <w:rFonts w:ascii="Times New Roman" w:hAnsi="Times New Roman"/>
          <w:sz w:val="20"/>
        </w:rPr>
        <w:t xml:space="preserve">(v) Except as disclosed in the FINRA questionnaires provided to the Underwriters, to the Companys knowledge, no Company Affiliate is an owner of stock or other securities of any Member (other than securities purchased on the open market). </w:t>
      </w:r>
    </w:p>
    <w:p>
      <w:pPr>
        <w:pStyle w:val="TextBody"/>
        <w:spacing w:before="240" w:after="0"/>
        <w:jc w:val="left"/>
        <w:rPr>
          <w:rFonts w:ascii="Times New Roman" w:hAnsi="Times New Roman"/>
          <w:sz w:val="20"/>
        </w:rPr>
      </w:pPr>
      <w:r>
        <w:rPr>
          <w:rFonts w:ascii="Times New Roman" w:hAnsi="Times New Roman"/>
          <w:sz w:val="20"/>
        </w:rPr>
        <w:t xml:space="preserve">(vi) To the knowledge of the Company after due inquiry, no Company Affiliate has made a subordinated loan to any Member.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(vii) Except as described in the Registration Statement, the Statutory Prospectus and the Prospectus, no proceeds from the sale of the Securities (excluding underwriting compensation as disclosed in the Registration Statement, Statutory Prospectus and the Prospectus) will be paid by the Company to any Member, or any persons associated or affiliated with a Member. </w:t>
      </w:r>
    </w:p>
    <w:p>
      <w:pPr>
        <w:pStyle w:val="TextBody"/>
        <w:spacing w:before="240" w:after="0"/>
        <w:jc w:val="left"/>
        <w:rPr>
          <w:rFonts w:ascii="Times New Roman" w:hAnsi="Times New Roman"/>
          <w:sz w:val="20"/>
        </w:rPr>
      </w:pPr>
      <w:r>
        <w:rPr>
          <w:rFonts w:ascii="Times New Roman" w:hAnsi="Times New Roman"/>
          <w:sz w:val="20"/>
        </w:rPr>
        <w:t xml:space="preserve">(viii) The Company has not issued any warrants or other securities, or granted any options, directly or indirectly to anyone who is a potential underwriter in the Offering or a related person (as defined by FINRA rules) of such an underwriter within the 180-day period prior to the initial filing date of the Registration Statement. </w:t>
      </w:r>
    </w:p>
    <w:p>
      <w:pPr>
        <w:pStyle w:val="TextBody"/>
        <w:spacing w:before="240" w:after="0"/>
        <w:jc w:val="left"/>
        <w:rPr>
          <w:rFonts w:ascii="Times New Roman" w:hAnsi="Times New Roman"/>
          <w:sz w:val="20"/>
        </w:rPr>
      </w:pPr>
      <w:r>
        <w:rPr>
          <w:rFonts w:ascii="Times New Roman" w:hAnsi="Times New Roman"/>
          <w:sz w:val="20"/>
        </w:rPr>
        <w:t xml:space="preserve">(ix) No person to whom securities of the Company have been privately issued within the 180-day period prior to the initial filing date of the Registration Statement has, to the Companys knowledge, any relationship or affiliation or association with any Member intending to participate in the Offering. </w:t>
      </w:r>
    </w:p>
    <w:p>
      <w:pPr>
        <w:pStyle w:val="TextBody"/>
        <w:spacing w:before="240" w:after="0"/>
        <w:jc w:val="left"/>
        <w:rPr>
          <w:rFonts w:ascii="Times New Roman" w:hAnsi="Times New Roman"/>
          <w:sz w:val="20"/>
        </w:rPr>
      </w:pPr>
      <w:r>
        <w:rPr>
          <w:rFonts w:ascii="Times New Roman" w:hAnsi="Times New Roman"/>
          <w:sz w:val="20"/>
        </w:rPr>
        <w:t xml:space="preserve">(x) To the Companys knowledge, no Member intending to participate in the Offering has a conflict of interest with the Company. For this purpose, a conflict of interest means, if at the time of the Members participation in the Offering, any of the following applies: (A) the securities are to be issued by the Member; (B) the Company controls, is controlled by or is under common control with the Member or the Members associated persons; (C) at least five (5%) percent of the net offering proceeds, not including underwriting compensation, are intended to be: (i) used to reduce or retire the balance of a loan or credit facility extended by the Member, its affiliates and its associated persons, in the aggregate; or (ii) otherwise directed to the Member, its affiliates and associated persons, in the aggregate; or (D) as a result of the Offering and any transactions contemplated at the time of the Offering: (i) the Member will be an affiliate of the Company; (ii) the Member will become publicly owned; or (iii) the Company will become a Member or form a broker-dealer subsidiary. Member intending to participate in the Offering includes any associated person of a Member that is participating in the Offering, any members of such associated persons immediate family, and any affiliate of a Member that is participating in the Offering. </w:t>
      </w:r>
    </w:p>
    <w:p>
      <w:pPr>
        <w:pStyle w:val="TextBody"/>
        <w:spacing w:before="360" w:after="0"/>
        <w:jc w:val="left"/>
        <w:rPr>
          <w:rFonts w:ascii="Times New Roman" w:hAnsi="Times New Roman"/>
          <w:sz w:val="20"/>
          <w:u w:val="single"/>
        </w:rPr>
      </w:pPr>
      <w:r>
        <w:rPr>
          <w:rFonts w:ascii="Times New Roman" w:hAnsi="Times New Roman"/>
          <w:sz w:val="20"/>
          <w:u w:val="single"/>
        </w:rPr>
        <w:t xml:space="preserve">(36) Non-Competition Agreements. </w:t>
      </w:r>
    </w:p>
    <w:p>
      <w:pPr>
        <w:pStyle w:val="TextBody"/>
        <w:spacing w:before="120" w:after="0"/>
        <w:jc w:val="left"/>
        <w:rPr>
          <w:rFonts w:ascii="Times New Roman" w:hAnsi="Times New Roman"/>
          <w:sz w:val="20"/>
        </w:rPr>
      </w:pPr>
      <w:r>
        <w:rPr>
          <w:rFonts w:ascii="Times New Roman" w:hAnsi="Times New Roman"/>
          <w:sz w:val="20"/>
        </w:rPr>
        <w:t xml:space="preserve">Except as described in the Statutory Prospectus and the Prospectus, to the Companys knowledge, none of the Sponsor, directors or executive officers of the Company is subject to a non-competition agreement or non-solicitation agreement with any employer or prior employer which could materially affect his, her or its ability to be and act in the capacity of shareholder, executive officer or director of the Company, as applicable. </w:t>
      </w:r>
    </w:p>
    <w:p>
      <w:pPr>
        <w:pStyle w:val="TextBody"/>
        <w:spacing w:before="360" w:after="0"/>
        <w:jc w:val="left"/>
        <w:rPr>
          <w:rFonts w:ascii="Times New Roman" w:hAnsi="Times New Roman"/>
          <w:sz w:val="20"/>
          <w:u w:val="single"/>
        </w:rPr>
      </w:pPr>
      <w:r>
        <w:rPr>
          <w:rFonts w:ascii="Times New Roman" w:hAnsi="Times New Roman"/>
          <w:sz w:val="20"/>
          <w:u w:val="single"/>
        </w:rPr>
        <w:t xml:space="preserve">(37) Subsidiaries. </w:t>
      </w:r>
    </w:p>
    <w:p>
      <w:pPr>
        <w:pStyle w:val="TextBody"/>
        <w:spacing w:before="120" w:after="0"/>
        <w:jc w:val="left"/>
        <w:rPr>
          <w:rFonts w:ascii="Times New Roman" w:hAnsi="Times New Roman"/>
          <w:sz w:val="20"/>
        </w:rPr>
      </w:pPr>
      <w:r>
        <w:rPr>
          <w:rFonts w:ascii="Times New Roman" w:hAnsi="Times New Roman"/>
          <w:sz w:val="20"/>
        </w:rPr>
        <w:t xml:space="preserve">The Company does not own an interest in any corporation, partnership, limited liability company, joint venture, trust or other entity. </w:t>
      </w:r>
    </w:p>
    <w:p>
      <w:pPr>
        <w:pStyle w:val="TextBody"/>
        <w:spacing w:before="360" w:after="0"/>
        <w:jc w:val="left"/>
        <w:rPr>
          <w:rFonts w:ascii="Times New Roman" w:hAnsi="Times New Roman"/>
          <w:sz w:val="20"/>
          <w:u w:val="single"/>
        </w:rPr>
      </w:pPr>
      <w:r>
        <w:rPr>
          <w:rFonts w:ascii="Times New Roman" w:hAnsi="Times New Roman"/>
          <w:sz w:val="20"/>
          <w:u w:val="single"/>
        </w:rPr>
        <w:t xml:space="preserve">(38) Related Party Transactions. </w:t>
      </w:r>
    </w:p>
    <w:p>
      <w:pPr>
        <w:pStyle w:val="TextBody"/>
        <w:spacing w:before="120" w:after="0"/>
        <w:jc w:val="left"/>
        <w:rPr>
          <w:rFonts w:ascii="Times New Roman" w:hAnsi="Times New Roman"/>
          <w:sz w:val="20"/>
        </w:rPr>
      </w:pPr>
      <w:r>
        <w:rPr>
          <w:rFonts w:ascii="Times New Roman" w:hAnsi="Times New Roman"/>
          <w:sz w:val="20"/>
        </w:rPr>
        <w:t xml:space="preserve">No relationship, direct or indirect, exists between or among any of the Company or any affiliate of the Company, on the one hand, and the Sponsor or any director, director nominee, executive officer, shareholder, special advisor, customer or supplier of the Company or any affiliate of the Company, on the other hand, which is required by the Act or the Exchange Act to be described in the Registration Statement, Statutory Prospectus or the Prospectus which is not described as required. There are no outstanding loans, advances (except normal advances for business expenses in the ordinary course of business) or guarantees of indebtedness by the Company to or for the benefit of any of the executive officers, director nominees or directors of the Company or any of their respective family members, except as disclosed in the Registration Statement, Statutory Prospectus and the Prospectus. The Company has not extended or maintained credit, arranged for the extension of credit, or renewed an extension of credit, in the form of a personal loan to or for any director or officer of the Company. </w:t>
      </w:r>
    </w:p>
    <w:p>
      <w:pPr>
        <w:pStyle w:val="TextBody"/>
        <w:spacing w:before="360" w:after="0"/>
        <w:jc w:val="left"/>
        <w:rPr>
          <w:rFonts w:ascii="Times New Roman" w:hAnsi="Times New Roman"/>
          <w:sz w:val="20"/>
          <w:u w:val="single"/>
        </w:rPr>
      </w:pPr>
      <w:r>
        <w:rPr>
          <w:rFonts w:ascii="Times New Roman" w:hAnsi="Times New Roman"/>
          <w:sz w:val="20"/>
          <w:u w:val="single"/>
        </w:rPr>
        <w:t xml:space="preserve">(39) Free Writing Prospectus. </w:t>
      </w:r>
    </w:p>
    <w:p>
      <w:pPr>
        <w:pStyle w:val="TextBody"/>
        <w:spacing w:before="120" w:after="0"/>
        <w:jc w:val="left"/>
        <w:rPr>
          <w:rFonts w:ascii="Times New Roman" w:hAnsi="Times New Roman"/>
          <w:sz w:val="20"/>
        </w:rPr>
      </w:pPr>
      <w:r>
        <w:rPr>
          <w:rFonts w:ascii="Times New Roman" w:hAnsi="Times New Roman"/>
          <w:sz w:val="20"/>
        </w:rPr>
        <w:t xml:space="preserve">The Company has not prepared or used a Free Writing Prospectus.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u w:val="single"/>
        </w:rPr>
      </w:pPr>
      <w:r>
        <w:rPr>
          <w:rFonts w:ascii="Times New Roman" w:hAnsi="Times New Roman"/>
          <w:sz w:val="20"/>
          <w:u w:val="single"/>
        </w:rPr>
        <w:t xml:space="preserve">(40) Rule 419. </w:t>
      </w:r>
    </w:p>
    <w:p>
      <w:pPr>
        <w:pStyle w:val="TextBody"/>
        <w:spacing w:before="120" w:after="0"/>
        <w:jc w:val="left"/>
        <w:rPr>
          <w:rFonts w:ascii="Times New Roman" w:hAnsi="Times New Roman"/>
          <w:sz w:val="20"/>
        </w:rPr>
      </w:pPr>
      <w:r>
        <w:rPr>
          <w:rFonts w:ascii="Times New Roman" w:hAnsi="Times New Roman"/>
          <w:sz w:val="20"/>
        </w:rPr>
        <w:t xml:space="preserve">Upon delivery and payment for the Underwritten Securities on the Closing Date and the filing of the Closing Form 8-K, the Company will not be subject to Rule 419 under the Act and none of the Companys outstanding securities will be deemed to be a penny stock as defined in Rule 3a51-1 under the Exchange Act. </w:t>
      </w:r>
    </w:p>
    <w:p>
      <w:pPr>
        <w:pStyle w:val="TextBody"/>
        <w:spacing w:before="360" w:after="0"/>
        <w:jc w:val="left"/>
        <w:rPr>
          <w:rFonts w:ascii="Times New Roman" w:hAnsi="Times New Roman"/>
          <w:sz w:val="20"/>
          <w:u w:val="single"/>
        </w:rPr>
      </w:pPr>
      <w:r>
        <w:rPr>
          <w:rFonts w:ascii="Times New Roman" w:hAnsi="Times New Roman"/>
          <w:sz w:val="20"/>
          <w:u w:val="single"/>
        </w:rPr>
        <w:t xml:space="preserve">(41) Nasdaq Capital Markets Marketplace Rules. </w:t>
      </w:r>
    </w:p>
    <w:p>
      <w:pPr>
        <w:pStyle w:val="TextBody"/>
        <w:spacing w:before="120" w:after="0"/>
        <w:jc w:val="left"/>
        <w:rPr>
          <w:rFonts w:ascii="Times New Roman" w:hAnsi="Times New Roman"/>
          <w:sz w:val="20"/>
        </w:rPr>
      </w:pPr>
      <w:r>
        <w:rPr>
          <w:rFonts w:ascii="Times New Roman" w:hAnsi="Times New Roman"/>
          <w:sz w:val="20"/>
        </w:rPr>
        <w:t xml:space="preserve">There is and has been no failure on the part of the Company or, to the knowledge of the Company, any of the Companys executive officers or directors, in their capacities as such, to comply with (as and when applicable), and immediately following the Effective Date the Company will be in compliance with, the requirements of IM-5605 of the Nasdaq Marketplace Rules. Further, there is and has been no failure on the part of the Company or, to the knowledge of the Company, any of the Companys executive officers or directors, in their capacities as such, to comply with (as and when applicable), and immediately following the Effective Date the Company will be in compliance with, the phase-in requirements and all other provisions of the Nasdaq Capital Market corporate governance requirements set forth in the Nasdaq Marketplace Rules. </w:t>
      </w:r>
    </w:p>
    <w:p>
      <w:pPr>
        <w:pStyle w:val="TextBody"/>
        <w:spacing w:before="360" w:after="0"/>
        <w:jc w:val="left"/>
        <w:rPr>
          <w:rFonts w:ascii="Times New Roman" w:hAnsi="Times New Roman"/>
          <w:sz w:val="20"/>
          <w:u w:val="single"/>
        </w:rPr>
      </w:pPr>
      <w:r>
        <w:rPr>
          <w:rFonts w:ascii="Times New Roman" w:hAnsi="Times New Roman"/>
          <w:sz w:val="20"/>
          <w:u w:val="single"/>
        </w:rPr>
        <w:t xml:space="preserve">(42) Emerging Growth Company. </w:t>
      </w:r>
    </w:p>
    <w:p>
      <w:pPr>
        <w:pStyle w:val="TextBody"/>
        <w:spacing w:before="120" w:after="0"/>
        <w:jc w:val="left"/>
        <w:rPr>
          <w:rFonts w:ascii="Times New Roman" w:hAnsi="Times New Roman"/>
          <w:sz w:val="20"/>
        </w:rPr>
      </w:pPr>
      <w:r>
        <w:rPr>
          <w:rFonts w:ascii="Times New Roman" w:hAnsi="Times New Roman"/>
          <w:sz w:val="20"/>
        </w:rPr>
        <w:t>From the time of the initial confidential submission of the Registration Statement to the Commission (or, if earlier, the first date on which the Company engaged directly or through any person authorized to act on its behalf in any Testing-the-Waters Communication) through the Execution Time, the Company has been and is an emerging growth company, as defined in Section 2(a) of the Act (an </w:t>
      </w:r>
      <w:r>
        <w:rPr>
          <w:rFonts w:ascii="Times New Roman" w:hAnsi="Times New Roman"/>
          <w:sz w:val="20"/>
          <w:u w:val="single"/>
        </w:rPr>
        <w:t>Emerging Growth Company</w:t>
      </w:r>
      <w:r>
        <w:rPr>
          <w:rFonts w:ascii="Times New Roman" w:hAnsi="Times New Roman"/>
          <w:sz w:val="20"/>
        </w:rPr>
        <w:t xml:space="preserve">). Testing-the-Waters Communication means any oral or written communication with potential investors undertaken in reliance on Section 5(d) or Rule 163B of the Act. </w:t>
      </w:r>
    </w:p>
    <w:p>
      <w:pPr>
        <w:pStyle w:val="TextBody"/>
        <w:spacing w:before="360" w:after="0"/>
        <w:jc w:val="left"/>
        <w:rPr>
          <w:rFonts w:ascii="Times New Roman" w:hAnsi="Times New Roman"/>
          <w:sz w:val="20"/>
          <w:u w:val="single"/>
        </w:rPr>
      </w:pPr>
      <w:r>
        <w:rPr>
          <w:rFonts w:ascii="Times New Roman" w:hAnsi="Times New Roman"/>
          <w:sz w:val="20"/>
          <w:u w:val="single"/>
        </w:rPr>
        <w:t xml:space="preserve">(43) Testing-the-Waters. </w:t>
      </w:r>
    </w:p>
    <w:p>
      <w:pPr>
        <w:pStyle w:val="TextBody"/>
        <w:spacing w:before="120" w:after="0"/>
        <w:jc w:val="left"/>
        <w:rPr>
          <w:rFonts w:ascii="Times New Roman" w:hAnsi="Times New Roman"/>
          <w:sz w:val="20"/>
        </w:rPr>
      </w:pPr>
      <w:r>
        <w:rPr>
          <w:rFonts w:ascii="Times New Roman" w:hAnsi="Times New Roman"/>
          <w:sz w:val="20"/>
        </w:rPr>
        <w:t xml:space="preserve">The Company (i) has not alone engaged in any Testing-the-Waters Communication other than Testing-the-Waters Communications with the consent of the Underwriters with entities that are qualified institutional buyers within the meaning of Rule 144A under the Act or institutions that are accredited investors within the meaning of Rule 501 under the Act and (ii) has not authorized anyone other than the Underwriters to engage in Testing-the-Waters Communications. The Company reconfirms that the Underwriters have been authorized to act on its behalf in undertaking Testing-the-Waters Communications. The Company has not distributed any Written Testing-the-Waters Communications other than those listed on Schedule III hereto. Written Testing-the-Waters Communication means any Testing-the-Waters Communication that is a written communication within the meaning of Rule 405 under the Act. Any certificate signed by any officer of the Company and delivered to the Underwriters or counsel for the Underwriters in connection with the Offering shall be deemed a representation and warranty by the Company, as to matters covered thereby, to each Underwriter. </w:t>
      </w:r>
    </w:p>
    <w:p>
      <w:pPr>
        <w:pStyle w:val="TextBody"/>
        <w:spacing w:before="360" w:after="0"/>
        <w:jc w:val="left"/>
        <w:rPr>
          <w:rFonts w:ascii="Times New Roman" w:hAnsi="Times New Roman"/>
          <w:b/>
          <w:sz w:val="20"/>
        </w:rPr>
      </w:pPr>
      <w:r>
        <w:rPr>
          <w:rFonts w:ascii="Times New Roman" w:hAnsi="Times New Roman"/>
          <w:b/>
          <w:sz w:val="20"/>
        </w:rPr>
        <w:t xml:space="preserve">2. Purchase and Sale. </w:t>
      </w:r>
    </w:p>
    <w:p>
      <w:pPr>
        <w:pStyle w:val="TextBody"/>
        <w:spacing w:before="120" w:after="0"/>
        <w:jc w:val="left"/>
        <w:rPr>
          <w:rFonts w:ascii="Times New Roman" w:hAnsi="Times New Roman"/>
          <w:sz w:val="20"/>
        </w:rPr>
      </w:pPr>
      <w:r>
        <w:rPr>
          <w:rFonts w:ascii="Times New Roman" w:hAnsi="Times New Roman"/>
          <w:sz w:val="20"/>
        </w:rPr>
        <w:t xml:space="preserve">(a) Subject to the terms and conditions and in reliance upon the representations and warranties herein set forth, the Company agrees to sell to each Underwriter, and each Underwriter agrees, severally and not jointly, to purchase from the Company, at a purchase price of $9.80 per Unit, the amount of the Underwritten Securities set forth opposite such Underwriters name in Schedule I hereto. </w:t>
      </w:r>
    </w:p>
    <w:p>
      <w:pPr>
        <w:pStyle w:val="TextBody"/>
        <w:spacing w:before="240" w:after="0"/>
        <w:jc w:val="left"/>
        <w:rPr>
          <w:rFonts w:ascii="Times New Roman" w:hAnsi="Times New Roman"/>
          <w:sz w:val="20"/>
        </w:rPr>
      </w:pPr>
      <w:r>
        <w:rPr>
          <w:rFonts w:ascii="Times New Roman" w:hAnsi="Times New Roman"/>
          <w:sz w:val="20"/>
        </w:rPr>
        <w:t xml:space="preserve">(b) Subject to the terms and conditions and in reliance upon the representations and warranties set forth herein, the Company hereby grants an option to the several Underwriters to purchase, severally and not jointly, up to 4,125,000 Option Securities at the same purchase price per Unit as the Underwriters shall pay for the Underwritten Securities. This option may be exercised only to cover over-allotments in the sale of the Underwritten Securities by the Underwriters. This option may be exercised in whole or in part at any time on or before the 45th day after the date of the Prospectus upon written or telegraphic notice by the Underwriters to the Company setting forth the number of Option Securities as to which the several Underwriters are exercising the option and the settlement date.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Each Underwriter shall purchase the same percentage of the total number of Option Securities to be purchased by the several Underwriters as such Underwriter is purchasing of the Underwritten Securities, subject to such adjustments as the Underwriters in their absolute discretion shall make to eliminate any fractional shares. </w:t>
      </w:r>
    </w:p>
    <w:p>
      <w:pPr>
        <w:pStyle w:val="TextBody"/>
        <w:spacing w:before="240" w:after="0"/>
        <w:jc w:val="left"/>
        <w:rPr>
          <w:rFonts w:ascii="Times New Roman" w:hAnsi="Times New Roman"/>
          <w:sz w:val="20"/>
        </w:rPr>
      </w:pPr>
      <w:r>
        <w:rPr>
          <w:rFonts w:ascii="Times New Roman" w:hAnsi="Times New Roman"/>
          <w:sz w:val="20"/>
        </w:rPr>
        <w:t>(c) In addition to the discount from the public offering price represented by the purchase price set forth in the first sentence of Section 2(a) of this Agreement, the Company hereby agrees to pay to the Underwriters a deferred discount of $0.35 per Unit (for both Underwritten Securities and Option Securities) purchased hereunder (the </w:t>
      </w:r>
      <w:r>
        <w:rPr>
          <w:rFonts w:ascii="Times New Roman" w:hAnsi="Times New Roman"/>
          <w:sz w:val="20"/>
          <w:u w:val="single"/>
        </w:rPr>
        <w:t>Deferred Discount</w:t>
      </w:r>
      <w:r>
        <w:rPr>
          <w:rFonts w:ascii="Times New Roman" w:hAnsi="Times New Roman"/>
          <w:sz w:val="20"/>
        </w:rPr>
        <w:t>). The Deferred Discount will be paid directly to the Underwriters, on behalf of the Underwriters, by the Trustee from amounts on deposit in the Trust Account by wire transfer if and when the Company consummates an Initial Business Combination. The Underwriters hereby agree that if no Initial Business Combination is consummated within the time period provided in the Trust Agreement and the funds held under the Trust Agreement are distributed to the holders of the Ordinary Shares included in the Securities sold pursuant to this Agreement (the </w:t>
      </w:r>
      <w:r>
        <w:rPr>
          <w:rFonts w:ascii="Times New Roman" w:hAnsi="Times New Roman"/>
          <w:sz w:val="20"/>
          <w:u w:val="single"/>
        </w:rPr>
        <w:t>Public Shareholders</w:t>
      </w:r>
      <w:r>
        <w:rPr>
          <w:rFonts w:ascii="Times New Roman" w:hAnsi="Times New Roman"/>
          <w:sz w:val="20"/>
        </w:rPr>
        <w:t xml:space="preserve">), (i) the Underwriters will forfeit any rights or claims to the Deferred Discount and (ii) the Trustee under the Trust Agreement is authorized to distribute the Deferred Discount to the Public Shareholders on a pro rata basis. </w:t>
      </w:r>
    </w:p>
    <w:p>
      <w:pPr>
        <w:pStyle w:val="TextBody"/>
        <w:spacing w:before="360" w:after="0"/>
        <w:jc w:val="left"/>
        <w:rPr>
          <w:rFonts w:ascii="Times New Roman" w:hAnsi="Times New Roman"/>
          <w:b/>
          <w:sz w:val="20"/>
        </w:rPr>
      </w:pPr>
      <w:r>
        <w:rPr>
          <w:rFonts w:ascii="Times New Roman" w:hAnsi="Times New Roman"/>
          <w:b/>
          <w:sz w:val="20"/>
        </w:rPr>
        <w:t xml:space="preserve">3. Delivery and Payment. </w:t>
      </w:r>
    </w:p>
    <w:p>
      <w:pPr>
        <w:pStyle w:val="TextBody"/>
        <w:spacing w:before="120" w:after="0"/>
        <w:jc w:val="left"/>
        <w:rPr>
          <w:rFonts w:ascii="Times New Roman" w:hAnsi="Times New Roman"/>
          <w:sz w:val="20"/>
        </w:rPr>
      </w:pPr>
      <w:r>
        <w:rPr>
          <w:rFonts w:ascii="Times New Roman" w:hAnsi="Times New Roman"/>
          <w:sz w:val="20"/>
        </w:rPr>
        <w:t>(a) Delivery of and payment for the Underwritten Securities and the Option Securities (if the option provided for in Section 2(b) hereof shall have been exercised on or before the second (2nd) Business Day prior to the Closing Date) shall be made at 10:00 a.m., New York City time, on March 25, 2021, or at such time on such later date at least two (2) Business Days after the foregoing date as the Underwriters shall designate, which date and time may be postponed by agreement between the Underwriters and the Company or as provided in Section 9 hereof (such date and time of delivery and payment for the Securities being herein called the </w:t>
      </w:r>
      <w:r>
        <w:rPr>
          <w:rFonts w:ascii="Times New Roman" w:hAnsi="Times New Roman"/>
          <w:sz w:val="20"/>
          <w:u w:val="single"/>
        </w:rPr>
        <w:t>Closing Date</w:t>
      </w:r>
      <w:r>
        <w:rPr>
          <w:rFonts w:ascii="Times New Roman" w:hAnsi="Times New Roman"/>
          <w:sz w:val="20"/>
        </w:rPr>
        <w:t xml:space="preserve">). Delivery of the Securities shall be made to the Underwriters for the respective accounts of the several Underwriters against payment by the several Underwriters through the Underwriters of the purchase price thereof by wire transfer payable in same-day funds to an account specified by the Company and to the Trust Account as described below in this </w:t>
      </w:r>
      <w:r>
        <w:rPr>
          <w:rFonts w:ascii="Times New Roman" w:hAnsi="Times New Roman"/>
          <w:sz w:val="20"/>
          <w:u w:val="single"/>
        </w:rPr>
        <w:t>Section 3</w:t>
      </w:r>
      <w:r>
        <w:rPr>
          <w:rFonts w:ascii="Times New Roman" w:hAnsi="Times New Roman"/>
          <w:sz w:val="20"/>
        </w:rPr>
        <w:t>. Delivery of the Underwritten Securities and the Option Securities shall be made through the facilities of The Depository Trust Company (</w:t>
      </w:r>
      <w:r>
        <w:rPr>
          <w:rFonts w:ascii="Times New Roman" w:hAnsi="Times New Roman"/>
          <w:sz w:val="20"/>
          <w:u w:val="single"/>
        </w:rPr>
        <w:t>DTC</w:t>
      </w:r>
      <w:r>
        <w:rPr>
          <w:rFonts w:ascii="Times New Roman" w:hAnsi="Times New Roman"/>
          <w:sz w:val="20"/>
        </w:rPr>
        <w:t xml:space="preserve">) unless the Underwriters shall otherwise instruct. </w:t>
      </w:r>
    </w:p>
    <w:p>
      <w:pPr>
        <w:pStyle w:val="TextBody"/>
        <w:spacing w:before="240" w:after="0"/>
        <w:jc w:val="left"/>
        <w:rPr>
          <w:rFonts w:ascii="Times New Roman" w:hAnsi="Times New Roman"/>
          <w:sz w:val="20"/>
        </w:rPr>
      </w:pPr>
      <w:r>
        <w:rPr>
          <w:rFonts w:ascii="Times New Roman" w:hAnsi="Times New Roman"/>
          <w:sz w:val="20"/>
        </w:rPr>
        <w:t xml:space="preserve">(b) Payment for the Underwritten Securities shall be made as follows: $275,000,000 of the proceeds received by the Company for the Underwritten Securities, including $9,625,000 of the Deferred Discount, shall be deposited in the Trust Account pursuant to the terms of the Trust Agreement along with such portion of the gross proceeds of the Private Placement Warrants in order for the Trust Account to equal the product of the number of Units sold and the public offering price per Unit as set forth on the cover of the Prospectus upon delivery to the Underwriters of the Underwritten Securities through the facilities of DTC or, if the Underwriters have otherwise instructed, upon delivery to the Underwriters of certificates (in form and substance satisfactory to the Underwriters) representing the Underwritten Securities, in each case for the account of the Underwriters. The Underwritten Securities shall be registered in such name or names and in such authorized denominations as the Underwriters may request in writing at least two (2) Business Days prior to the Closing Date. If delivery is not made through the facilities of DTC, the Company will permit the Underwriters to examine and package the Underwritten Securities for delivery, at least one (1) Business Day prior to the Closing Date. The Company shall not be obligated to sell or deliver the Underwritten Securities except upon tender of payment by the Underwriters for all the Underwritten Securities. Payment by the Underwriters for the Underwritten Securities is contingent on the payment by the Sponsor to the Trust Account for the Private Placement Warrants at least one (1) Business Day prior to the Closing Date. </w:t>
      </w:r>
    </w:p>
    <w:p>
      <w:pPr>
        <w:pStyle w:val="TextBody"/>
        <w:spacing w:before="240" w:after="0"/>
        <w:jc w:val="left"/>
        <w:rPr>
          <w:rFonts w:ascii="Times New Roman" w:hAnsi="Times New Roman"/>
          <w:sz w:val="20"/>
        </w:rPr>
      </w:pPr>
      <w:r>
        <w:rPr>
          <w:rFonts w:ascii="Times New Roman" w:hAnsi="Times New Roman"/>
          <w:sz w:val="20"/>
        </w:rPr>
        <w:t xml:space="preserve">(c) Payment for the Option Securities shall be made as follows: $9.80 per Option Security (including any Deferred Discount attributable to the Option Securities), shall be deposited in the Trust Account pursuant to the terms of the Trust Agreement along with such portion of the gross proceeds of the Private Placement Warrants in order for the Trust Account to equal the product of the number of Units sold and the public offering price per Unit as set forth on the cover of the Prospectus upon delivery to the Underwriters of the Option Securities through the facilities of DTC or, if the Underwriters have otherwise instructed, upon delivery to the Underwriters of certificates (in form and substance satisfactory to the Underwriters) representing the Option Securities (or through the facilities of DTC) for the account of the Underwriters. The Option Securities shall be registered in such name or names and in such authorized denominations as the Underwriters may request in writing at least two (2) Business Days prior to the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Closing Date. If delivery is not made through the facilities of DTC, the Company will permit the Underwriters to examine and package the Option Securities for delivery, at least one (1) Business Day prior to the Closing Date. The Company shall not be obligated to sell or deliver the Option Securities except upon tender of payment by the Underwriters for all the Option Securities. Payment by the Underwriters for the Option Securities is contingent on the payment by the Sponsor to the Trust Account for the Private Placement Warrants at least one (1) Business Day prior to the applicable settlement date. </w:t>
      </w:r>
    </w:p>
    <w:p>
      <w:pPr>
        <w:pStyle w:val="TextBody"/>
        <w:spacing w:before="240" w:after="0"/>
        <w:jc w:val="left"/>
        <w:rPr>
          <w:rFonts w:ascii="Times New Roman" w:hAnsi="Times New Roman"/>
          <w:sz w:val="20"/>
        </w:rPr>
      </w:pPr>
      <w:r>
        <w:rPr>
          <w:rFonts w:ascii="Times New Roman" w:hAnsi="Times New Roman"/>
          <w:sz w:val="20"/>
        </w:rPr>
        <w:t xml:space="preserve">(d) If the option provided for in Section 2(b) hereof is exercised after the second (2nd) Business Day prior to the Closing Date, the Company will deliver the Option Securities (at the expense of the Company) to the Underwriters, at c/o Citigroup Global Markets Inc., at 388 Greenwich Street, New York, New York, on the date specified by the Underwriters (which shall be within three (3) Business Days after exercise of said option) for the respective accounts of the several Underwriters, against payment by the several Underwriters of the purchase price thereof to the Trust Account as described above in Section 3(c). If settlement for the Option Securities occurs after the Closing Date, the Company will deliver to the Underwriters on the settlement date for the Option Securities, and the obligation of the Underwriters to purchase the Option Securities shall be conditioned upon receipt of, supplemental opinions, certificates and letters confirming as of such date the opinions, certificates and letters delivered on the Closing Date pursuant to Section 6 hereof. </w:t>
      </w:r>
    </w:p>
    <w:p>
      <w:pPr>
        <w:pStyle w:val="TextBody"/>
        <w:spacing w:before="360" w:after="0"/>
        <w:jc w:val="left"/>
        <w:rPr>
          <w:rFonts w:ascii="Times New Roman" w:hAnsi="Times New Roman"/>
          <w:b/>
          <w:sz w:val="20"/>
        </w:rPr>
      </w:pPr>
      <w:r>
        <w:rPr>
          <w:rFonts w:ascii="Times New Roman" w:hAnsi="Times New Roman"/>
          <w:b/>
          <w:sz w:val="20"/>
        </w:rPr>
        <w:t xml:space="preserve">4. Offering by Underwriters. </w:t>
      </w:r>
    </w:p>
    <w:p>
      <w:pPr>
        <w:pStyle w:val="TextBody"/>
        <w:spacing w:before="120" w:after="0"/>
        <w:jc w:val="left"/>
        <w:rPr>
          <w:rFonts w:ascii="Times New Roman" w:hAnsi="Times New Roman"/>
          <w:sz w:val="20"/>
        </w:rPr>
      </w:pPr>
      <w:r>
        <w:rPr>
          <w:rFonts w:ascii="Times New Roman" w:hAnsi="Times New Roman"/>
          <w:sz w:val="20"/>
        </w:rPr>
        <w:t xml:space="preserve">It is understood that the several Underwriters propose to offer the Securities for sale to the public as set forth in the Prospectus. </w:t>
      </w:r>
    </w:p>
    <w:p>
      <w:pPr>
        <w:pStyle w:val="TextBody"/>
        <w:spacing w:before="360" w:after="0"/>
        <w:jc w:val="left"/>
        <w:rPr>
          <w:rFonts w:ascii="Times New Roman" w:hAnsi="Times New Roman"/>
          <w:b/>
          <w:sz w:val="20"/>
        </w:rPr>
      </w:pPr>
      <w:r>
        <w:rPr>
          <w:rFonts w:ascii="Times New Roman" w:hAnsi="Times New Roman"/>
          <w:b/>
          <w:sz w:val="20"/>
        </w:rPr>
        <w:t xml:space="preserve">5. Agreements. </w:t>
      </w:r>
    </w:p>
    <w:p>
      <w:pPr>
        <w:pStyle w:val="TextBody"/>
        <w:spacing w:before="120" w:after="0"/>
        <w:jc w:val="left"/>
        <w:rPr>
          <w:rFonts w:ascii="Times New Roman" w:hAnsi="Times New Roman"/>
          <w:sz w:val="20"/>
        </w:rPr>
      </w:pPr>
      <w:r>
        <w:rPr>
          <w:rFonts w:ascii="Times New Roman" w:hAnsi="Times New Roman"/>
          <w:sz w:val="20"/>
        </w:rPr>
        <w:t xml:space="preserve">The Company agrees with the several Underwriters that: </w:t>
      </w:r>
    </w:p>
    <w:p>
      <w:pPr>
        <w:pStyle w:val="TextBody"/>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Filing of Prospectus; Notice to Underwriters; Stop Orders</w:t>
      </w:r>
      <w:r>
        <w:rPr>
          <w:rFonts w:ascii="Times New Roman" w:hAnsi="Times New Roman"/>
          <w:sz w:val="20"/>
        </w:rPr>
        <w:t xml:space="preserve">. Prior to the termination of the Offering, the Company will not file any amendment to the Registration Statement or supplement to the Prospectus or any Rule 462(b) Registration Statement unless the Company has furnished you a copy for your review prior to filing and will not file any such proposed amendment or supplement to which the Underwriters reasonably objects. The Company will cause the Prospectus, properly completed, and any supplement thereto to be filed in a form approved by the Underwriters with the Commission pursuant to the applicable paragraph of Rule 424(b) within the time period prescribed and will provide evidence satisfactory to the Underwriters of such timely filing. The Company will promptly advise the Underwriters: (i) when the Prospectus, and any supplement thereto, shall have been filed (if required) with the Commission pursuant to Rule 424(b) or when any Rule 462(b) Registration Statement or any Written Testing-the-Waters Communication shall have been filed with the Commission; (ii) when, prior to termination of the Offering, any amendment to the Registration Statement shall have been filed or become effective; (iii) of any request by the Commission or its staff for any amendment of the Registration Statement, or any Rule 462(b) Registration Statement, or any Written Testing-the-Waters Communications or for any supplement to the Prospectus or for any additional information; (iv) of the issuance by the Commission of any stop order suspending the effectiveness of the Registration Statement or of any notice objecting to its use or the institution or threatening of any proceeding for that purpose or pursuant to Section 8A of the Act; and (v) of the receipt by the Company of any notification with respect to the suspension of the qualification of the Securities for sale in any jurisdiction or the institution or threatening of any proceeding for such purpose. The Company will use its best efforts to prevent the issuance of any such stop order or the occurrence of any such suspension or objection to the use of the Registration Statement and, upon such issuance, occurrence or notice of objection, to obtain as soon as possible the withdrawal of such stop order or relief from such occurrence or objection, including, if necessary, by filing an amendment to the Registration Statement or a new registration statement and using its best efforts to have such amendment or new registration statement declared effective as soon as practicable. </w:t>
      </w:r>
    </w:p>
    <w:p>
      <w:pPr>
        <w:pStyle w:val="TextBody"/>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Statutory Prospectus</w:t>
      </w:r>
      <w:r>
        <w:rPr>
          <w:rFonts w:ascii="Times New Roman" w:hAnsi="Times New Roman"/>
          <w:sz w:val="20"/>
        </w:rPr>
        <w:t xml:space="preserve">. If, at any time prior to the filing of the Prospectus pursuant to Rule 424(b), any event occurs as a result of which the Statutory Prospectus would include any untrue statement of a material fact or omit to state any material fact necessary to make the statements therein in the light of the circumstances under which they were made at such time not misleading, or if it shall be necessary to amend the Registration Statement or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supplement the Statutory Prospectus to comply with the Act or the rules thereunder, the Company will (i) notify promptly the Underwriters so that any use of the Statutory Prospectus may cease until it is amended or supplemented; (ii) amend or supplement the Statutory Prospectus to correct such statement or omission; and (iii) supply any amendment or supplement to you in such quantities as you may reasonably request. </w:t>
      </w:r>
    </w:p>
    <w:p>
      <w:pPr>
        <w:pStyle w:val="TextBody"/>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Amendment to Prospectus</w:t>
      </w:r>
      <w:r>
        <w:rPr>
          <w:rFonts w:ascii="Times New Roman" w:hAnsi="Times New Roman"/>
          <w:sz w:val="20"/>
        </w:rPr>
        <w:t xml:space="preserve">. If, at any time when a prospectus relating to the Securities is required to be delivered under the Act (including in circumstances where such requirement may be satisfied pursuant to Rule 172), any event occurs as a result of which the Prospectus as then supplemented would include any untrue statement of a material fact or omit to state any material fact necessary to make the statements therein in the light of the circumstances under which they were made at such time not misleading, or if it shall be necessary to amend the Registration Statement or supplement the Prospectus to comply with the Act or the rules thereunder, the Company promptly will (i) notify the Underwriters of any such event; (ii) prepare and file with the Commission, subject to the second sentence of paragraph (a) of this Section 5, an amendment or supplement which will correct such statement or omission or effect such compliance; and (iii) supply any supplemented Prospectus to you in such quantities as you may reasonably request. </w:t>
      </w:r>
    </w:p>
    <w:p>
      <w:pPr>
        <w:pStyle w:val="TextBody"/>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Delivery of Earnings Statements</w:t>
      </w:r>
      <w:r>
        <w:rPr>
          <w:rFonts w:ascii="Times New Roman" w:hAnsi="Times New Roman"/>
          <w:sz w:val="20"/>
        </w:rPr>
        <w:t xml:space="preserve">. As soon as practicable, the Company will make generally available to its security holders and to the Underwriters an earnings statement or statements of the Company and its subsidiaries which will satisfy the provisions of Section 11(a) of the Act and Rule 158. </w:t>
      </w:r>
    </w:p>
    <w:p>
      <w:pPr>
        <w:pStyle w:val="TextBody"/>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Delivery of Documents</w:t>
      </w:r>
      <w:r>
        <w:rPr>
          <w:rFonts w:ascii="Times New Roman" w:hAnsi="Times New Roman"/>
          <w:sz w:val="20"/>
        </w:rPr>
        <w:t xml:space="preserve">. The Company will furnish to the Underwriters and counsel for the Underwriters, without charge, signed copies of the Registration Statement (including exhibits thereto) and to each other Underwriter a copy of the Registration Statement (without exhibits thereto) and, so long as delivery of a prospectus by an Underwriter or dealer may be required by the Act (including in circumstances where such requirement may be satisfied pursuant to Rule 172), as many copies of each Preliminary Prospectus, the Prospectus and any supplement thereto as the Underwriters may reasonably request. The Company will pay the expenses of printing or other production of all documents s relating to the Offering. </w:t>
      </w:r>
    </w:p>
    <w:p>
      <w:pPr>
        <w:pStyle w:val="TextBody"/>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Qualification of Securities</w:t>
      </w:r>
      <w:r>
        <w:rPr>
          <w:rFonts w:ascii="Times New Roman" w:hAnsi="Times New Roman"/>
          <w:sz w:val="20"/>
        </w:rPr>
        <w:t xml:space="preserve">. The Company will arrange, if necessary, for the qualification of the Securities for sale under the laws of such jurisdictions as the Underwriters may designate and will maintain such qualifications in effect so long as required for the distribution of the Securities; </w:t>
      </w:r>
      <w:r>
        <w:rPr>
          <w:rFonts w:ascii="Times New Roman" w:hAnsi="Times New Roman"/>
          <w:sz w:val="20"/>
          <w:u w:val="single"/>
        </w:rPr>
        <w:t>provided</w:t>
      </w:r>
      <w:r>
        <w:rPr>
          <w:rFonts w:ascii="Times New Roman" w:hAnsi="Times New Roman"/>
          <w:sz w:val="20"/>
        </w:rPr>
        <w:t xml:space="preserve"> that in no event shall the Company be obligated to qualify to do business in any jurisdiction where it is not now so qualified or to take any action that would subject it to service of process in suits, other than those arising out of the offering or sale of the Securities, in any jurisdiction where it is not now so subject. </w:t>
      </w:r>
    </w:p>
    <w:p>
      <w:pPr>
        <w:pStyle w:val="TextBody"/>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Lock-Up</w:t>
      </w:r>
      <w:r>
        <w:rPr>
          <w:rFonts w:ascii="Times New Roman" w:hAnsi="Times New Roman"/>
          <w:sz w:val="20"/>
        </w:rPr>
        <w:t xml:space="preserve">. The Company will not, without the prior written consent of the Underwriters, (x) offer, sell, contract to sell, pledge, hedge or otherwise dispose of (or enter into any transaction that is designed to, or might reasonably be expected to, result in the disposition (whether by actual disposition or effective economic disposition due to cash settlement or otherwise) by the Company or any affiliate of the Company or any person in privity with the Company or any affiliate of the Company), directly or indirectly, including the filing (or participation in the filing) of a registration statement with or the confidential submission of a registration statement to the Commission in respect of, or establish or increase a put equivalent position or liquidate or decrease a call equivalent position within the meaning of Section 16 of the Exchange Act with respect to, any other Units, Ordinary Shares, Warrants or any securities convertible into, or exercisable, or exchangeable for, Ordinary Shares or publicly announce an intention to effect any such transaction during the period commencing on the date hereof and ending 180 days after the date of this Agreement; provided, however, that the Company may (1) issue and sell the Private Placement Warrants, (2) issue and sell the Option Securities on exercise of the option provided for in </w:t>
      </w:r>
      <w:r>
        <w:rPr>
          <w:rFonts w:ascii="Times New Roman" w:hAnsi="Times New Roman"/>
          <w:sz w:val="20"/>
          <w:u w:val="single"/>
        </w:rPr>
        <w:t>Section 2(b)</w:t>
      </w:r>
      <w:r>
        <w:rPr>
          <w:rFonts w:ascii="Times New Roman" w:hAnsi="Times New Roman"/>
          <w:sz w:val="20"/>
        </w:rPr>
        <w:t xml:space="preserve"> hereof, (3) issue Ordinary Shares or any securities convertible into, or exchangeable for, Ordinary Shares in connection with a Business Combination, and (4) register with the Commission pursuant to the Registration Rights Agreement, in accordance with the terms of the Registration Rights Agreement, the resale of the Founder Shares, the Private Placement Warrants and the Ordinary Shares issuable upon exercise thereof, or (y) release the Sponsor or any officer, director or director nominee from the 180-day lock-up contained in the Insider Letter. </w:t>
      </w:r>
    </w:p>
    <w:p>
      <w:pPr>
        <w:pStyle w:val="TextBody"/>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No Stabilization or Manipulation</w:t>
      </w:r>
      <w:r>
        <w:rPr>
          <w:rFonts w:ascii="Times New Roman" w:hAnsi="Times New Roman"/>
          <w:sz w:val="20"/>
        </w:rPr>
        <w:t xml:space="preserve">. The Company will not take, directly or indirectly, any action designed to or that would constitute or that might reasonably be expected to cause or result in, under the Exchange Act or otherwise, stabilization or manipulation of the price of any security of the Company to facilitate the sale or resale of the Securities.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Payment of Expenses</w:t>
      </w:r>
      <w:r>
        <w:rPr>
          <w:rFonts w:ascii="Times New Roman" w:hAnsi="Times New Roman"/>
          <w:sz w:val="20"/>
        </w:rPr>
        <w:t xml:space="preserve">. The Company agrees to pay the costs and expenses relating to the following matters: (i) the preparation, printing or reproduction and filing with the Commission of the Registration Statement (including financial statements and exhibits thereto), each Preliminary Prospectus, the Prospectus, and each amendment or supplement to any of them; (ii) the printing (or reproduction) and delivery (including postage, air freight charges and charges for counting and packaging) of such copies of the Registration Statement, each Preliminary Prospectus, the Prospectus and all amendments or supplements to any of them, as may, in each case, be reasonably requested for use in connection with the offering and sale of the Securities; (iii) the preparation, printing, authentication, issuance and delivery of certificates, if any, for the Securities, including any stamp or transfer taxes in connection with the original issuance and sale of the Securities; (iv) the printing (or reproduction) and delivery of this Agreement, and all other agreements or documents printed (or reproduced) and delivered in connection with the Offering; (v) the registration of the Securities under the Exchange Act and the listing of the Securities on the Nasdaq Capital Market; (vi) the printing and delivery of a preliminary blue sky memorandum, any registration or qualification of the Securities for offer and sale under the securities or blue sky laws of the several U.S. States (including filing fees and the reasonable and documented fees and expenses of counsel for the Underwriters relating to such registration and qualification); (vii) any filings required to be made with FINRA (including filing fees and up to $20,000 for the reasonable and documented fees and expenses of counsel for the Underwriters relating to such filings); (viii) the transportation and other expenses incurred by the Company and its executive officers (and not the Underwriters) in connection with presentations to prospective purchasers of the Securities; (ix) the fees and expenses of the Companys accountants and the fees and expenses of counsel (including local and special counsel) for the Company; and (x) all other costs and expenses incident to the performance by the Company of its obligations hereunder. </w:t>
      </w:r>
    </w:p>
    <w:p>
      <w:pPr>
        <w:pStyle w:val="TextBody"/>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Use of Free Writing Prospectus</w:t>
      </w:r>
      <w:r>
        <w:rPr>
          <w:rFonts w:ascii="Times New Roman" w:hAnsi="Times New Roman"/>
          <w:sz w:val="20"/>
        </w:rPr>
        <w:t xml:space="preserve">. The Company agrees that it will not make any offer relating to the Securities that would constitute an Issuer Free Writing Prospectus or that would otherwise constitute a free writing prospectus (as defined in Rule 405) required to be filed by the Company with the Commission or retained by the Company under Rule 433. </w:t>
      </w:r>
    </w:p>
    <w:p>
      <w:pPr>
        <w:pStyle w:val="TextBody"/>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Maintenance of Registration</w:t>
      </w:r>
      <w:r>
        <w:rPr>
          <w:rFonts w:ascii="Times New Roman" w:hAnsi="Times New Roman"/>
          <w:sz w:val="20"/>
        </w:rPr>
        <w:t xml:space="preserve">. For a period of at least five (5) years from the Effective Date, or until such earlier time upon which the Company is required to be liquidated, the Company will use its best efforts to maintain the registration of the Units, Ordinary Shares and Warrants under the provisions of the Exchange Act, except after giving effect to a going private transaction after the completion of an Initial Business Combination. The Company will not deregister the Units, Ordinary Shares or Warrants under the Exchange Act (except in connection with a going private transaction after the completion of an Initial Business Combination) without the prior consent of the Underwriters. </w:t>
      </w:r>
    </w:p>
    <w:p>
      <w:pPr>
        <w:pStyle w:val="TextBody"/>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Form 8-K</w:t>
      </w:r>
      <w:r>
        <w:rPr>
          <w:rFonts w:ascii="Times New Roman" w:hAnsi="Times New Roman"/>
          <w:sz w:val="20"/>
        </w:rPr>
        <w:t>. The Company shall, on the date hereof, retain its independent registered public accounting firm to audit the balance sheet of the Company as of the Closing Date (the </w:t>
      </w:r>
      <w:r>
        <w:rPr>
          <w:rFonts w:ascii="Times New Roman" w:hAnsi="Times New Roman"/>
          <w:sz w:val="20"/>
          <w:u w:val="single"/>
        </w:rPr>
        <w:t>Audited Balance Sheet</w:t>
      </w:r>
      <w:r>
        <w:rPr>
          <w:rFonts w:ascii="Times New Roman" w:hAnsi="Times New Roman"/>
          <w:sz w:val="20"/>
        </w:rPr>
        <w:t xml:space="preserve">) reflecting the receipt by the Company of the proceeds of the Offering on the Closing Date. As soon as the Audited Balance Sheet becomes available, the Company shall promptly, but not later than four (4) Business Days after the Closing Date, file the Closing Form 8-K with the Commission, which shall contain the Companys Audited Balance Sheet. Additionally, if not disclosed on the Closing Form 8-K, upon the Companys receipt of the proceeds from the exercise of all or any portion of the option provided for in </w:t>
      </w:r>
      <w:r>
        <w:rPr>
          <w:rFonts w:ascii="Times New Roman" w:hAnsi="Times New Roman"/>
          <w:sz w:val="20"/>
          <w:u w:val="single"/>
        </w:rPr>
        <w:t>Section 2(b)</w:t>
      </w:r>
      <w:r>
        <w:rPr>
          <w:rFonts w:ascii="Times New Roman" w:hAnsi="Times New Roman"/>
          <w:sz w:val="20"/>
        </w:rPr>
        <w:t xml:space="preserve"> hereof, the Company shall promptly, but not later than four (4) Business Days after the receipt of such proceeds, file a Current Report on Form 8-K with the Commission, which report shall disclose the Companys sale of the Option Securities and its receipt of the proceeds therefrom. </w:t>
      </w:r>
    </w:p>
    <w:p>
      <w:pPr>
        <w:pStyle w:val="TextBody"/>
        <w:spacing w:before="24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Review of Financial Statements</w:t>
      </w:r>
      <w:r>
        <w:rPr>
          <w:rFonts w:ascii="Times New Roman" w:hAnsi="Times New Roman"/>
          <w:sz w:val="20"/>
        </w:rPr>
        <w:t xml:space="preserve">. For a period commencing on the Effective Date and ending at least five (5) years from the date of the consummation of the Initial Business Combination or until such earlier time at which the Company is required to be liquidated or the Ordinary Shares and Warrants cease to be publicly traded, the Company, at its expense, shall cause its regularly engaged independent registered public accounting firm to review (but not audit) the Companys financial statements for each of the first three (3) fiscal quarters prior to the announcement of quarterly financial information, the filing of the Companys Form 10-Q quarterly report and the mailing, if any, of quarterly financial information to shareholders.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(n) </w:t>
      </w:r>
      <w:r>
        <w:rPr>
          <w:rFonts w:ascii="Times New Roman" w:hAnsi="Times New Roman"/>
          <w:sz w:val="20"/>
          <w:u w:val="single"/>
        </w:rPr>
        <w:t>Publicly Available Statements and Reports</w:t>
      </w:r>
      <w:r>
        <w:rPr>
          <w:rFonts w:ascii="Times New Roman" w:hAnsi="Times New Roman"/>
          <w:sz w:val="20"/>
        </w:rPr>
        <w:t xml:space="preserve">. For a period of five (5) years from the Effective Date or until such earlier time that the Company is required to be liquidated or the Ordinary Shares and Warrants cease to be publicly traded, the Company will furnish to the Underwriters such copies of financial statements and other periodic and special reports as the Company from time to time furnishes generally to holders of any class of its securities and such additional documents and information with respect to the Company as the Underwriters may from time to time reasonably request. Any financial statements and reports filed on the Commissions EDGAR website or otherwise available on the Companys website will be considered furnished for purposes of this section. </w:t>
      </w:r>
    </w:p>
    <w:p>
      <w:pPr>
        <w:pStyle w:val="TextBody"/>
        <w:spacing w:before="240" w:after="0"/>
        <w:jc w:val="left"/>
        <w:rPr>
          <w:rFonts w:ascii="Times New Roman" w:hAnsi="Times New Roman"/>
          <w:sz w:val="20"/>
        </w:rPr>
      </w:pPr>
      <w:r>
        <w:rPr>
          <w:rFonts w:ascii="Times New Roman" w:hAnsi="Times New Roman"/>
          <w:sz w:val="20"/>
        </w:rPr>
        <w:t xml:space="preserve">(o) </w:t>
      </w:r>
      <w:r>
        <w:rPr>
          <w:rFonts w:ascii="Times New Roman" w:hAnsi="Times New Roman"/>
          <w:sz w:val="20"/>
          <w:u w:val="single"/>
        </w:rPr>
        <w:t>Affiliate Transactions</w:t>
      </w:r>
      <w:r>
        <w:rPr>
          <w:rFonts w:ascii="Times New Roman" w:hAnsi="Times New Roman"/>
          <w:sz w:val="20"/>
        </w:rPr>
        <w:t xml:space="preserve">. Except as disclosed in the Registration Statement, the Company shall not pay the Sponsor, any of the Companys directors or executive officers, any special advisor, or any of the Companys or their respective affiliates any fees or compensation of any kind (including finders and consulting fees reimbursement, monies in respect of any payment of a loan or other compensation paid by the Company to the Sponsor, the Companys executive officers, directors or any of their respective affiliates, except as otherwise disclosed in the Registration Statement) for services rendered to the Company prior to, or in connection with, the consummation of the Initial Business Combination. </w:t>
      </w:r>
    </w:p>
    <w:p>
      <w:pPr>
        <w:pStyle w:val="TextBody"/>
        <w:spacing w:before="240" w:after="0"/>
        <w:jc w:val="left"/>
        <w:rPr>
          <w:rFonts w:ascii="Times New Roman" w:hAnsi="Times New Roman"/>
          <w:sz w:val="20"/>
        </w:rPr>
      </w:pPr>
      <w:r>
        <w:rPr>
          <w:rFonts w:ascii="Times New Roman" w:hAnsi="Times New Roman"/>
          <w:sz w:val="20"/>
        </w:rPr>
        <w:t xml:space="preserve">(p) </w:t>
      </w:r>
      <w:r>
        <w:rPr>
          <w:rFonts w:ascii="Times New Roman" w:hAnsi="Times New Roman"/>
          <w:sz w:val="20"/>
          <w:u w:val="single"/>
        </w:rPr>
        <w:t>Net Proceeds</w:t>
      </w:r>
      <w:r>
        <w:rPr>
          <w:rFonts w:ascii="Times New Roman" w:hAnsi="Times New Roman"/>
          <w:sz w:val="20"/>
        </w:rPr>
        <w:t xml:space="preserve">. The Company will apply the net proceeds from the Offering and the sale of the Private Placement Warrants received by it in a manner consistent with the applications described under the caption Use of Proceeds in the Statutory Prospectus and the Prospectus. </w:t>
      </w:r>
    </w:p>
    <w:p>
      <w:pPr>
        <w:pStyle w:val="TextBody"/>
        <w:spacing w:before="360" w:after="0"/>
        <w:jc w:val="left"/>
        <w:rPr>
          <w:rFonts w:ascii="Times New Roman" w:hAnsi="Times New Roman"/>
          <w:sz w:val="20"/>
        </w:rPr>
      </w:pPr>
      <w:r>
        <w:rPr>
          <w:rFonts w:ascii="Times New Roman" w:hAnsi="Times New Roman"/>
          <w:sz w:val="20"/>
        </w:rPr>
        <w:t xml:space="preserve">(q) </w:t>
      </w:r>
      <w:r>
        <w:rPr>
          <w:rFonts w:ascii="Times New Roman" w:hAnsi="Times New Roman"/>
          <w:sz w:val="20"/>
          <w:u w:val="single"/>
        </w:rPr>
        <w:t>Notice to FINRA</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(1) For a period of 60 days following the Effective Date, in the event any person or entity (regardless of any FINRA affiliation or association) is engaged to assist the Company in its search for a merger candidate or to provide any other merger and acquisition services, or has provided or will provide any investment banking, financial, advisory and/or consulting services to the Company, the Company agrees that it shall promptly provide to FINRA (via a FINRA submission), the Underwriters and their counsel a notification prior to entering into the agreement or transaction relating to a potential Business Combination: (i) the identity of the person or entity providing any such services; (ii) complete details of all such services and copies of all agreements governing such services; and (iii) justification as to why the value received by any person or entity for such services is not underwriting compensation for the Offering. The Company also agrees that proper disclosure of such arrangement or potential arrangement will be made in the tender offer materials or proxy statement, as applicable, which the Company may file in connection with the Initial Business Combination for purposes of offering redemption of shares held by its shareholders or for soliciting shareholder approval, as applicable. </w:t>
      </w:r>
    </w:p>
    <w:p>
      <w:pPr>
        <w:pStyle w:val="TextBody"/>
        <w:spacing w:before="120" w:after="0"/>
        <w:jc w:val="left"/>
        <w:rPr>
          <w:rFonts w:ascii="Times New Roman" w:hAnsi="Times New Roman"/>
          <w:sz w:val="20"/>
        </w:rPr>
      </w:pPr>
      <w:r>
        <w:rPr>
          <w:rFonts w:ascii="Times New Roman" w:hAnsi="Times New Roman"/>
          <w:sz w:val="20"/>
        </w:rPr>
        <w:t xml:space="preserve">(2) The Company shall advise FINRA, the Underwriters and their counsel if it is aware that any 5% or greater shareholder of the Company becomes an affiliate or associated person of a Member participating in the distribution of the Companys Securities. </w:t>
      </w:r>
    </w:p>
    <w:p>
      <w:pPr>
        <w:pStyle w:val="TextBody"/>
        <w:spacing w:before="240" w:after="0"/>
        <w:jc w:val="left"/>
        <w:rPr>
          <w:rFonts w:ascii="Times New Roman" w:hAnsi="Times New Roman"/>
          <w:sz w:val="20"/>
        </w:rPr>
      </w:pPr>
      <w:r>
        <w:rPr>
          <w:rFonts w:ascii="Times New Roman" w:hAnsi="Times New Roman"/>
          <w:sz w:val="20"/>
        </w:rPr>
        <w:t xml:space="preserve">(r) </w:t>
      </w:r>
      <w:r>
        <w:rPr>
          <w:rFonts w:ascii="Times New Roman" w:hAnsi="Times New Roman"/>
          <w:sz w:val="20"/>
          <w:u w:val="single"/>
        </w:rPr>
        <w:t>Investment Company</w:t>
      </w:r>
      <w:r>
        <w:rPr>
          <w:rFonts w:ascii="Times New Roman" w:hAnsi="Times New Roman"/>
          <w:sz w:val="20"/>
        </w:rPr>
        <w:t xml:space="preserve">. The Company shall cause the proceeds of the Offering and the sale of Private Placement Warrants to be held in the Trust Account to be invested only in United States government securities within the meaning of Section 2(a)(16) of the Investment Company Act of 1940 having a maturity of 185 days or less or in money market funds meeting certain conditions under Rule 2a-7 promulgated under the Investment Company Act which invest only in direct U.S. government treasury obligations, as set forth in the Trust Agreement and disclosed in the Statutory Prospectus and the Prospectus. The Company will otherwise conduct its business in a manner so that it will not become subject to the Investment Company Act. Furthermore, once the Company consummates the Initial Business Combination, it will be engaged in a business other than that of investing, reinvesting, owning, holding or trading securities. </w:t>
      </w:r>
    </w:p>
    <w:p>
      <w:pPr>
        <w:pStyle w:val="TextBody"/>
        <w:spacing w:before="240" w:after="0"/>
        <w:jc w:val="left"/>
        <w:rPr>
          <w:rFonts w:ascii="Times New Roman" w:hAnsi="Times New Roman"/>
          <w:sz w:val="20"/>
        </w:rPr>
      </w:pPr>
      <w:r>
        <w:rPr>
          <w:rFonts w:ascii="Times New Roman" w:hAnsi="Times New Roman"/>
          <w:sz w:val="20"/>
        </w:rPr>
        <w:t xml:space="preserve">(s) </w:t>
      </w:r>
      <w:r>
        <w:rPr>
          <w:rFonts w:ascii="Times New Roman" w:hAnsi="Times New Roman"/>
          <w:sz w:val="20"/>
          <w:u w:val="single"/>
        </w:rPr>
        <w:t>Reservation of Shares</w:t>
      </w:r>
      <w:r>
        <w:rPr>
          <w:rFonts w:ascii="Times New Roman" w:hAnsi="Times New Roman"/>
          <w:sz w:val="20"/>
        </w:rPr>
        <w:t xml:space="preserve">. The Company will reserve and keep available that maximum number of its authorized but unissued securities which are issuable upon the exercise of any of the Warrants and the Private Placement Warrants outstanding from time to time and the conversion of the Founder Shares. </w:t>
      </w:r>
    </w:p>
    <w:p>
      <w:pPr>
        <w:pStyle w:val="TextBody"/>
        <w:spacing w:before="240" w:after="0"/>
        <w:jc w:val="left"/>
        <w:rPr>
          <w:rFonts w:ascii="Times New Roman" w:hAnsi="Times New Roman"/>
          <w:sz w:val="20"/>
        </w:rPr>
      </w:pPr>
      <w:r>
        <w:rPr>
          <w:rFonts w:ascii="Times New Roman" w:hAnsi="Times New Roman"/>
          <w:sz w:val="20"/>
        </w:rPr>
        <w:t xml:space="preserve">(t) </w:t>
      </w:r>
      <w:r>
        <w:rPr>
          <w:rFonts w:ascii="Times New Roman" w:hAnsi="Times New Roman"/>
          <w:sz w:val="20"/>
          <w:u w:val="single"/>
        </w:rPr>
        <w:t>Issuance of Shares</w:t>
      </w:r>
      <w:r>
        <w:rPr>
          <w:rFonts w:ascii="Times New Roman" w:hAnsi="Times New Roman"/>
          <w:sz w:val="20"/>
        </w:rPr>
        <w:t xml:space="preserve">. Prior to the consummation of the Initial Business Combination or the liquidation of the Trust Account, the Company shall not issue any Ordinary Shares, Warrants or any options or other securities convertible into Ordinary Shares, or any preference shares, in each case, which participate in any manner in the Trust Account or which vote as a class with the Ordinary Shares on an Initial Business Combination.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(u) </w:t>
      </w:r>
      <w:r>
        <w:rPr>
          <w:rFonts w:ascii="Times New Roman" w:hAnsi="Times New Roman"/>
          <w:sz w:val="20"/>
          <w:u w:val="single"/>
        </w:rPr>
        <w:t>Independent Director Review of Expenses</w:t>
      </w:r>
      <w:r>
        <w:rPr>
          <w:rFonts w:ascii="Times New Roman" w:hAnsi="Times New Roman"/>
          <w:sz w:val="20"/>
        </w:rPr>
        <w:t xml:space="preserve">. Prior to the consummation of the Initial Business Combination or the liquidation of the Trust, the Company shall cause its Board of Directors to review and approve all payments made to the Sponsor, any of the Companys directors or executive officers, any special advisor, or any of the Companys or their respective affiliates, with any interested directors abstaining from such review and approval. </w:t>
      </w:r>
    </w:p>
    <w:p>
      <w:pPr>
        <w:pStyle w:val="TextBody"/>
        <w:spacing w:before="240" w:after="0"/>
        <w:jc w:val="left"/>
        <w:rPr>
          <w:rFonts w:ascii="Times New Roman" w:hAnsi="Times New Roman"/>
          <w:sz w:val="20"/>
        </w:rPr>
      </w:pPr>
      <w:r>
        <w:rPr>
          <w:rFonts w:ascii="Times New Roman" w:hAnsi="Times New Roman"/>
          <w:sz w:val="20"/>
        </w:rPr>
        <w:t xml:space="preserve">(v) </w:t>
      </w:r>
      <w:r>
        <w:rPr>
          <w:rFonts w:ascii="Times New Roman" w:hAnsi="Times New Roman"/>
          <w:sz w:val="20"/>
          <w:u w:val="single"/>
        </w:rPr>
        <w:t>Rule 419</w:t>
      </w:r>
      <w:r>
        <w:rPr>
          <w:rFonts w:ascii="Times New Roman" w:hAnsi="Times New Roman"/>
          <w:sz w:val="20"/>
        </w:rPr>
        <w:t xml:space="preserve">. The Company agrees that it will use its best efforts to prevent the Company from becoming subject to Rule 419 under the Act prior to the consummation of the Initial Business Combination, including, but not limited to, using its best efforts to prevent any of the Companys outstanding securities from being deemed to be a penny stock as defined in Rule 3a-51-1 under the Exchange Act during such period. </w:t>
      </w:r>
    </w:p>
    <w:p>
      <w:pPr>
        <w:pStyle w:val="TextBody"/>
        <w:spacing w:before="240" w:after="0"/>
        <w:jc w:val="left"/>
        <w:rPr>
          <w:rFonts w:ascii="Times New Roman" w:hAnsi="Times New Roman"/>
          <w:sz w:val="20"/>
        </w:rPr>
      </w:pPr>
      <w:r>
        <w:rPr>
          <w:rFonts w:ascii="Times New Roman" w:hAnsi="Times New Roman"/>
          <w:sz w:val="20"/>
        </w:rPr>
        <w:t xml:space="preserve">(w) </w:t>
      </w:r>
      <w:r>
        <w:rPr>
          <w:rFonts w:ascii="Times New Roman" w:hAnsi="Times New Roman"/>
          <w:sz w:val="20"/>
          <w:u w:val="single"/>
        </w:rPr>
        <w:t>Internal Controls</w:t>
      </w:r>
      <w:r>
        <w:rPr>
          <w:rFonts w:ascii="Times New Roman" w:hAnsi="Times New Roman"/>
          <w:sz w:val="20"/>
        </w:rPr>
        <w:t xml:space="preserve">. The Company will maintain disclosure controls and procedures (as defined under Rule 13a-15(e) under the Exchange Act) and a system of internal accounting controls sufficient to provide reasonable assurances that: (1) transactions are executed in accordance with managements general or specific authorization; (2) transactions are recorded as necessary in order to permit preparation of financial statements in accordance with GAAP and to maintain accountability for assets; (3) access to assets is permitted only in accordance with managements general or specific authorization; and (4) the recorded accountability for assets is compared with existing assets at reasonable intervals and appropriate action is taken with respect to any differences. </w:t>
      </w:r>
    </w:p>
    <w:p>
      <w:pPr>
        <w:pStyle w:val="TextBody"/>
        <w:spacing w:before="240" w:after="0"/>
        <w:jc w:val="left"/>
        <w:rPr>
          <w:rFonts w:ascii="Times New Roman" w:hAnsi="Times New Roman"/>
          <w:sz w:val="20"/>
        </w:rPr>
      </w:pPr>
      <w:r>
        <w:rPr>
          <w:rFonts w:ascii="Times New Roman" w:hAnsi="Times New Roman"/>
          <w:sz w:val="20"/>
        </w:rPr>
        <w:t xml:space="preserve">(x) </w:t>
      </w:r>
      <w:r>
        <w:rPr>
          <w:rFonts w:ascii="Times New Roman" w:hAnsi="Times New Roman"/>
          <w:sz w:val="20"/>
          <w:u w:val="single"/>
        </w:rPr>
        <w:t>Sarbanes-Oxley, Nasdaq Capital Market Marketplace Rules</w:t>
      </w:r>
      <w:r>
        <w:rPr>
          <w:rFonts w:ascii="Times New Roman" w:hAnsi="Times New Roman"/>
          <w:sz w:val="20"/>
        </w:rPr>
        <w:t xml:space="preserve">. As soon as legally required to do so, the Company and its directors and executive officers, in their capacities as such, shall take all actions necessary to comply with any applicable provision of the Sarbanes-Oxley Act, including Section 402 related to loans and Sections 302 and 906 related to certifications, and to comply with the Nasdaq Capital Markets Marketplace Rules. </w:t>
      </w:r>
    </w:p>
    <w:p>
      <w:pPr>
        <w:pStyle w:val="TextBody"/>
        <w:spacing w:before="240" w:after="0"/>
        <w:jc w:val="left"/>
        <w:rPr>
          <w:rFonts w:ascii="Times New Roman" w:hAnsi="Times New Roman"/>
          <w:sz w:val="20"/>
        </w:rPr>
      </w:pPr>
      <w:r>
        <w:rPr>
          <w:rFonts w:ascii="Times New Roman" w:hAnsi="Times New Roman"/>
          <w:sz w:val="20"/>
        </w:rPr>
        <w:t xml:space="preserve">(y) </w:t>
      </w:r>
      <w:r>
        <w:rPr>
          <w:rFonts w:ascii="Times New Roman" w:hAnsi="Times New Roman"/>
          <w:sz w:val="20"/>
          <w:u w:val="single"/>
        </w:rPr>
        <w:t>No Violation of Amended and Restated Memorandum and Articles of Association</w:t>
      </w:r>
      <w:r>
        <w:rPr>
          <w:rFonts w:ascii="Times New Roman" w:hAnsi="Times New Roman"/>
          <w:sz w:val="20"/>
        </w:rPr>
        <w:t xml:space="preserve">. The Company shall not take any action or omit to take any action that would cause the Company to be in breach or violation of its Amended and Restated Memorandum and Articles of Association. </w:t>
      </w:r>
    </w:p>
    <w:p>
      <w:pPr>
        <w:pStyle w:val="TextBody"/>
        <w:spacing w:before="240" w:after="0"/>
        <w:jc w:val="left"/>
        <w:rPr>
          <w:rFonts w:ascii="Times New Roman" w:hAnsi="Times New Roman"/>
          <w:sz w:val="20"/>
        </w:rPr>
      </w:pPr>
      <w:r>
        <w:rPr>
          <w:rFonts w:ascii="Times New Roman" w:hAnsi="Times New Roman"/>
          <w:sz w:val="20"/>
        </w:rPr>
        <w:t xml:space="preserve">(z) </w:t>
      </w:r>
      <w:r>
        <w:rPr>
          <w:rFonts w:ascii="Times New Roman" w:hAnsi="Times New Roman"/>
          <w:sz w:val="20"/>
          <w:u w:val="single"/>
        </w:rPr>
        <w:t>Transfer and Warrant Agent.</w:t>
      </w:r>
      <w:r>
        <w:rPr>
          <w:rFonts w:ascii="Times New Roman" w:hAnsi="Times New Roman"/>
          <w:sz w:val="20"/>
        </w:rPr>
        <w:t xml:space="preserve"> For a period commencing on the Effective Date and ending at least five (5) years from the date of the consummation of the initial Business Combination or until such earlier time at which the company is required to be liquidated or the Ordinary Shares and Warrants cease to be publicly traded, the Company shall retain a transfer and warrant agent. </w:t>
      </w:r>
    </w:p>
    <w:p>
      <w:pPr>
        <w:pStyle w:val="TextBody"/>
        <w:spacing w:before="360" w:after="0"/>
        <w:jc w:val="left"/>
        <w:rPr>
          <w:rFonts w:ascii="Times New Roman" w:hAnsi="Times New Roman"/>
          <w:sz w:val="20"/>
        </w:rPr>
      </w:pPr>
      <w:r>
        <w:rPr>
          <w:rFonts w:ascii="Times New Roman" w:hAnsi="Times New Roman"/>
          <w:sz w:val="20"/>
        </w:rPr>
        <w:t xml:space="preserve">(aa) </w:t>
      </w:r>
      <w:r>
        <w:rPr>
          <w:rFonts w:ascii="Times New Roman" w:hAnsi="Times New Roman"/>
          <w:sz w:val="20"/>
          <w:u w:val="single"/>
        </w:rPr>
        <w:t>Initial Business Combination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Trust Account Waiver Acknowledgment</w:t>
      </w:r>
      <w:r>
        <w:rPr>
          <w:rFonts w:ascii="Times New Roman" w:hAnsi="Times New Roman"/>
          <w:sz w:val="20"/>
        </w:rPr>
        <w:t xml:space="preserve">. The Company will seek to have all vendors, service providers (other than independent accountants), prospective target businesses or other entities with which it does business enter into agreements waiving any right, title, interest or claim of any kind in or to any monies held in the Trust Account for the benefit of the Public Shareholders. If a prospective target business or vendors, service providers or third party were to refuse to enter into such a waiver, management will perform an analysis of the alternatives available to it and will only enter into an agreement with a third party that has not executed a waiver if management believes that such third partys engagement would be significantly more beneficial than any alternative. </w:t>
      </w:r>
    </w:p>
    <w:p>
      <w:pPr>
        <w:pStyle w:val="TextBody"/>
        <w:spacing w:before="12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Initial Business Combination/Distribution Procedure</w:t>
      </w:r>
      <w:r>
        <w:rPr>
          <w:rFonts w:ascii="Times New Roman" w:hAnsi="Times New Roman"/>
          <w:sz w:val="20"/>
        </w:rPr>
        <w:t xml:space="preserve">. The Company may consummate the Initial Business Combination and conduct redemptions of Ordinary Shares for cash upon consummation of such Initial Business Combination without a shareholder vote pursuant to Rule 13e-4 and Regulation 14E of the Exchange Act, including the filing of tender offer documents with the Commission. Such tender offer documents will contain substantially the same financial and other information about the Initial Business Combination and the redemption rights as is required under the Commissions proxy rules and will provide each shareholder of the Company with the opportunity prior to the consummation of the Initial Business Combination to redeem the Ordinary Shares held by such shareholder for an amount of cash equal to (A) the aggregate amount then on deposit in the Trust Account as of two (2) Business Days prior to the consummation of the Initial Business Combination representing (x) the proceeds held in the Trust Account from the Offering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and the sale of the Private Placement Warrants and (y) any interest income earned on the funds held in the Trust Account not previously to the Company to pay income taxes, if any (less up to $100,000 of interest to pay dissolution expenses), divided by (B) the total number of Public Shares then outstanding. In the event the Company conducts redemptions pursuant to the tender offer rules, the Companys offer to redeem will remain open for at least twenty (20) Business Days, in accordance with Rule 14e-1(a) under the Exchange Act, and the Company will not be permitted to complete the Initial Business Combination until the expiration of the tender offer period. If, however, the Company elects not to file such tender offer documents, a shareholder vote is required by law or stock exchange listing requirement in connection with the Initial Business Combination, or the Company decides to hold a shareholder vote for business or other legal reasons, the Company will submit such Initial Business Combination to the Companys shareholders for their approval (</w:t>
      </w:r>
      <w:r>
        <w:rPr>
          <w:rFonts w:ascii="Times New Roman" w:hAnsi="Times New Roman"/>
          <w:sz w:val="20"/>
          <w:u w:val="single"/>
        </w:rPr>
        <w:t>Business Combination Vote</w:t>
      </w:r>
      <w:r>
        <w:rPr>
          <w:rFonts w:ascii="Times New Roman" w:hAnsi="Times New Roman"/>
          <w:sz w:val="20"/>
        </w:rPr>
        <w:t>). The company will give not less than ten (10) days nor more than 60 days prior written notice of any such meeting, if required, at which a Business Combination Vote shall be taken. With respect to the Business Combination Vote, the Sponsor and the Companys initial shareholders, executive officers and directors have agreed to vote all of their Founder Shares and Public Shares in favor of the Companys initial Business Combination. If the Company seeks shareholder approval of the Initial Business Combination, the Company will offer to each Public Shareholder holding Ordinary Shares the right to have its shares redeemed in conjunction with a proxy solicitation pursuant to the proxy rules of the Commission at a per share redemption price (the </w:t>
      </w:r>
      <w:r>
        <w:rPr>
          <w:rFonts w:ascii="Times New Roman" w:hAnsi="Times New Roman"/>
          <w:sz w:val="20"/>
          <w:u w:val="single"/>
        </w:rPr>
        <w:t>Redemption Price</w:t>
      </w:r>
      <w:r>
        <w:rPr>
          <w:rFonts w:ascii="Times New Roman" w:hAnsi="Times New Roman"/>
          <w:sz w:val="20"/>
        </w:rPr>
        <w:t xml:space="preserve">) equal to (I) the aggregate amount then on deposit in the Trust Account as of two (2) Business Days prior to the consummation of the Initial Business Combination representing (1) the proceeds held in the Trust Account from the Offering and the sale of the Private Placement Warrants and (2) any interest, divided by (II) the total number of Public Shares then outstanding. The Company may proceed with such Initial Business Combination only if a majority of the shares voted are voted to approve such Initial Business Combination. If, after seeking and receiving such shareholder approval, the Company elects to so proceed, it will redeem shares, at the Redemption Price, from those Public Shareholders who affirmatively requested such redemption. Only Public Shareholders holding Ordinary Shares who properly exercise their redemption rights, in accordance with the applicable tender offer or proxy materials related to such Initial Business Combination, shall be entitled to receive distributions from the Trust Account in connection with an Initial Business Combination, and the Company shall pay no distributions with respect to any other holders or shares of the Company in connection therewith. In the event that the Company does not effect an Initial Business Combination within the time period set forth in the Amended and Restated Memorandum and Articles of Association, the Company will (i) cease all operations except for the purpose of winding up; (ii) as promptly as reasonably possible but not more than ten (10) Business Days thereafter, redeem 100% of the Public Shares, at a per-share price, payable in cash, equal to the aggregate amount then on deposit in the Trust Account and not previously released to the Company to pay income taxes, if any (less up to $100,000 of interest to pay dissolution expenses), divided by the number of then outstanding Public Shares, which redemption will completely extinguish Public Shareholders rights as shareholders (including the right to receive further liquidation distributions, if any), subject to applicable law; and (iii) as promptly as reasonably possible following such redemption, subject to the approval of the Companys remaining shareholders and the Companys board of directors, dissolve and liquidate, subject in each case to the Companys obligations under Cayman Islands law to provide for claims of creditors and the requirements of other applicable law. Only Public Shareholders holding Ordinary Shares included in the Securities shall be entitled to receive such redemption amounts and the Company shall pay no such redemption amounts or any distributions in liquidation with respect to any other shares of the Company. The Company will not propose any amendment to the Amended and Restated Memorandum and Articles of Association to modify the substance or timing of the Companys obligation to provide for the redemption of the Public Shares in connection with an Initial Business Combination or to redeem 100% of its Public Shares if it does not complete its initial business combination within the time period set forth in the Amended and Restated Memorandum and Articles of Association, unless it provides its public shareholders with the opportunity to redeem their Class A ordinary shares upon approval of any such amendment, as described in the Statutory Prospectus and Prospectus. </w:t>
      </w:r>
    </w:p>
    <w:p>
      <w:pPr>
        <w:pStyle w:val="TextBody"/>
        <w:spacing w:before="120" w:after="0"/>
        <w:jc w:val="left"/>
        <w:rPr>
          <w:rFonts w:ascii="Times New Roman" w:hAnsi="Times New Roman"/>
          <w:sz w:val="20"/>
        </w:rPr>
      </w:pPr>
      <w:r>
        <w:rPr>
          <w:rFonts w:ascii="Times New Roman" w:hAnsi="Times New Roman"/>
          <w:sz w:val="20"/>
        </w:rPr>
        <w:t xml:space="preserve">(3) In the event that the Company desires or is required by an applicable law or regulation to cause an announcement (Business Combination Announcement) to be placed in The Wall Street Journal, The New York Times or any other news or media publication or outlet or to be made via a public filing with the Commission announcing the consummation of the Initial Business Combination that indicates that the Underwriters were the underwriters in the Offering, the Company shall supply the Underwriters with a draft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of the Business Combination Announcement and provide the Underwriters with a reasonable advance opportunity to comment thereon, subject to the agreement of the Underwriters to keep confidential such draft announcement in accordance with the Underwriters standard policies regarding confidential information. </w:t>
      </w:r>
    </w:p>
    <w:p>
      <w:pPr>
        <w:pStyle w:val="TextBody"/>
        <w:spacing w:before="240" w:after="0"/>
        <w:jc w:val="left"/>
        <w:rPr>
          <w:rFonts w:ascii="Times New Roman" w:hAnsi="Times New Roman"/>
          <w:sz w:val="20"/>
        </w:rPr>
      </w:pPr>
      <w:r>
        <w:rPr>
          <w:rFonts w:ascii="Times New Roman" w:hAnsi="Times New Roman"/>
          <w:sz w:val="20"/>
        </w:rPr>
        <w:t xml:space="preserve">(bb) </w:t>
      </w:r>
      <w:r>
        <w:rPr>
          <w:rFonts w:ascii="Times New Roman" w:hAnsi="Times New Roman"/>
          <w:sz w:val="20"/>
          <w:u w:val="single"/>
        </w:rPr>
        <w:t>Deferred Compensation</w:t>
      </w:r>
      <w:r>
        <w:rPr>
          <w:rFonts w:ascii="Times New Roman" w:hAnsi="Times New Roman"/>
          <w:sz w:val="20"/>
        </w:rPr>
        <w:t xml:space="preserve">. Upon the consummation of the Initial Business Combination, the Company will cause the Trustee to pay to the Underwriters, on behalf of the Underwriters, the Deferred Discount. Payment of the Deferred Discount will be made out of the proceeds of the Offering held in the Trust Account. The Underwriters shall have no claim to payment of any interest earned on the portion of the proceeds held in the Trust Account representing the Deferred Discount. If the Company fails to consummate its Initial Business Combination within the time period prescribed in the Amended and Restated Memorandum and Articles of Association, the Deferred Discount will not be paid to the Underwriters and will, instead, be included in the liquidation distribution of the proceeds held in the Trust Account made to the Public Shareholders. In connection with any such liquidation distribution, the Underwriters will forfeit any rights or claims to the Deferred Discount. </w:t>
      </w:r>
    </w:p>
    <w:p>
      <w:pPr>
        <w:pStyle w:val="TextBody"/>
        <w:spacing w:before="240" w:after="0"/>
        <w:jc w:val="left"/>
        <w:rPr>
          <w:rFonts w:ascii="Times New Roman" w:hAnsi="Times New Roman"/>
          <w:sz w:val="20"/>
        </w:rPr>
      </w:pPr>
      <w:r>
        <w:rPr>
          <w:rFonts w:ascii="Times New Roman" w:hAnsi="Times New Roman"/>
          <w:sz w:val="20"/>
        </w:rPr>
        <w:t xml:space="preserve">(cc) The Company will use commercially reasonable efforts to effect and, for a period commencing on the Effective Date and ending at least five (5) years from the date of the consummation of the Initial Business Combination or until such earlier time at which the liquidation occurs or the Ordinary Shares and Warrants cease to be publicly traded, maintain the listing of the Securities, Ordinary Shares and Warrants on the Nasdaq Capital Market (or another national securities exchange). </w:t>
      </w:r>
    </w:p>
    <w:p>
      <w:pPr>
        <w:pStyle w:val="TextBody"/>
        <w:spacing w:before="240" w:after="0"/>
        <w:jc w:val="left"/>
        <w:rPr>
          <w:rFonts w:ascii="Times New Roman" w:hAnsi="Times New Roman"/>
          <w:sz w:val="20"/>
        </w:rPr>
      </w:pPr>
      <w:r>
        <w:rPr>
          <w:rFonts w:ascii="Times New Roman" w:hAnsi="Times New Roman"/>
          <w:sz w:val="20"/>
        </w:rPr>
        <w:t xml:space="preserve">(dd) If at any time following the distribution of any Written Testing-the-Waters Communication, any event occurs as a result of which such Written Testing-the-Waters Communication would include any untrue statement of a material fact or omit to state any material fact necessary to make the statements therein in the light of the circumstances under which they were made at such time not misleading, the Company will (i) notify promptly the Underwriters so that use of the Written Testing-the-Waters Communication may cease until it is amended or supplemented; (ii) amend or supplement the Written Testing-the-Waters Communication to correct such statement or omission; and (iii) supply any amendment or supplement to the Underwriters in such quantities as may be reasonably requested. </w:t>
      </w:r>
    </w:p>
    <w:p>
      <w:pPr>
        <w:pStyle w:val="TextBody"/>
        <w:spacing w:before="240" w:after="0"/>
        <w:jc w:val="left"/>
        <w:rPr>
          <w:rFonts w:ascii="Times New Roman" w:hAnsi="Times New Roman"/>
          <w:sz w:val="20"/>
        </w:rPr>
      </w:pPr>
      <w:r>
        <w:rPr>
          <w:rFonts w:ascii="Times New Roman" w:hAnsi="Times New Roman"/>
          <w:sz w:val="20"/>
        </w:rPr>
        <w:t xml:space="preserve">(ee) The Company will promptly notify the Underwriters if the Company ceases to be an Emerging Growth Company at any time prior to the later of (a) completion of the distribution of the Securities within the meaning of the Act and (b) completion of the 180-day restricted period referred to in Section 5(g) hereof. </w:t>
      </w:r>
    </w:p>
    <w:p>
      <w:pPr>
        <w:pStyle w:val="TextBody"/>
        <w:spacing w:before="240" w:after="0"/>
        <w:jc w:val="left"/>
        <w:rPr>
          <w:rFonts w:ascii="Times New Roman" w:hAnsi="Times New Roman"/>
          <w:sz w:val="20"/>
        </w:rPr>
      </w:pPr>
      <w:r>
        <w:rPr>
          <w:rFonts w:ascii="Times New Roman" w:hAnsi="Times New Roman"/>
          <w:sz w:val="20"/>
        </w:rPr>
        <w:t xml:space="preserve">(ff) [Reserved]. </w:t>
      </w:r>
    </w:p>
    <w:p>
      <w:pPr>
        <w:pStyle w:val="TextBody"/>
        <w:spacing w:before="240" w:after="0"/>
        <w:jc w:val="left"/>
        <w:rPr>
          <w:rFonts w:ascii="Times New Roman" w:hAnsi="Times New Roman"/>
          <w:sz w:val="20"/>
        </w:rPr>
      </w:pPr>
      <w:r>
        <w:rPr>
          <w:rFonts w:ascii="Times New Roman" w:hAnsi="Times New Roman"/>
          <w:sz w:val="20"/>
        </w:rPr>
        <w:t xml:space="preserve">(gg) Upon the earlier to occur of the expiration or termination of the Underwriters over-allotment option, the Company shall cancel or otherwise effect the forfeiture of Founder Shares from the Sponsor, in an aggregate amount equal to the number of Founder Shares determined by multiplying (a) 1,031,250 by (b) a fraction, (i) the numerator of which is 4,125,000 minus the number of Ordinary Shares purchased by the Underwriters upon the exercise of their over-allotment option, and (ii) the denominator of which is 4,125,000. For the avoidance of doubt, if the Underwriters exercise their over-allotment option in full, the Company shall not cancel or otherwise effect the forfeiture of the Founder Shares pursuant to this subsection. </w:t>
      </w:r>
    </w:p>
    <w:p>
      <w:pPr>
        <w:pStyle w:val="TextBody"/>
        <w:spacing w:before="240" w:after="0"/>
        <w:jc w:val="left"/>
        <w:rPr>
          <w:rFonts w:ascii="Times New Roman" w:hAnsi="Times New Roman"/>
          <w:sz w:val="20"/>
        </w:rPr>
      </w:pPr>
      <w:r>
        <w:rPr>
          <w:rFonts w:ascii="Times New Roman" w:hAnsi="Times New Roman"/>
          <w:sz w:val="20"/>
        </w:rPr>
        <w:t xml:space="preserve">(hh) The Company will deliver to the Underwriters executed copies of the Trust Agreement, the Warrant Agreement, the Securities Subscription Agreement, the Private Placement Warrants Purchase Agreement, the Administrative Services Agreement, the Registration Rights Agreement and the Insider Letter. </w:t>
      </w:r>
    </w:p>
    <w:p>
      <w:pPr>
        <w:pStyle w:val="TextBody"/>
        <w:spacing w:before="240" w:after="0"/>
        <w:jc w:val="left"/>
        <w:rPr>
          <w:rFonts w:ascii="Times New Roman" w:hAnsi="Times New Roman"/>
          <w:sz w:val="20"/>
        </w:rPr>
      </w:pPr>
      <w:r>
        <w:rPr>
          <w:rFonts w:ascii="Times New Roman" w:hAnsi="Times New Roman"/>
          <w:sz w:val="20"/>
        </w:rPr>
        <w:t xml:space="preserve">(ii) In no event will the amounts payable by the Company under the Administrative Services Agreement be more than $10,000 per month in the aggregate for office space, utilities, secretarial and administrative support until the earlier of the date of the consummation of the Initial Business Combination or until the time that the Company is required to liquidate. </w:t>
      </w:r>
    </w:p>
    <w:p>
      <w:pPr>
        <w:pStyle w:val="TextBody"/>
        <w:spacing w:before="360" w:after="0"/>
        <w:jc w:val="left"/>
        <w:rPr>
          <w:rFonts w:ascii="Times New Roman" w:hAnsi="Times New Roman"/>
          <w:b/>
          <w:sz w:val="20"/>
        </w:rPr>
      </w:pPr>
      <w:r>
        <w:rPr>
          <w:rFonts w:ascii="Times New Roman" w:hAnsi="Times New Roman"/>
          <w:b/>
          <w:sz w:val="20"/>
        </w:rPr>
        <w:t xml:space="preserve">6. Conditions to the Obligations of the Underwriters. </w:t>
      </w:r>
    </w:p>
    <w:p>
      <w:pPr>
        <w:pStyle w:val="TextBody"/>
        <w:spacing w:before="120" w:after="0"/>
        <w:jc w:val="left"/>
        <w:rPr>
          <w:rFonts w:ascii="Times New Roman" w:hAnsi="Times New Roman"/>
          <w:sz w:val="20"/>
        </w:rPr>
      </w:pPr>
      <w:r>
        <w:rPr>
          <w:rFonts w:ascii="Times New Roman" w:hAnsi="Times New Roman"/>
          <w:sz w:val="20"/>
        </w:rPr>
        <w:t xml:space="preserve">The obligations of the Underwriters to purchase the Underwritten Securities and the Option Securities, as the case may be, shall be subject to the accuracy of the representations and warranties on the part of the Company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contained herein as of the Execution Time, the Closing Date and any settlement date pursuant to Section 3 hereof, to the accuracy of the statements of the Company made in any certificates pursuant to the provisions hereof, to the performance by the Company of its obligations hereunder and to the following additional conditions: </w:t>
      </w:r>
    </w:p>
    <w:p>
      <w:pPr>
        <w:pStyle w:val="TextBody"/>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Filing of Prospectus; No Stop Order</w:t>
      </w:r>
      <w:r>
        <w:rPr>
          <w:rFonts w:ascii="Times New Roman" w:hAnsi="Times New Roman"/>
          <w:sz w:val="20"/>
        </w:rPr>
        <w:t xml:space="preserve">. The Prospectus, and any supplement thereto, have been filed in the manner and within the time period required by Rule 424(b); any other material required to be filed by the Company pursuant to Rule 433(d) under the Act shall have been filed with the Commission within the applicable time periods prescribed for such filings by Rule 433; and no stop order suspending the effectiveness of the Registration Statement or any notice objecting to its use shall have been issued and no proceedings for that purpose or pursuant to Section 8A of the Act shall have been instituted or threatened. </w:t>
      </w:r>
    </w:p>
    <w:p>
      <w:pPr>
        <w:pStyle w:val="TextBody"/>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Opinion of U.S. Counsel for the Company</w:t>
      </w:r>
      <w:r>
        <w:rPr>
          <w:rFonts w:ascii="Times New Roman" w:hAnsi="Times New Roman"/>
          <w:sz w:val="20"/>
        </w:rPr>
        <w:t xml:space="preserve">. The Company shall have requested and caused Kirkland &amp; Ellis LLP, counsel for the Company, to have furnished to the Underwriters its opinions dated the Closing Date and addressed to the Underwriters in form and substance acceptable to the Underwriters. </w:t>
      </w:r>
    </w:p>
    <w:p>
      <w:pPr>
        <w:pStyle w:val="TextBody"/>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Opinion of Cayman Islands Counsel for the Company</w:t>
      </w:r>
      <w:r>
        <w:rPr>
          <w:rFonts w:ascii="Times New Roman" w:hAnsi="Times New Roman"/>
          <w:sz w:val="20"/>
        </w:rPr>
        <w:t xml:space="preserve">. The Company shall have requested and caused Maples and Calder (Cayman) LLP, Cayman Islands counsel for the Company, to have furnished to the Underwriters its opinions dated the Closing Date and any settlement date, as applicable, and addressed to the Underwriters, in a form reasonably acceptable to the Underwriters. </w:t>
      </w:r>
    </w:p>
    <w:p>
      <w:pPr>
        <w:pStyle w:val="TextBody"/>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Opinion of Counsel for the Underwriters</w:t>
      </w:r>
      <w:r>
        <w:rPr>
          <w:rFonts w:ascii="Times New Roman" w:hAnsi="Times New Roman"/>
          <w:sz w:val="20"/>
        </w:rPr>
        <w:t xml:space="preserve">. The Underwriters shall have received from White &amp; Case LLP, counsel for the Underwriters, such opinion or opinions, dated the Closing Date and addressed to the Underwriters, with respect to the issuance and sale of the Securities, the Registration Statement, the Statutory Prospectus, the Prospectus (together with any supplement thereto) and other related matters as the Underwriters may reasonably require, and the Company shall have furnished to such counsel such documents as they request for the purpose of enabling them to pass upon such matters. </w:t>
      </w:r>
    </w:p>
    <w:p>
      <w:pPr>
        <w:pStyle w:val="TextBody"/>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Officers Certificate</w:t>
      </w:r>
      <w:r>
        <w:rPr>
          <w:rFonts w:ascii="Times New Roman" w:hAnsi="Times New Roman"/>
          <w:sz w:val="20"/>
        </w:rPr>
        <w:t xml:space="preserve">. The Company shall have furnished to the Underwriters a certificate of the Company, signed by the Chief Executive Officer and the principal financial or accounting officer of the Company, dated the Closing Date, to the effect that the signers of such certificate have carefully examined the Registration Statement, each Preliminary Prospectus, the Prospectus and any amendment or supplement thereto, as well as each electronic road show used in connection with the Offering, and this Agreement and that: </w:t>
      </w:r>
    </w:p>
    <w:p>
      <w:pPr>
        <w:pStyle w:val="TextBody"/>
        <w:spacing w:before="120" w:after="0"/>
        <w:jc w:val="left"/>
        <w:rPr>
          <w:rFonts w:ascii="Times New Roman" w:hAnsi="Times New Roman"/>
          <w:sz w:val="20"/>
        </w:rPr>
      </w:pPr>
      <w:r>
        <w:rPr>
          <w:rFonts w:ascii="Times New Roman" w:hAnsi="Times New Roman"/>
          <w:sz w:val="20"/>
        </w:rPr>
        <w:t xml:space="preserve">(1) the representations and warranties of the Company in this Agreement are true and correct on and as of the Closing Date with the same effect as if made on the Closing Date and the Company has complied with all the agreements and satisfied all the conditions on its part to be performed or satisfied at or prior to the Closing Date; </w:t>
      </w:r>
    </w:p>
    <w:p>
      <w:pPr>
        <w:pStyle w:val="TextBody"/>
        <w:spacing w:before="120" w:after="0"/>
        <w:jc w:val="left"/>
        <w:rPr>
          <w:rFonts w:ascii="Times New Roman" w:hAnsi="Times New Roman"/>
          <w:sz w:val="20"/>
        </w:rPr>
      </w:pPr>
      <w:r>
        <w:rPr>
          <w:rFonts w:ascii="Times New Roman" w:hAnsi="Times New Roman"/>
          <w:sz w:val="20"/>
        </w:rPr>
        <w:t xml:space="preserve">(2) no stop order suspending the effectiveness of the Registration Statement or any notice objecting to its use has been issued and no proceedings for that purpose have been instituted or, to the Companys knowledge, threatened; and </w:t>
      </w:r>
    </w:p>
    <w:p>
      <w:pPr>
        <w:pStyle w:val="TextBody"/>
        <w:spacing w:before="120" w:after="0"/>
        <w:jc w:val="left"/>
        <w:rPr>
          <w:rFonts w:ascii="Times New Roman" w:hAnsi="Times New Roman"/>
          <w:sz w:val="20"/>
        </w:rPr>
      </w:pPr>
      <w:r>
        <w:rPr>
          <w:rFonts w:ascii="Times New Roman" w:hAnsi="Times New Roman"/>
          <w:sz w:val="20"/>
        </w:rPr>
        <w:t xml:space="preserve">(3) since the date of the most recent financial statements included in the Statutory Prospectus and the Prospectus (exclusive of any supplement thereto), there has been no Material Adverse Effect, whether or not arising from transactions in the ordinary course of business, except as set forth in or contemplated in the Statutory Prospectus and the Prospectus (exclusive of any supplement thereto). </w:t>
      </w:r>
    </w:p>
    <w:p>
      <w:pPr>
        <w:pStyle w:val="TextBody"/>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Secretarys Certificate</w:t>
      </w:r>
      <w:r>
        <w:rPr>
          <w:rFonts w:ascii="Times New Roman" w:hAnsi="Times New Roman"/>
          <w:sz w:val="20"/>
        </w:rPr>
        <w:t xml:space="preserve">. The Company shall have furnished to the Underwriters a certificate signed by the Secretary or Assistant Secretary of the Company, dated the Closing Date, certifying (i) that the Amended and Restated Memorandum and Articles of Association is true and complete, has not been modified and is in full force and effect; (ii) that the resolutions relating to the Offering contemplated by this Agreement are in full force and effect and have not been modified; (iii) copies of all correspondence between the Company or its counsel and the Commission; and (iv) as to the incumbency of the executive officers of the Company. The documents referred to in such certificate shall be attached to such certificate. </w:t>
      </w:r>
    </w:p>
    <w:p>
      <w:pPr>
        <w:pStyle w:val="TextBody"/>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Comfort Letters</w:t>
      </w:r>
      <w:r>
        <w:rPr>
          <w:rFonts w:ascii="Times New Roman" w:hAnsi="Times New Roman"/>
          <w:sz w:val="20"/>
        </w:rPr>
        <w:t xml:space="preserve">. The Company shall have requested and caused Marcum to have furnished to the Underwriters, at the Execution Time and at the Closing Date, letters, dated respectively as of the Execution Time and as of the Closing Date, in form and substance satisfactory to the Underwriters, confirming that they are a registered public accounting firm that is independent with respect to the Company within the meaning of the Act and the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Exchange Act and the applicable rules and regulations adopted by the Commission thereunder and that they have performed a review of the audited financial statements of the Company for the period January 13, 2021 (the date of inception) through January 20, 2021, provided that the cutoff date shall not be more than two (2) Business Days prior to such Execution Time or Closing Date, as applicable, and stating in effect that: </w:t>
      </w:r>
    </w:p>
    <w:p>
      <w:pPr>
        <w:pStyle w:val="TextBody"/>
        <w:spacing w:before="120" w:after="0"/>
        <w:jc w:val="left"/>
        <w:rPr>
          <w:rFonts w:ascii="Times New Roman" w:hAnsi="Times New Roman"/>
          <w:sz w:val="20"/>
        </w:rPr>
      </w:pPr>
      <w:r>
        <w:rPr>
          <w:rFonts w:ascii="Times New Roman" w:hAnsi="Times New Roman"/>
          <w:sz w:val="20"/>
        </w:rPr>
        <w:t xml:space="preserve">(i) in their opinion the audited financial statements and financial statement schedules included in the Registration Statement, the Statutory Prospectus and the Prospectus and reported on by them comply as to form in all material respects with the applicable accounting requirements of the Act and the related rules and regulations adopted by the Commission; </w:t>
      </w:r>
    </w:p>
    <w:p>
      <w:pPr>
        <w:pStyle w:val="TextBody"/>
        <w:spacing w:before="120" w:after="0"/>
        <w:jc w:val="left"/>
        <w:rPr>
          <w:rFonts w:ascii="Times New Roman" w:hAnsi="Times New Roman"/>
          <w:sz w:val="20"/>
        </w:rPr>
      </w:pPr>
      <w:r>
        <w:rPr>
          <w:rFonts w:ascii="Times New Roman" w:hAnsi="Times New Roman"/>
          <w:sz w:val="20"/>
        </w:rPr>
        <w:t xml:space="preserve">(ii) they have performed certain other specified procedures as a result of which they determined that certain information of an accounting, financial or statistical nature (which is limited to accounting, financial or statistical information derived from the general accounting records of the Company) set forth in the Registration Statement, the Statutory Prospectus and the Prospectus, including the information set forth under the captions Dilution and Capitalization in the Statutory Prospectus and the Prospectus, agrees with the accounting records of the Company, excluding any questions of legal interpretation; and </w:t>
      </w:r>
    </w:p>
    <w:p>
      <w:pPr>
        <w:pStyle w:val="TextBody"/>
        <w:spacing w:before="120" w:after="0"/>
        <w:jc w:val="left"/>
        <w:rPr>
          <w:rFonts w:ascii="Times New Roman" w:hAnsi="Times New Roman"/>
          <w:sz w:val="20"/>
        </w:rPr>
      </w:pPr>
      <w:r>
        <w:rPr>
          <w:rFonts w:ascii="Times New Roman" w:hAnsi="Times New Roman"/>
          <w:sz w:val="20"/>
        </w:rPr>
        <w:t xml:space="preserve">(iii) statements as to such other matters incident to the transaction contemplated hereby as the Underwriters may reasonably request. </w:t>
      </w:r>
    </w:p>
    <w:p>
      <w:pPr>
        <w:pStyle w:val="TextBody"/>
        <w:spacing w:before="120" w:after="0"/>
        <w:jc w:val="left"/>
        <w:rPr>
          <w:rFonts w:ascii="Times New Roman" w:hAnsi="Times New Roman"/>
          <w:sz w:val="20"/>
        </w:rPr>
      </w:pPr>
      <w:r>
        <w:rPr>
          <w:rFonts w:ascii="Times New Roman" w:hAnsi="Times New Roman"/>
          <w:sz w:val="20"/>
        </w:rPr>
        <w:t xml:space="preserve">References to the Prospectus in this paragraph (f) include any supplement thereto at the date of the letter. </w:t>
      </w:r>
    </w:p>
    <w:p>
      <w:pPr>
        <w:pStyle w:val="TextBody"/>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Material Change</w:t>
      </w:r>
      <w:r>
        <w:rPr>
          <w:rFonts w:ascii="Times New Roman" w:hAnsi="Times New Roman"/>
          <w:sz w:val="20"/>
        </w:rPr>
        <w:t xml:space="preserve">. Subsequent to the Execution Time or, if earlier, the dates as of which information is given in the Registration Statement (exclusive of any amendment thereof), the Statutory Prospectus and the Prospectus (exclusive of any amendment or supplement thereto), there shall not have been (1) any change or decrease specified in the letter or letters referred to in paragraph (f) of this Section 6 or (2) any change, or any development involving a prospective change, in or affecting the condition (financial or otherwise), prospects, management, earnings, business or properties of the Company, whether or not arising from transactions in the ordinary course of business, except as set forth in or contemplated in the Statutory Prospectus and the Prospectus (exclusive of any supplement thereto) the effect of which, in any case referred to in clause (1) or (2) above, is, in the sole judgment of the Underwriters, so material and adverse as to make it impractical or inadvisable to proceed with the offering or delivery of the Securities as contemplated by the Registration Statement (exclusive of any amendment thereof), the Statutory Prospectus and the Prospectus (exclusive of any amendment or supplement thereto). </w:t>
      </w:r>
    </w:p>
    <w:p>
      <w:pPr>
        <w:pStyle w:val="TextBody"/>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Further Information</w:t>
      </w:r>
      <w:r>
        <w:rPr>
          <w:rFonts w:ascii="Times New Roman" w:hAnsi="Times New Roman"/>
          <w:sz w:val="20"/>
        </w:rPr>
        <w:t xml:space="preserve">. Prior to the Closing Date, the Company shall have furnished to the Underwriters such further information, certificates and documents as the Underwriters may reasonably request. </w:t>
      </w:r>
    </w:p>
    <w:p>
      <w:pPr>
        <w:pStyle w:val="TextBody"/>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FINRA</w:t>
      </w:r>
      <w:r>
        <w:rPr>
          <w:rFonts w:ascii="Times New Roman" w:hAnsi="Times New Roman"/>
          <w:sz w:val="20"/>
        </w:rPr>
        <w:t xml:space="preserve">. FINRA shall not have raised any objection with respect to the fairness or reasonableness of the underwriting or other arrangements of the transactions contemplated hereby. </w:t>
      </w:r>
    </w:p>
    <w:p>
      <w:pPr>
        <w:pStyle w:val="TextBody"/>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Nasdaq Capital Market</w:t>
      </w:r>
      <w:r>
        <w:rPr>
          <w:rFonts w:ascii="Times New Roman" w:hAnsi="Times New Roman"/>
          <w:sz w:val="20"/>
        </w:rPr>
        <w:t xml:space="preserve">. The Securities shall be duly listed, subject to notice of issuance, on the Nasdaq Capital Market, satisfactory evidence of which shall have been provided to the Underwriters. </w:t>
      </w:r>
    </w:p>
    <w:p>
      <w:pPr>
        <w:pStyle w:val="TextBody"/>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Delivery of Agreements</w:t>
      </w:r>
      <w:r>
        <w:rPr>
          <w:rFonts w:ascii="Times New Roman" w:hAnsi="Times New Roman"/>
          <w:sz w:val="20"/>
        </w:rPr>
        <w:t xml:space="preserve">. On the Effective Date, the Company shall have delivered to the Underwriters executed copies of the Trust Agreement, the Warrant Agreement, the Securities Subscription Agreement, the Private Placement Warrants Purchase Agreement, the Administrative Services Agreement, the Registration Rights Agreement and the Insider Letter. </w:t>
      </w:r>
    </w:p>
    <w:p>
      <w:pPr>
        <w:pStyle w:val="TextBody"/>
        <w:spacing w:before="24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No Brokers</w:t>
      </w:r>
      <w:r>
        <w:rPr>
          <w:rFonts w:ascii="Times New Roman" w:hAnsi="Times New Roman"/>
          <w:sz w:val="20"/>
        </w:rPr>
        <w:t xml:space="preserve">. On the Closing Date, the Company shall have requested and caused the Sponsor and the Companys directors and executive officers to have executed and furnished to the Underwriters a certificate, dated the Closing Date and addressed to the Underwriters, to the effect that, except as described in the Registration Statement, the Statutory Prospectus and the Prospectus, there are no claims, payments, arrangements, contracts, agreements or understandings relating to the payment of a brokerage commission or finders, consulting, origination or similar fee by the Sponsor or the Companys directors or executive officers with respect to the sale of the Securities hereunder or any other arrangements, agreements or understandings by the Sponsor or the Companys directors or executive officers that may affect the Underwriters compensation, as determined by FINRA.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(n) </w:t>
      </w:r>
      <w:r>
        <w:rPr>
          <w:rFonts w:ascii="Times New Roman" w:hAnsi="Times New Roman"/>
          <w:sz w:val="20"/>
          <w:u w:val="single"/>
        </w:rPr>
        <w:t>Trust Account</w:t>
      </w:r>
      <w:r>
        <w:rPr>
          <w:rFonts w:ascii="Times New Roman" w:hAnsi="Times New Roman"/>
          <w:sz w:val="20"/>
        </w:rPr>
        <w:t xml:space="preserve">. On the Closing Date, the Company shall have furnished to the Underwriters one or more certificates signed by an authorized officer of the Trustee to the effect of certifying that $250,000,000 shall have been deposited in the Trust Account. </w:t>
      </w:r>
    </w:p>
    <w:p>
      <w:pPr>
        <w:pStyle w:val="TextBody"/>
        <w:spacing w:before="240" w:after="0"/>
        <w:jc w:val="left"/>
        <w:rPr>
          <w:rFonts w:ascii="Times New Roman" w:hAnsi="Times New Roman"/>
          <w:sz w:val="20"/>
        </w:rPr>
      </w:pPr>
      <w:r>
        <w:rPr>
          <w:rFonts w:ascii="Times New Roman" w:hAnsi="Times New Roman"/>
          <w:sz w:val="20"/>
        </w:rPr>
        <w:t xml:space="preserve">(o) </w:t>
      </w:r>
      <w:r>
        <w:rPr>
          <w:rFonts w:ascii="Times New Roman" w:hAnsi="Times New Roman"/>
          <w:sz w:val="20"/>
          <w:u w:val="single"/>
        </w:rPr>
        <w:t>No stop orders</w:t>
      </w:r>
      <w:r>
        <w:rPr>
          <w:rFonts w:ascii="Times New Roman" w:hAnsi="Times New Roman"/>
          <w:sz w:val="20"/>
        </w:rPr>
        <w:t xml:space="preserve">. No order preventing or suspending the sale of the Units in any jurisdiction designated by the Underwriters shall have been issued as of the Closing Date, and no proceedings for that purpose shall have been instituted or shall have been threatened. </w:t>
      </w:r>
    </w:p>
    <w:p>
      <w:pPr>
        <w:pStyle w:val="TextBody"/>
        <w:spacing w:before="240" w:after="0"/>
        <w:jc w:val="left"/>
        <w:rPr>
          <w:rFonts w:ascii="Times New Roman" w:hAnsi="Times New Roman"/>
          <w:sz w:val="20"/>
        </w:rPr>
      </w:pPr>
      <w:r>
        <w:rPr>
          <w:rFonts w:ascii="Times New Roman" w:hAnsi="Times New Roman"/>
          <w:sz w:val="20"/>
        </w:rPr>
        <w:t xml:space="preserve">(p) </w:t>
      </w:r>
      <w:r>
        <w:rPr>
          <w:rFonts w:ascii="Times New Roman" w:hAnsi="Times New Roman"/>
          <w:sz w:val="20"/>
          <w:u w:val="single"/>
        </w:rPr>
        <w:t>Deposit</w:t>
      </w:r>
      <w:r>
        <w:rPr>
          <w:rFonts w:ascii="Times New Roman" w:hAnsi="Times New Roman"/>
          <w:sz w:val="20"/>
        </w:rPr>
        <w:t xml:space="preserve">. At least one (1) Business Day prior to the Closing Date, the Sponsor shall have paid to the Company the purchase price for the Private Placement Warrants, including the deposit of the net proceeds thereof into the Trust Account. </w:t>
      </w:r>
    </w:p>
    <w:p>
      <w:pPr>
        <w:pStyle w:val="TextBody"/>
        <w:spacing w:before="240" w:after="0"/>
        <w:jc w:val="left"/>
        <w:rPr>
          <w:rFonts w:ascii="Times New Roman" w:hAnsi="Times New Roman"/>
          <w:sz w:val="20"/>
        </w:rPr>
      </w:pPr>
      <w:r>
        <w:rPr>
          <w:rFonts w:ascii="Times New Roman" w:hAnsi="Times New Roman"/>
          <w:sz w:val="20"/>
        </w:rPr>
        <w:t xml:space="preserve">If any of the conditions specified in this Section 6 shall not have been fulfilled when and as provided in this Agreement, or if any of the opinions and certificates mentioned above or elsewhere in this Agreement shall not be reasonably satisfactory in form and substance to the Underwriters and counsel for the Underwriters, this Agreement and all obligations of the Underwriters hereunder may be cancelled at, or at any time prior to, the Closing Date by the Underwriters. Notice of such cancellation shall be given to the Company in writing or by telephone or facsimile confirmed in writing. </w:t>
      </w:r>
    </w:p>
    <w:p>
      <w:pPr>
        <w:pStyle w:val="TextBody"/>
        <w:spacing w:before="240" w:after="0"/>
        <w:jc w:val="left"/>
        <w:rPr>
          <w:rFonts w:ascii="Times New Roman" w:hAnsi="Times New Roman"/>
          <w:sz w:val="20"/>
        </w:rPr>
      </w:pPr>
      <w:r>
        <w:rPr>
          <w:rFonts w:ascii="Times New Roman" w:hAnsi="Times New Roman"/>
          <w:sz w:val="20"/>
        </w:rPr>
        <w:t xml:space="preserve">The documents required to be delivered by this Section 6 shall be delivered at the office of White &amp; Case LLP, counsel for the Underwriters, at 1221 Avenue of the Americas, New York, New York 10020, on the Closing Date. </w:t>
      </w:r>
    </w:p>
    <w:p>
      <w:pPr>
        <w:pStyle w:val="TextBody"/>
        <w:spacing w:before="360" w:after="0"/>
        <w:jc w:val="left"/>
        <w:rPr>
          <w:rFonts w:ascii="Times New Roman" w:hAnsi="Times New Roman"/>
          <w:b/>
          <w:sz w:val="20"/>
        </w:rPr>
      </w:pPr>
      <w:r>
        <w:rPr>
          <w:rFonts w:ascii="Times New Roman" w:hAnsi="Times New Roman"/>
          <w:b/>
          <w:sz w:val="20"/>
        </w:rPr>
        <w:t xml:space="preserve">7. Reimbursement of Underwriters Expenses. </w:t>
      </w:r>
    </w:p>
    <w:p>
      <w:pPr>
        <w:pStyle w:val="TextBody"/>
        <w:spacing w:before="120" w:after="0"/>
        <w:jc w:val="left"/>
        <w:rPr>
          <w:rFonts w:ascii="Times New Roman" w:hAnsi="Times New Roman"/>
          <w:sz w:val="20"/>
        </w:rPr>
      </w:pPr>
      <w:r>
        <w:rPr>
          <w:rFonts w:ascii="Times New Roman" w:hAnsi="Times New Roman"/>
          <w:sz w:val="20"/>
        </w:rPr>
        <w:t xml:space="preserve">If the sale of the Securities provided for herein is not consummated because any condition to the obligations of the Underwriters set forth in Section 6 hereof is not satisfied, because of any termination pursuant to Section 10 hereof or because of any refusal, inability or failure on the part of the Company to perform any agreement herein or comply with any provision hereof other than by reason of a default by any of the Underwriters, the Company will reimburse the Underwriters severally through the Underwriters on demand for all reasonable and documented out-of-pocket expenses (including reasonable and documented fees and disbursements of counsel) that shall have been incurred by them in connection with the proposed purchase and sale of the Securities. </w:t>
      </w:r>
    </w:p>
    <w:p>
      <w:pPr>
        <w:pStyle w:val="TextBody"/>
        <w:spacing w:before="360" w:after="0"/>
        <w:jc w:val="left"/>
        <w:rPr>
          <w:rFonts w:ascii="Times New Roman" w:hAnsi="Times New Roman"/>
          <w:b/>
          <w:sz w:val="20"/>
        </w:rPr>
      </w:pPr>
      <w:r>
        <w:rPr>
          <w:rFonts w:ascii="Times New Roman" w:hAnsi="Times New Roman"/>
          <w:b/>
          <w:sz w:val="20"/>
        </w:rPr>
        <w:t xml:space="preserve">8. Indemnification and Contribution. </w:t>
      </w:r>
    </w:p>
    <w:p>
      <w:pPr>
        <w:pStyle w:val="TextBody"/>
        <w:spacing w:before="120" w:after="0"/>
        <w:jc w:val="left"/>
        <w:rPr>
          <w:rFonts w:ascii="Times New Roman" w:hAnsi="Times New Roman"/>
          <w:sz w:val="20"/>
        </w:rPr>
      </w:pPr>
      <w:r>
        <w:rPr>
          <w:rFonts w:ascii="Times New Roman" w:hAnsi="Times New Roman"/>
          <w:sz w:val="20"/>
        </w:rPr>
        <w:t xml:space="preserve">(a) The Company agrees to indemnify and hold harmless each Underwriter, the directors, officers, employees, affiliates and agents of each Underwriter, each person who controls any Underwriter within the meaning of either the Act or the Exchange Act and each affiliate of each Underwriter against any and all losses, claims, damages or liabilities, joint or several, to which they or any of them may become subject under the Act, the Exchange Act or other U.S. federal or state statutory law or regulation, at common law or otherwise, insofar as such losses, claims, damages or liabilities (or actions in respect thereof) arise out of or are based upon any untrue statement or alleged untrue statement of a material fact contained in the Registration Statement for the registration of the Securities as originally filed or in any amendment thereof, or in any Preliminary Prospectus, the Prospectus, any road show as defined in Section 433(h) of the Act or any Written Testing-the-Waters Communication, or in any amendment thereof or supplement thereto, or arise out of or are based upon the omission or alleged omission to state therein a material fact required to be stated therein or necessary to make the statements therein not misleading, and agrees to reimburse each such indemnified party, as incurred, for any legal or other expenses reasonably incurred by them in connection with investigating or defending any such loss, claim, damage, liability or action; provided, however, that the Company will not be liable in any such case to the extent that any such loss, claim, damage or liability arises out of or is based upon any such untrue statement or alleged untrue statement or omission or alleged omission made therein in reliance upon and in conformity with written information furnished to the Company by or on behalf of any Underwriter through the Underwriters specifically for inclusion therein, it being understood and agreed that only such information furnished by any Underwriter consists of the information described in the last sentence of Section 8(b) hereof. This indemnity agreement will be in addition to any liability which the Company may otherwise have.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(b) Each Underwriter severally and not jointly agrees to indemnify and hold harmless the Company, each of its directors, each of its executive officers who signs the Registration Statement, and each person who controls the Company within the meaning of either the Act or the Exchange Act, to the same extent as the foregoing indemnity from the Company to each Underwriter, but only with reference to written information relating to such Underwriter furnished to the Company by or on behalf of such Underwriter through the Underwriters specifically for inclusion in the documents referred to in the foregoing indemnity. This indemnity agreement will be in addition to any liability which any Underwriter may otherwise have. The Company acknowledges that the statements set forth (i) in the last paragraph of the cover page regarding delivery of Securities and (ii) in the section entitled Underwriting of the Statutory Prospectus and Prospectus, the seventh (7th) paragraph concerning sales to discretionary accounts and the 16th and 17th paragraphs concerning the purchase and sale of Units in the open market and other stabilizing transactions by the underwriters and penalty bids, constitute the only information furnished in writing by or on behalf of the several Underwriters for inclusion in any Preliminary Prospectus and the Prospectus. </w:t>
      </w:r>
    </w:p>
    <w:p>
      <w:pPr>
        <w:pStyle w:val="TextBody"/>
        <w:spacing w:before="240" w:after="0"/>
        <w:jc w:val="left"/>
        <w:rPr>
          <w:rFonts w:ascii="Times New Roman" w:hAnsi="Times New Roman"/>
          <w:sz w:val="20"/>
        </w:rPr>
      </w:pPr>
      <w:r>
        <w:rPr>
          <w:rFonts w:ascii="Times New Roman" w:hAnsi="Times New Roman"/>
          <w:sz w:val="20"/>
        </w:rPr>
        <w:t xml:space="preserve">(c) Promptly after receipt by an indemnified party under this Section 8 of notice of the commencement of any action, such indemnified party will, if a claim in respect thereof is to be made against the indemnifying party under this Section 8, notify the indemnifying party in writing of the commencement thereof; but the failure so to notify the indemnifying party (i) will not relieve it from liability under paragraph (a) or (b) above unless and to the extent it did not otherwise learn of such action and such failure results in the forfeiture by the indemnifying party of substantial rights and defenses and (ii) will not, in any event, relieve the indemnifying party from any obligations to any indemnified party other than the indemnification obligation provided in paragraph (a) or (b) above. The indemnifying party shall be entitled to appoint counsel of the indemnifying partys choice at the indemnifying partys expense to represent the indemnified party in any action for which indemnification is sought (in which case the indemnifying party shall not thereafter be responsible for the fees and expenses of any separate counsel retained by the indemnified party or parties except as set forth below); provided, however, that such counsel shall be satisfactory to the indemnified party. Notwithstanding the indemnifying partys election to appoint counsel to represent the indemnified party in an action, the indemnified party shall have the right to employ separate counsel (including local counsel), and the indemnifying party shall bear the reasonable fees, costs and expenses of such separate counsel if (i) the use of counsel chosen by the indemnifying party to represent the indemnified party would present such counsel with a conflict of interest; (ii) the actual or potential defendants in, or targets of, any such action include both the indemnified party and the indemnifying party and the indemnified party shall have reasonably concluded that there may be legal defenses available to it and/or other indemnified parties which are different from or additional to those available to the indemnifying party; (iii) the indemnifying party shall not have employed counsel satisfactory to the indemnified party to represent the indemnified party within a reasonable time after notice of the institution of such action; or (iv) the indemnifying party shall authorize the indemnified party to employ separate counsel at the expense of the indemnifying party. An indemnifying party will not, without the prior written consent of the indemnified parties,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 includes an unconditional release of each indemnified party from all liability arising out of such claim, action, suit or proceeding and (ii) does not include a statement as to or an admission of fault, culpability or a failure to act, by or on behalf of any indemnified party. </w:t>
      </w:r>
    </w:p>
    <w:p>
      <w:pPr>
        <w:pStyle w:val="TextBody"/>
        <w:spacing w:before="240" w:after="0"/>
        <w:jc w:val="left"/>
        <w:rPr>
          <w:rFonts w:ascii="Times New Roman" w:hAnsi="Times New Roman"/>
          <w:sz w:val="20"/>
        </w:rPr>
      </w:pPr>
      <w:r>
        <w:rPr>
          <w:rFonts w:ascii="Times New Roman" w:hAnsi="Times New Roman"/>
          <w:sz w:val="20"/>
        </w:rPr>
        <w:t>(d) In the event that the indemnity provided in paragraph (a) or (b) of this Section 8 is unavailable to or insufficient to hold harmless an indemnified party for any reason, the Company and the Underwriters severally agree to contribute to the aggregate losses, claims, damages and liabilities (including legal or other expenses reasonably incurred in connection with investigating or defending the same) (collectively, </w:t>
      </w:r>
      <w:r>
        <w:rPr>
          <w:rFonts w:ascii="Times New Roman" w:hAnsi="Times New Roman"/>
          <w:sz w:val="20"/>
          <w:u w:val="single"/>
        </w:rPr>
        <w:t>Losses</w:t>
      </w:r>
      <w:r>
        <w:rPr>
          <w:rFonts w:ascii="Times New Roman" w:hAnsi="Times New Roman"/>
          <w:sz w:val="20"/>
        </w:rPr>
        <w:t xml:space="preserve">) to which the Company and one or more of the Underwriters may be subject in such proportion as is appropriate to reflect the relative benefits received by the Company on the one hand and by the Underwriters on the other from the Offering. If the allocation provided by the immediately preceding sentence is unavailable for any reason, the Company and the Underwriters severally shall contribute in such proportion as is appropriate to reflect not only such relative benefits but also the relative fault of the Company on the one hand and of the Underwriters on the other in connection with the statements or omissions which resulted in such Losses as well as any other relevant equitable considerations. Benefits received by the Company shall be deemed to be equal to the total net proceeds from the Offering (before deducting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expenses) received by it, and benefits received by the Underwriters shall be deemed to be equal to the total underwriting discounts and commissions actually received by the Underwriters, in each case as set forth on the cover page of the Prospectus. Relative fault shall be determined by reference to, among other things, whether any untrue or any alleged untrue statement of a material fact or the omission or alleged omission to state a material fact relates to information provided by the Company on the one hand or the Underwriters on the other, the intent of the parties and their relative knowledge, access to information and opportunity to correct or prevent such untrue statement or omission. The Company and the Underwriters agree that it would not be just and equitable if contribution were determined by pro rata allocation or any other method of allocation which does not take account of the equitable considerations referred to above. Notwithstanding the provisions of this paragraph (d), in no event shall an Underwriter be required to contribute any amount in excess of the amount by which the total underwriting discounts and commissions received by such Underwriter with respect to the Offering exceeds the amount of any damages that such Underwriter has otherwise been required to pay by reason of such untrue or alleged untrue statement or omission or alleged omission. Notwithstanding the provisions of this paragraph (d), no person guilty of fraudulent misrepresentation (within the meaning of Section 11(f) of the Securities Act) shall be entitled to contribution from any person who was not guilty of such fraudulent misrepresentation. For purposes of this Section 8, each person who controls an Underwriter within the meaning of either the Securities Act or the Exchange Act and each director, officer, employee, affiliate and agent of an Underwriter shall have the same rights to contribution as such Underwriter, and each person who controls the Company within the meaning of either the Securities Act or the Exchange Act, each officer of the Company who shall have signed the Registration Statement and each director of the Company shall have the same rights to contribution as the Company, subject in each case to the applicable terms and conditions of this paragraph (d). The Underwriters obligations to contribute pursuant to this Section 8 are several in proportion to their respective purchase obligations hereunder and are not joint. </w:t>
      </w:r>
    </w:p>
    <w:p>
      <w:pPr>
        <w:pStyle w:val="TextBody"/>
        <w:spacing w:before="360" w:after="0"/>
        <w:jc w:val="left"/>
        <w:rPr>
          <w:rFonts w:ascii="Times New Roman" w:hAnsi="Times New Roman"/>
          <w:b/>
          <w:sz w:val="20"/>
        </w:rPr>
      </w:pPr>
      <w:r>
        <w:rPr>
          <w:rFonts w:ascii="Times New Roman" w:hAnsi="Times New Roman"/>
          <w:b/>
          <w:sz w:val="20"/>
        </w:rPr>
        <w:t xml:space="preserve">9. Default by an Underwriter. </w:t>
      </w:r>
    </w:p>
    <w:p>
      <w:pPr>
        <w:pStyle w:val="TextBody"/>
        <w:spacing w:before="120" w:after="0"/>
        <w:jc w:val="left"/>
        <w:rPr>
          <w:rFonts w:ascii="Times New Roman" w:hAnsi="Times New Roman"/>
          <w:sz w:val="20"/>
        </w:rPr>
      </w:pPr>
      <w:r>
        <w:rPr>
          <w:rFonts w:ascii="Times New Roman" w:hAnsi="Times New Roman"/>
          <w:sz w:val="20"/>
        </w:rPr>
        <w:t xml:space="preserve">If any one or more Underwriters shall fail to purchase and pay for any of the Securities agreed to be purchased by such Underwriter or Underwriters hereunder and such failure to purchase shall constitute a default in the performance of its or their obligations under this Agreement, the remaining Underwriters shall be obligated severally to take up and pay for (in the respective proportions that the amount of Securities set forth opposite their names in Schedule I hereto bears to the aggregate amount of Securities set forth opposite the names of all the remaining Underwriters) the Securities that the defaulting Underwriter or Underwriters agreed but failed to purchase; provided, however, that in the event that the aggregate amount of Securities that the defaulting Underwriter or Underwriters agreed but failed to purchase shall exceed 10% of the Underwritten Securities, the remaining Underwriters shall have the right to purchase all, but shall not be under any obligation to purchase any, of the Securities. If within one (1) Business Day after such default relating to more than 10% of the Underwritten Securities the remaining Underwriters do not arrange for the purchase of such Underwritten Securities, then the Company shall be entitled to a further period of one Business Day within which to procure another party or parties reasonably satisfactory to you to purchase said Underwritten Securities. In the event that neither the remaining Underwriters nor the Company purchase or arrange for the purchase of all of the Underwritten Securities to which a default relates as provided in this Section 9, this Agreement will terminate without liability to any non-defaulting Underwriter or the Company. In the event of a default by any Underwriter as set forth in this Section 9, the Closing Date shall be postponed for such period, not exceeding five (5) Business Days, as the Underwriters shall determine in order that the required changes in the Registration Statement and the Prospectus or in any other documents or arrangements may be effected. Nothing contained in this Agreement shall relieve any defaulting Underwriter of its liability, if any, to the Company and any non-defaulting Underwriter for damages occasioned by its default hereunder. </w:t>
      </w:r>
    </w:p>
    <w:p>
      <w:pPr>
        <w:pStyle w:val="TextBody"/>
        <w:spacing w:before="360" w:after="0"/>
        <w:jc w:val="left"/>
        <w:rPr>
          <w:rFonts w:ascii="Times New Roman" w:hAnsi="Times New Roman"/>
          <w:b/>
          <w:sz w:val="20"/>
        </w:rPr>
      </w:pPr>
      <w:r>
        <w:rPr>
          <w:rFonts w:ascii="Times New Roman" w:hAnsi="Times New Roman"/>
          <w:b/>
          <w:sz w:val="20"/>
        </w:rPr>
        <w:t xml:space="preserve">10. Termination. </w:t>
      </w:r>
    </w:p>
    <w:p>
      <w:pPr>
        <w:pStyle w:val="TextBody"/>
        <w:spacing w:before="120" w:after="0"/>
        <w:jc w:val="left"/>
        <w:rPr>
          <w:rFonts w:ascii="Times New Roman" w:hAnsi="Times New Roman"/>
          <w:sz w:val="20"/>
        </w:rPr>
      </w:pPr>
      <w:r>
        <w:rPr>
          <w:rFonts w:ascii="Times New Roman" w:hAnsi="Times New Roman"/>
          <w:sz w:val="20"/>
        </w:rPr>
        <w:t xml:space="preserve">This Agreement shall be subject to termination in the absolute discretion of the Underwriters, by notice given to the Company prior to delivery of and payment for the Securities, if at any time prior to such delivery and payment (i) trading in the Companys Units, Ordinary Shares or Warrants shall have been suspended by the Commission or the Nasdaq Capital Market (or successor trading market) or trading in securities generally on the Nasdaq Capital Market or The New York Stock Exchange (or successor trading market) shall have been suspended or limited or minimum prices shall have been established on such exchange or trading market; (ii) the Company shall not have obtained authorization for quotation of the Ordinary Shares, Warrants or Units on the Nasdaq Capital Market (or successor trading market); (iii) a banking moratorium shall have been declared either by U.S. federal or New York State authorities; (iv) there shall have occurred a material disruption in commercial banking or securities settlement or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clearance services; or (v) there shall have occurred any outbreak or escalation of hostilities, declaration by the United States of a national emergency or war, or other national or international calamity or crisis the effect of which on financial markets is such as to make it, in the sole judgment of the Underwriters, impractical or inadvisable to proceed with the offering or delivery of the Securities as contemplated by the Statutory Prospectus or the Prospectus (exclusive of any supplement thereto). </w:t>
      </w:r>
    </w:p>
    <w:p>
      <w:pPr>
        <w:pStyle w:val="TextBody"/>
        <w:spacing w:before="360" w:after="0"/>
        <w:jc w:val="left"/>
        <w:rPr>
          <w:rFonts w:ascii="Times New Roman" w:hAnsi="Times New Roman"/>
          <w:b/>
          <w:sz w:val="20"/>
        </w:rPr>
      </w:pPr>
      <w:r>
        <w:rPr>
          <w:rFonts w:ascii="Times New Roman" w:hAnsi="Times New Roman"/>
          <w:b/>
          <w:sz w:val="20"/>
        </w:rPr>
        <w:t xml:space="preserve">11. Recognition of the U.S. Special Resolution Regimes. </w:t>
      </w:r>
    </w:p>
    <w:p>
      <w:pPr>
        <w:pStyle w:val="TextBody"/>
        <w:spacing w:before="120" w:after="0"/>
        <w:jc w:val="left"/>
        <w:rPr>
          <w:rFonts w:ascii="Times New Roman" w:hAnsi="Times New Roman"/>
          <w:sz w:val="20"/>
        </w:rPr>
      </w:pPr>
      <w:r>
        <w:rPr>
          <w:rFonts w:ascii="Times New Roman" w:hAnsi="Times New Roman"/>
          <w:sz w:val="20"/>
        </w:rPr>
        <w:t xml:space="preserve">(a) 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 </w:t>
      </w:r>
    </w:p>
    <w:p>
      <w:pPr>
        <w:pStyle w:val="TextBody"/>
        <w:spacing w:before="240" w:after="0"/>
        <w:jc w:val="left"/>
        <w:rPr>
          <w:rFonts w:ascii="Times New Roman" w:hAnsi="Times New Roman"/>
          <w:sz w:val="20"/>
        </w:rPr>
      </w:pPr>
      <w:r>
        <w:rPr>
          <w:rFonts w:ascii="Times New Roman" w:hAnsi="Times New Roman"/>
          <w:sz w:val="20"/>
        </w:rPr>
        <w:t xml:space="preserve">(b) 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 </w:t>
      </w:r>
    </w:p>
    <w:p>
      <w:pPr>
        <w:pStyle w:val="TextBody"/>
        <w:spacing w:before="360" w:after="0"/>
        <w:jc w:val="left"/>
        <w:rPr>
          <w:rFonts w:ascii="Times New Roman" w:hAnsi="Times New Roman"/>
          <w:b/>
          <w:sz w:val="20"/>
        </w:rPr>
      </w:pPr>
      <w:r>
        <w:rPr>
          <w:rFonts w:ascii="Times New Roman" w:hAnsi="Times New Roman"/>
          <w:b/>
          <w:sz w:val="20"/>
        </w:rPr>
        <w:t xml:space="preserve">12. Representations and Indemnities to Survive. </w:t>
      </w:r>
    </w:p>
    <w:p>
      <w:pPr>
        <w:pStyle w:val="TextBody"/>
        <w:spacing w:before="120" w:after="0"/>
        <w:jc w:val="left"/>
        <w:rPr>
          <w:rFonts w:ascii="Times New Roman" w:hAnsi="Times New Roman"/>
          <w:sz w:val="20"/>
        </w:rPr>
      </w:pPr>
      <w:r>
        <w:rPr>
          <w:rFonts w:ascii="Times New Roman" w:hAnsi="Times New Roman"/>
          <w:sz w:val="20"/>
        </w:rPr>
        <w:t xml:space="preserve">The respective agreements, representations, warranties, indemnities and other statements of the Company or its executive officers and of the Underwriters set forth in or made pursuant to this Agreement will remain in full force and effect, regardless of any investigation made by or on behalf of any Underwriter or the Company or any of the executive officers, directors, employees, agents, affiliates or controlling persons referred to in Section 8 hereof, and will survive delivery of and payment for the Securities. The provisions of Sections 7 and 8 hereof shall survive the termination or cancellation of this Agreement. </w:t>
      </w:r>
    </w:p>
    <w:p>
      <w:pPr>
        <w:pStyle w:val="TextBody"/>
        <w:spacing w:before="360" w:after="0"/>
        <w:jc w:val="left"/>
        <w:rPr>
          <w:rFonts w:ascii="Times New Roman" w:hAnsi="Times New Roman"/>
          <w:b/>
          <w:sz w:val="20"/>
        </w:rPr>
      </w:pPr>
      <w:r>
        <w:rPr>
          <w:rFonts w:ascii="Times New Roman" w:hAnsi="Times New Roman"/>
          <w:b/>
          <w:sz w:val="20"/>
        </w:rPr>
        <w:t xml:space="preserve">13. Notices. </w:t>
      </w:r>
    </w:p>
    <w:p>
      <w:pPr>
        <w:pStyle w:val="TextBody"/>
        <w:spacing w:before="120" w:after="0"/>
        <w:jc w:val="left"/>
        <w:rPr>
          <w:rFonts w:ascii="Times New Roman" w:hAnsi="Times New Roman"/>
          <w:sz w:val="20"/>
        </w:rPr>
      </w:pPr>
      <w:r>
        <w:rPr>
          <w:rFonts w:ascii="Times New Roman" w:hAnsi="Times New Roman"/>
          <w:sz w:val="20"/>
        </w:rPr>
        <w:t xml:space="preserve">All communications hereunder will be in writing and effective only on receipt, and, if sent to the Underwriters, will be mailed, delivered or telefaxed to (i) Citigroup Global Markets Inc., 388 Greenwich Street, New York, New York, 10013, Attention: General Counsel (fax no.: (646) 291-1469), and (ii) Barclays Capital Inc., 745 Seventh Avenue, New York, New York 10019, Attention: Syndicate Registration (fax no.: (646) 834-8133), and confirmed to White &amp; Case LLP, 1221 Avenue of the Americas, New York, NY 10020, Attention: Joel L. Rubinstein (fax no.: (212) 354-8113); or, if sent to the Company, will be mailed, delivered or telefaxed to ArcLight Clean Transition Corp. II, Attention: Christine M. Miller (fax no.: (617) 867-4698), and confirmed to Kirkland &amp; Ellis LLP, Attention: Christian O. Nagler (fax no.: (212) 466-6460). </w:t>
      </w:r>
    </w:p>
    <w:p>
      <w:pPr>
        <w:pStyle w:val="TextBody"/>
        <w:spacing w:before="360" w:after="0"/>
        <w:jc w:val="left"/>
        <w:rPr>
          <w:rFonts w:ascii="Times New Roman" w:hAnsi="Times New Roman"/>
          <w:b/>
          <w:sz w:val="20"/>
        </w:rPr>
      </w:pPr>
      <w:r>
        <w:rPr>
          <w:rFonts w:ascii="Times New Roman" w:hAnsi="Times New Roman"/>
          <w:b/>
          <w:sz w:val="20"/>
        </w:rPr>
        <w:t xml:space="preserve">14. Successors. </w:t>
      </w:r>
    </w:p>
    <w:p>
      <w:pPr>
        <w:pStyle w:val="TextBody"/>
        <w:spacing w:before="120" w:after="0"/>
        <w:jc w:val="left"/>
        <w:rPr>
          <w:rFonts w:ascii="Times New Roman" w:hAnsi="Times New Roman"/>
          <w:sz w:val="20"/>
        </w:rPr>
      </w:pPr>
      <w:r>
        <w:rPr>
          <w:rFonts w:ascii="Times New Roman" w:hAnsi="Times New Roman"/>
          <w:sz w:val="20"/>
        </w:rPr>
        <w:t xml:space="preserve">This Agreement will inure to the benefit of and be binding upon the parties hereto and their respective successors and the executive officers, directors, employees, agents and controlling persons and their affiliates referred to in Section 8 hereof, and no other person will have any right or obligation hereunder. </w:t>
      </w:r>
    </w:p>
    <w:p>
      <w:pPr>
        <w:pStyle w:val="TextBody"/>
        <w:spacing w:before="360" w:after="0"/>
        <w:jc w:val="left"/>
        <w:rPr>
          <w:rFonts w:ascii="Times New Roman" w:hAnsi="Times New Roman"/>
          <w:b/>
          <w:sz w:val="20"/>
        </w:rPr>
      </w:pPr>
      <w:r>
        <w:rPr>
          <w:rFonts w:ascii="Times New Roman" w:hAnsi="Times New Roman"/>
          <w:b/>
          <w:sz w:val="20"/>
        </w:rPr>
        <w:t xml:space="preserve">15. No Fiduciary Duty. </w:t>
      </w:r>
    </w:p>
    <w:p>
      <w:pPr>
        <w:pStyle w:val="TextBody"/>
        <w:spacing w:before="120" w:after="0"/>
        <w:jc w:val="left"/>
        <w:rPr>
          <w:rFonts w:ascii="Times New Roman" w:hAnsi="Times New Roman"/>
          <w:sz w:val="20"/>
        </w:rPr>
      </w:pPr>
      <w:r>
        <w:rPr>
          <w:rFonts w:ascii="Times New Roman" w:hAnsi="Times New Roman"/>
          <w:sz w:val="20"/>
        </w:rPr>
        <w:t xml:space="preserve">The Company hereby acknowledges and agrees that (a) the purchase and sale of the Securities pursuant to this Agreement is an arms-length commercial transaction between the Company, on the one hand, and the Underwriters and any affiliate through which it may be acting, on the other (b) the Underwriters are acting as principal and not as an agent, financial advisor or fiduciary of the Company and (c) the Companys engagement of the Underwriters in connection with the Offering and the process leading up to the Offering is as independent contractors and not in any other capacity. Furthermore, the Company agrees that it is solely responsible for making its own judgments in connection with the Offering (irrespective of whether any of the Underwriters has advised or is currently advising the Company on related or other matters). The Company agrees that it will not claim that the Underwriters have rendered advisory services of any nature or respect, or owe an agency, fiduciary or similar duty to the Company, in connection with such transaction or the process leading thereto.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rPr/>
      </w:pPr>
      <w:r>
        <w:rPr/>
      </w:r>
    </w:p>
    <w:p>
      <w:pPr>
        <w:pStyle w:val="TextBody"/>
        <w:spacing w:before="0" w:after="0"/>
        <w:jc w:val="left"/>
        <w:rPr>
          <w:rFonts w:ascii="Times New Roman" w:hAnsi="Times New Roman"/>
          <w:b/>
          <w:sz w:val="20"/>
        </w:rPr>
      </w:pPr>
      <w:r>
        <w:rPr>
          <w:rFonts w:ascii="Times New Roman" w:hAnsi="Times New Roman"/>
          <w:b/>
          <w:sz w:val="20"/>
        </w:rPr>
        <w:t xml:space="preserve">16. Integration. </w:t>
      </w:r>
    </w:p>
    <w:p>
      <w:pPr>
        <w:pStyle w:val="TextBody"/>
        <w:spacing w:before="120" w:after="0"/>
        <w:jc w:val="left"/>
        <w:rPr>
          <w:rFonts w:ascii="Times New Roman" w:hAnsi="Times New Roman"/>
          <w:sz w:val="20"/>
        </w:rPr>
      </w:pPr>
      <w:r>
        <w:rPr>
          <w:rFonts w:ascii="Times New Roman" w:hAnsi="Times New Roman"/>
          <w:sz w:val="20"/>
        </w:rPr>
        <w:t xml:space="preserve">This Agreement supersedes all prior agreements and understandings (whether written or oral) between the Company and the Underwriters, or any of them, with respect to the subject matter hereof. </w:t>
      </w:r>
    </w:p>
    <w:p>
      <w:pPr>
        <w:pStyle w:val="TextBody"/>
        <w:spacing w:before="360" w:after="0"/>
        <w:jc w:val="left"/>
        <w:rPr>
          <w:rFonts w:ascii="Times New Roman" w:hAnsi="Times New Roman"/>
          <w:b/>
          <w:sz w:val="20"/>
        </w:rPr>
      </w:pPr>
      <w:r>
        <w:rPr>
          <w:rFonts w:ascii="Times New Roman" w:hAnsi="Times New Roman"/>
          <w:b/>
          <w:sz w:val="20"/>
        </w:rPr>
        <w:t xml:space="preserve">17. Applicable Law. </w:t>
      </w:r>
    </w:p>
    <w:p>
      <w:pPr>
        <w:pStyle w:val="TextBody"/>
        <w:spacing w:before="120" w:after="0"/>
        <w:jc w:val="left"/>
        <w:rPr>
          <w:rFonts w:ascii="Times New Roman" w:hAnsi="Times New Roman"/>
          <w:sz w:val="20"/>
        </w:rPr>
      </w:pPr>
      <w:r>
        <w:rPr>
          <w:rFonts w:ascii="Times New Roman" w:hAnsi="Times New Roman"/>
          <w:sz w:val="20"/>
        </w:rPr>
        <w:t xml:space="preserve">This Agreement will be governed by and construed in accordance with the laws of the State of New York applicable to contracts made and to be performed within the State of New York. </w:t>
      </w:r>
    </w:p>
    <w:p>
      <w:pPr>
        <w:pStyle w:val="TextBody"/>
        <w:spacing w:before="360" w:after="0"/>
        <w:jc w:val="left"/>
        <w:rPr>
          <w:rFonts w:ascii="Times New Roman" w:hAnsi="Times New Roman"/>
          <w:b/>
          <w:sz w:val="20"/>
        </w:rPr>
      </w:pPr>
      <w:r>
        <w:rPr>
          <w:rFonts w:ascii="Times New Roman" w:hAnsi="Times New Roman"/>
          <w:b/>
          <w:sz w:val="20"/>
        </w:rPr>
        <w:t xml:space="preserve">18. Jurisdiction. </w:t>
      </w:r>
    </w:p>
    <w:p>
      <w:pPr>
        <w:pStyle w:val="TextBody"/>
        <w:spacing w:before="120" w:after="0"/>
        <w:jc w:val="left"/>
        <w:rPr>
          <w:rFonts w:ascii="Times New Roman" w:hAnsi="Times New Roman"/>
          <w:sz w:val="20"/>
        </w:rPr>
      </w:pPr>
      <w:r>
        <w:rPr>
          <w:rFonts w:ascii="Times New Roman" w:hAnsi="Times New Roman"/>
          <w:sz w:val="20"/>
        </w:rPr>
        <w:t xml:space="preserve">The Company agrees that any suit, action or proceeding against the Company brought by any Underwriter, the directors, officers, employees, affiliates and agents of any Underwriter, or by any person who controls any Underwriter, arising out of or based upon this Agreement or the transactions contemplated hereby must be instituted in any State or U.S. federal court in the City of New York and County of New York, and waives any objection which it may now or hereafter have to the laying of venue of any such proceeding, and irrevocably submits to the exclusive jurisdiction of such courts in any suit, action or proceeding. </w:t>
      </w:r>
    </w:p>
    <w:p>
      <w:pPr>
        <w:pStyle w:val="TextBody"/>
        <w:spacing w:before="360" w:after="0"/>
        <w:jc w:val="left"/>
        <w:rPr>
          <w:rFonts w:ascii="Times New Roman" w:hAnsi="Times New Roman"/>
          <w:b/>
          <w:sz w:val="20"/>
        </w:rPr>
      </w:pPr>
      <w:r>
        <w:rPr>
          <w:rFonts w:ascii="Times New Roman" w:hAnsi="Times New Roman"/>
          <w:b/>
          <w:sz w:val="20"/>
        </w:rPr>
        <w:t xml:space="preserve">19. Waiver of Jury Trial. </w:t>
      </w:r>
    </w:p>
    <w:p>
      <w:pPr>
        <w:pStyle w:val="TextBody"/>
        <w:spacing w:before="120" w:after="0"/>
        <w:jc w:val="left"/>
        <w:rPr>
          <w:rFonts w:ascii="Times New Roman" w:hAnsi="Times New Roman"/>
          <w:sz w:val="20"/>
        </w:rPr>
      </w:pPr>
      <w:r>
        <w:rPr>
          <w:rFonts w:ascii="Times New Roman" w:hAnsi="Times New Roman"/>
          <w:sz w:val="20"/>
        </w:rPr>
        <w:t xml:space="preserve">THE COMPANY HEREBY IRREVOCABLY WAIVES, TO THE FULLEST EXTENT PERMITTED BY APPLICABLE LAW, ANY AND ALL RIGHT TO TRIAL BY JURY IN ANY LEGAL PROCEEDING ARISING OUT OF OR RELATING TO THIS AGREEMENT OR THE TRANSACTIONS CONTEMPLATED HEREBY. </w:t>
      </w:r>
    </w:p>
    <w:p>
      <w:pPr>
        <w:pStyle w:val="TextBody"/>
        <w:spacing w:before="360" w:after="0"/>
        <w:jc w:val="left"/>
        <w:rPr>
          <w:rFonts w:ascii="Times New Roman" w:hAnsi="Times New Roman"/>
          <w:b/>
          <w:sz w:val="20"/>
        </w:rPr>
      </w:pPr>
      <w:r>
        <w:rPr>
          <w:rFonts w:ascii="Times New Roman" w:hAnsi="Times New Roman"/>
          <w:b/>
          <w:sz w:val="20"/>
        </w:rPr>
        <w:t xml:space="preserve">20. Patriot Act </w:t>
      </w:r>
    </w:p>
    <w:p>
      <w:pPr>
        <w:pStyle w:val="TextBody"/>
        <w:spacing w:before="120" w:after="0"/>
        <w:jc w:val="left"/>
        <w:rPr>
          <w:rFonts w:ascii="Times New Roman" w:hAnsi="Times New Roman"/>
          <w:sz w:val="20"/>
        </w:rPr>
      </w:pPr>
      <w:r>
        <w:rPr>
          <w:rFonts w:ascii="Times New Roman" w:hAnsi="Times New Roman"/>
          <w:sz w:val="20"/>
        </w:rPr>
        <w:t xml:space="preserve">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 </w:t>
      </w:r>
    </w:p>
    <w:p>
      <w:pPr>
        <w:pStyle w:val="TextBody"/>
        <w:spacing w:before="360" w:after="0"/>
        <w:jc w:val="left"/>
        <w:rPr>
          <w:rFonts w:ascii="Times New Roman" w:hAnsi="Times New Roman"/>
          <w:b/>
          <w:sz w:val="20"/>
        </w:rPr>
      </w:pPr>
      <w:r>
        <w:rPr>
          <w:rFonts w:ascii="Times New Roman" w:hAnsi="Times New Roman"/>
          <w:b/>
          <w:sz w:val="20"/>
        </w:rPr>
        <w:t xml:space="preserve">21. Counterparts. </w:t>
      </w:r>
    </w:p>
    <w:p>
      <w:pPr>
        <w:pStyle w:val="TextBody"/>
        <w:spacing w:before="120" w:after="0"/>
        <w:jc w:val="left"/>
        <w:rPr>
          <w:rFonts w:ascii="Times New Roman" w:hAnsi="Times New Roman"/>
          <w:sz w:val="20"/>
        </w:rPr>
      </w:pPr>
      <w:r>
        <w:rPr>
          <w:rFonts w:ascii="Times New Roman" w:hAnsi="Times New Roman"/>
          <w:sz w:val="20"/>
        </w:rPr>
        <w:t xml:space="preserve">This Agreement may be signed in one or more counterparts, each of which shall constitute an original and all of which together shall constitute one and the same agreement. </w:t>
      </w:r>
    </w:p>
    <w:p>
      <w:pPr>
        <w:pStyle w:val="TextBody"/>
        <w:spacing w:before="360" w:after="0"/>
        <w:jc w:val="left"/>
        <w:rPr>
          <w:rFonts w:ascii="Times New Roman" w:hAnsi="Times New Roman"/>
          <w:b/>
          <w:sz w:val="20"/>
        </w:rPr>
      </w:pPr>
      <w:r>
        <w:rPr>
          <w:rFonts w:ascii="Times New Roman" w:hAnsi="Times New Roman"/>
          <w:b/>
          <w:sz w:val="20"/>
        </w:rPr>
        <w:t xml:space="preserve">22. Headings. </w:t>
      </w:r>
    </w:p>
    <w:p>
      <w:pPr>
        <w:pStyle w:val="TextBody"/>
        <w:spacing w:before="120" w:after="0"/>
        <w:jc w:val="left"/>
        <w:rPr>
          <w:rFonts w:ascii="Times New Roman" w:hAnsi="Times New Roman"/>
          <w:sz w:val="20"/>
        </w:rPr>
      </w:pPr>
      <w:r>
        <w:rPr>
          <w:rFonts w:ascii="Times New Roman" w:hAnsi="Times New Roman"/>
          <w:sz w:val="20"/>
        </w:rPr>
        <w:t xml:space="preserve">The section headings used herein are for convenience only and shall not affect the construction hereof. </w:t>
      </w:r>
    </w:p>
    <w:p>
      <w:pPr>
        <w:pStyle w:val="TextBody"/>
        <w:spacing w:before="360" w:after="0"/>
        <w:jc w:val="left"/>
        <w:rPr>
          <w:rFonts w:ascii="Times New Roman" w:hAnsi="Times New Roman"/>
          <w:b/>
          <w:sz w:val="20"/>
        </w:rPr>
      </w:pPr>
      <w:r>
        <w:rPr>
          <w:rFonts w:ascii="Times New Roman" w:hAnsi="Times New Roman"/>
          <w:b/>
          <w:sz w:val="20"/>
        </w:rPr>
        <w:t xml:space="preserve">23. Definitions. </w:t>
      </w:r>
    </w:p>
    <w:p>
      <w:pPr>
        <w:pStyle w:val="TextBody"/>
        <w:spacing w:before="120" w:after="0"/>
        <w:jc w:val="left"/>
        <w:rPr>
          <w:rFonts w:ascii="Times New Roman" w:hAnsi="Times New Roman"/>
          <w:sz w:val="20"/>
        </w:rPr>
      </w:pPr>
      <w:r>
        <w:rPr>
          <w:rFonts w:ascii="Times New Roman" w:hAnsi="Times New Roman"/>
          <w:sz w:val="20"/>
        </w:rPr>
        <w:t xml:space="preserve">The terms which follow, when used in this Agreement, shall have the meanings indicated.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Act</w:t>
      </w:r>
      <w:r>
        <w:rPr>
          <w:rFonts w:ascii="Times New Roman" w:hAnsi="Times New Roman"/>
          <w:sz w:val="20"/>
        </w:rPr>
        <w:t xml:space="preserve"> shall mean the Securities Act of 1933, as amended, and the rules and regulations of the Commission promulgated thereunder.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BHC Act Affiliate</w:t>
      </w:r>
      <w:r>
        <w:rPr>
          <w:rFonts w:ascii="Times New Roman" w:hAnsi="Times New Roman"/>
          <w:sz w:val="20"/>
        </w:rPr>
        <w:t xml:space="preserve"> shall mean affiliate as defined in, and shall be interpreted in accordance with, 12 U.S.C. § 1841(k).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Business Day</w:t>
      </w:r>
      <w:r>
        <w:rPr>
          <w:rFonts w:ascii="Times New Roman" w:hAnsi="Times New Roman"/>
          <w:sz w:val="20"/>
        </w:rPr>
        <w:t xml:space="preserve"> shall mean any day other than a Saturday, a Sunday or a legal holiday or a day on which banking institutions or trust companies are authorized or obligated by law to close in New York City.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Commission</w:t>
      </w:r>
      <w:r>
        <w:rPr>
          <w:rFonts w:ascii="Times New Roman" w:hAnsi="Times New Roman"/>
          <w:sz w:val="20"/>
        </w:rPr>
        <w:t xml:space="preserve"> shall mean the Securities and Exchange Commission.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Covered Entity</w:t>
      </w:r>
      <w:r>
        <w:rPr>
          <w:rFonts w:ascii="Times New Roman" w:hAnsi="Times New Roman"/>
          <w:sz w:val="20"/>
        </w:rPr>
        <w:t xml:space="preserve"> shall mean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Default Right</w:t>
      </w:r>
      <w:r>
        <w:rPr>
          <w:rFonts w:ascii="Times New Roman" w:hAnsi="Times New Roman"/>
          <w:sz w:val="20"/>
        </w:rPr>
        <w:t xml:space="preserve"> shall mean default right as defined and interpreted in accordance with, 12 C.F.R. §§ 252.81, 47.2 or 382.1, as applicable.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Effective Date</w:t>
      </w:r>
      <w:r>
        <w:rPr>
          <w:rFonts w:ascii="Times New Roman" w:hAnsi="Times New Roman"/>
          <w:sz w:val="20"/>
        </w:rPr>
        <w:t xml:space="preserve"> shall mean each date and time that the Registration Statement, any post-effective amendment or amendments thereto and any Rule 462(b) Registration Statement became or becomes effective.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Exchange Act</w:t>
      </w:r>
      <w:r>
        <w:rPr>
          <w:rFonts w:ascii="Times New Roman" w:hAnsi="Times New Roman"/>
          <w:sz w:val="20"/>
        </w:rPr>
        <w:t xml:space="preserve"> shall mean the Securities Exchange Act of 1934, as amended, and the rules and regulations of the Commission promulgated thereunder.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Execution Time</w:t>
      </w:r>
      <w:r>
        <w:rPr>
          <w:rFonts w:ascii="Times New Roman" w:hAnsi="Times New Roman"/>
          <w:sz w:val="20"/>
        </w:rPr>
        <w:t xml:space="preserve"> shall mean March 22, 2021, at 7:00 pm, New York City time.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Issuer Free Writing Prospectus</w:t>
      </w:r>
      <w:r>
        <w:rPr>
          <w:rFonts w:ascii="Times New Roman" w:hAnsi="Times New Roman"/>
          <w:sz w:val="20"/>
        </w:rPr>
        <w:t xml:space="preserve"> shall mean an issuer free writing prospectus, as defined in Rule 433.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Preliminary Prospectus</w:t>
      </w:r>
      <w:r>
        <w:rPr>
          <w:rFonts w:ascii="Times New Roman" w:hAnsi="Times New Roman"/>
          <w:sz w:val="20"/>
        </w:rPr>
        <w:t xml:space="preserve"> shall mean the preliminary prospectus referred to in paragraph 1(a) above and any preliminary prospectus included in the Registration Statement at the Effective Date that omits Rule 430A Information.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Prospectus</w:t>
      </w:r>
      <w:r>
        <w:rPr>
          <w:rFonts w:ascii="Times New Roman" w:hAnsi="Times New Roman"/>
          <w:sz w:val="20"/>
        </w:rPr>
        <w:t xml:space="preserve"> shall mean the prospectus relating to the Securities that is first filed pursuant to Rule 424(b) after the Execution Time.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Registration Statement</w:t>
      </w:r>
      <w:r>
        <w:rPr>
          <w:rFonts w:ascii="Times New Roman" w:hAnsi="Times New Roman"/>
          <w:sz w:val="20"/>
        </w:rPr>
        <w:t xml:space="preserve"> shall mean the registration statement referred to in paragraph 1(a) above, including exhibits and financial statements and any information deemed part of such registration statement pursuant to Rule 430A, as amended or supplemented at the Execution Time and, in the event any post-effective amendment thereto or any Rule 462(b) Registration Statement becomes effective prior to the Closing Date, shall also mean such registration statement as so amended or such Rule 462(b) Registration Statement, as the case may be.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Rule 158</w:t>
      </w:r>
      <w:r>
        <w:rPr>
          <w:rFonts w:ascii="Times New Roman" w:hAnsi="Times New Roman"/>
          <w:sz w:val="20"/>
        </w:rPr>
        <w:t>, </w:t>
      </w:r>
      <w:r>
        <w:rPr>
          <w:rFonts w:ascii="Times New Roman" w:hAnsi="Times New Roman"/>
          <w:sz w:val="20"/>
          <w:u w:val="single"/>
        </w:rPr>
        <w:t>Rule 172</w:t>
      </w:r>
      <w:r>
        <w:rPr>
          <w:rFonts w:ascii="Times New Roman" w:hAnsi="Times New Roman"/>
          <w:sz w:val="20"/>
        </w:rPr>
        <w:t>, </w:t>
      </w:r>
      <w:r>
        <w:rPr>
          <w:rFonts w:ascii="Times New Roman" w:hAnsi="Times New Roman"/>
          <w:sz w:val="20"/>
          <w:u w:val="single"/>
        </w:rPr>
        <w:t>Rule 405</w:t>
      </w:r>
      <w:r>
        <w:rPr>
          <w:rFonts w:ascii="Times New Roman" w:hAnsi="Times New Roman"/>
          <w:sz w:val="20"/>
        </w:rPr>
        <w:t>, </w:t>
      </w:r>
      <w:r>
        <w:rPr>
          <w:rFonts w:ascii="Times New Roman" w:hAnsi="Times New Roman"/>
          <w:sz w:val="20"/>
          <w:u w:val="single"/>
        </w:rPr>
        <w:t>Rule 415</w:t>
      </w:r>
      <w:r>
        <w:rPr>
          <w:rFonts w:ascii="Times New Roman" w:hAnsi="Times New Roman"/>
          <w:sz w:val="20"/>
        </w:rPr>
        <w:t>, </w:t>
      </w:r>
      <w:r>
        <w:rPr>
          <w:rFonts w:ascii="Times New Roman" w:hAnsi="Times New Roman"/>
          <w:sz w:val="20"/>
          <w:u w:val="single"/>
        </w:rPr>
        <w:t>Rule 419</w:t>
      </w:r>
      <w:r>
        <w:rPr>
          <w:rFonts w:ascii="Times New Roman" w:hAnsi="Times New Roman"/>
          <w:sz w:val="20"/>
        </w:rPr>
        <w:t>, </w:t>
      </w:r>
      <w:r>
        <w:rPr>
          <w:rFonts w:ascii="Times New Roman" w:hAnsi="Times New Roman"/>
          <w:sz w:val="20"/>
          <w:u w:val="single"/>
        </w:rPr>
        <w:t>Rule 424</w:t>
      </w:r>
      <w:r>
        <w:rPr>
          <w:rFonts w:ascii="Times New Roman" w:hAnsi="Times New Roman"/>
          <w:sz w:val="20"/>
        </w:rPr>
        <w:t>, </w:t>
      </w:r>
      <w:r>
        <w:rPr>
          <w:rFonts w:ascii="Times New Roman" w:hAnsi="Times New Roman"/>
          <w:sz w:val="20"/>
          <w:u w:val="single"/>
        </w:rPr>
        <w:t>Rule 430A</w:t>
      </w:r>
      <w:r>
        <w:rPr>
          <w:rFonts w:ascii="Times New Roman" w:hAnsi="Times New Roman"/>
          <w:sz w:val="20"/>
        </w:rPr>
        <w:t>, </w:t>
      </w:r>
      <w:r>
        <w:rPr>
          <w:rFonts w:ascii="Times New Roman" w:hAnsi="Times New Roman"/>
          <w:sz w:val="20"/>
          <w:u w:val="single"/>
        </w:rPr>
        <w:t>Rule 430B</w:t>
      </w:r>
      <w:r>
        <w:rPr>
          <w:rFonts w:ascii="Times New Roman" w:hAnsi="Times New Roman"/>
          <w:sz w:val="20"/>
        </w:rPr>
        <w:t>, </w:t>
      </w:r>
      <w:r>
        <w:rPr>
          <w:rFonts w:ascii="Times New Roman" w:hAnsi="Times New Roman"/>
          <w:sz w:val="20"/>
          <w:u w:val="single"/>
        </w:rPr>
        <w:t>Rule 433</w:t>
      </w:r>
      <w:r>
        <w:rPr>
          <w:rFonts w:ascii="Times New Roman" w:hAnsi="Times New Roman"/>
          <w:sz w:val="20"/>
        </w:rPr>
        <w:t> and </w:t>
      </w:r>
      <w:r>
        <w:rPr>
          <w:rFonts w:ascii="Times New Roman" w:hAnsi="Times New Roman"/>
          <w:sz w:val="20"/>
          <w:u w:val="single"/>
        </w:rPr>
        <w:t>Rule 462</w:t>
      </w:r>
      <w:r>
        <w:rPr>
          <w:rFonts w:ascii="Times New Roman" w:hAnsi="Times New Roman"/>
          <w:sz w:val="20"/>
        </w:rPr>
        <w:t xml:space="preserve"> refer to such rules under the Act.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Rule 430A Information</w:t>
      </w:r>
      <w:r>
        <w:rPr>
          <w:rFonts w:ascii="Times New Roman" w:hAnsi="Times New Roman"/>
          <w:sz w:val="20"/>
        </w:rPr>
        <w:t xml:space="preserve"> shall mean information with respect to the Securities and the Offering thereof permitted to be omitted from the Registration Statement when it becomes effective pursuant to Rule 430A.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Rule 462(b) Registration Statement</w:t>
      </w:r>
      <w:r>
        <w:rPr>
          <w:rFonts w:ascii="Times New Roman" w:hAnsi="Times New Roman"/>
          <w:sz w:val="20"/>
        </w:rPr>
        <w:t xml:space="preserve"> shall mean a registration statement and any amendments thereto filed pursuant to Rule 462(b) relating to the Offering covered by the registration statement referred to in Section 1(a) hereof.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Statutory Prospectus</w:t>
      </w:r>
      <w:r>
        <w:rPr>
          <w:rFonts w:ascii="Times New Roman" w:hAnsi="Times New Roman"/>
          <w:sz w:val="20"/>
        </w:rPr>
        <w:t xml:space="preserve"> shall mean the (i) Preliminary Prospectus dated March 18, 2021, relating to the Securities and (ii) the Time of Delivery Information, if any, set forth on Schedule II hereto.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U.S. Special Resolution Regime</w:t>
      </w:r>
      <w:r>
        <w:rPr>
          <w:rFonts w:ascii="Times New Roman" w:hAnsi="Times New Roman"/>
          <w:sz w:val="20"/>
        </w:rPr>
        <w:t xml:space="preserve"> shall mean each of (i) the Federal Deposit Insurance Act and the regulations promulgated thereunder and (ii) Title II of the Dodd-Frank Wall Street Reform and Consumer Protection Act and the regulations promulgated thereunder. </w:t>
      </w:r>
    </w:p>
    <w:p>
      <w:pPr>
        <w:pStyle w:val="TextBody"/>
        <w:spacing w:before="240" w:after="0"/>
        <w:jc w:val="left"/>
        <w:rPr>
          <w:rFonts w:ascii="Times New Roman" w:hAnsi="Times New Roman"/>
          <w:sz w:val="20"/>
        </w:rPr>
      </w:pPr>
      <w:r>
        <w:rPr>
          <w:rFonts w:ascii="Times New Roman" w:hAnsi="Times New Roman"/>
          <w:sz w:val="20"/>
        </w:rPr>
        <w:t xml:space="preserve">If the foregoing is in accordance with your understanding of our agreement, please sign and return to us the enclosed duplicate hereof, whereupon this letter and your acceptance shall represent a binding agreement among the Company and the several Underwriters. </w:t>
      </w:r>
    </w:p>
    <w:p>
      <w:pPr>
        <w:pStyle w:val="TextBody"/>
        <w:spacing w:before="240" w:after="0"/>
        <w:jc w:val="center"/>
        <w:rPr>
          <w:rFonts w:ascii="Times New Roman" w:hAnsi="Times New Roman"/>
          <w:sz w:val="20"/>
        </w:rPr>
      </w:pPr>
      <w:r>
        <w:rPr>
          <w:rFonts w:ascii="Times New Roman" w:hAnsi="Times New Roman"/>
          <w:sz w:val="20"/>
        </w:rPr>
        <w:t xml:space="preserve">[Signature Page follows]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rPr/>
      </w:pPr>
      <w:r>
        <w:rPr/>
      </w:r>
    </w:p>
    <w:tbl>
      <w:tblPr>
        <w:tblW w:w="4660" w:type="dxa"/>
        <w:jc w:val="right"/>
        <w:tblInd w:w="0" w:type="dxa"/>
        <w:tblCellMar>
          <w:top w:w="0" w:type="dxa"/>
          <w:left w:w="0" w:type="dxa"/>
          <w:bottom w:w="0" w:type="dxa"/>
          <w:right w:w="0" w:type="dxa"/>
        </w:tblCellMar>
      </w:tblPr>
      <w:tblGrid>
        <w:gridCol w:w="305"/>
        <w:gridCol w:w="60"/>
        <w:gridCol w:w="4295"/>
      </w:tblGrid>
      <w:tr>
        <w:trPr/>
        <w:tc>
          <w:tcPr>
            <w:tcW w:w="30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4295" w:type="dxa"/>
            <w:tcBorders/>
            <w:shd w:fill="auto" w:val="clear"/>
            <w:vAlign w:val="center"/>
          </w:tcPr>
          <w:p>
            <w:pPr>
              <w:pStyle w:val="TableContents"/>
              <w:spacing w:before="0" w:after="283"/>
              <w:rPr>
                <w:sz w:val="4"/>
                <w:szCs w:val="4"/>
              </w:rPr>
            </w:pPr>
            <w:r>
              <w:rPr>
                <w:sz w:val="4"/>
                <w:szCs w:val="4"/>
              </w:rPr>
            </w:r>
          </w:p>
        </w:tc>
      </w:tr>
      <w:tr>
        <w:trPr/>
        <w:tc>
          <w:tcPr>
            <w:tcW w:w="4660" w:type="dxa"/>
            <w:gridSpan w:val="3"/>
            <w:tcBorders/>
            <w:shd w:fill="auto" w:val="clear"/>
          </w:tcPr>
          <w:p>
            <w:pPr>
              <w:pStyle w:val="TableContents"/>
              <w:spacing w:before="0" w:after="283"/>
              <w:rPr/>
            </w:pPr>
            <w:r>
              <w:rPr/>
              <w:t>ARCLIGHT CLEAN TRANSITION CORP. II</w:t>
            </w:r>
          </w:p>
        </w:tc>
      </w:tr>
      <w:tr>
        <w:trPr>
          <w:trHeight w:val="240" w:hRule="atLeast"/>
        </w:trPr>
        <w:tc>
          <w:tcPr>
            <w:tcW w:w="305" w:type="dxa"/>
            <w:tcBorders/>
            <w:shd w:fill="auto" w:val="clear"/>
            <w:vAlign w:val="center"/>
          </w:tcPr>
          <w:p>
            <w:pPr>
              <w:pStyle w:val="TableContents"/>
              <w:spacing w:before="0" w:after="283"/>
              <w:rPr>
                <w:sz w:val="4"/>
                <w:szCs w:val="4"/>
              </w:rPr>
            </w:pPr>
            <w:r>
              <w:rPr>
                <w:sz w:val="4"/>
                <w:szCs w:val="4"/>
              </w:rPr>
            </w:r>
          </w:p>
        </w:tc>
        <w:tc>
          <w:tcPr>
            <w:tcW w:w="4355" w:type="dxa"/>
            <w:gridSpan w:val="2"/>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By:</w:t>
            </w:r>
          </w:p>
        </w:tc>
        <w:tc>
          <w:tcPr>
            <w:tcW w:w="60" w:type="dxa"/>
            <w:tcBorders/>
            <w:shd w:fill="auto" w:val="clear"/>
            <w:vAlign w:val="bottom"/>
          </w:tcPr>
          <w:p>
            <w:pPr>
              <w:pStyle w:val="TableContents"/>
              <w:spacing w:before="0" w:after="283"/>
              <w:rPr/>
            </w:pPr>
            <w:r>
              <w:rPr/>
              <w:t> </w:t>
            </w:r>
          </w:p>
        </w:tc>
        <w:tc>
          <w:tcPr>
            <w:tcW w:w="4295" w:type="dxa"/>
            <w:tcBorders/>
            <w:shd w:fill="auto" w:val="clear"/>
            <w:vAlign w:val="bottom"/>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John Erhard</w:t>
            </w:r>
          </w:p>
        </w:tc>
      </w:tr>
      <w:tr>
        <w:trPr/>
        <w:tc>
          <w:tcPr>
            <w:tcW w:w="30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4295" w:type="dxa"/>
            <w:tcBorders/>
            <w:shd w:fill="auto" w:val="clear"/>
            <w:vAlign w:val="bottom"/>
          </w:tcPr>
          <w:p>
            <w:pPr>
              <w:pStyle w:val="TableContents"/>
              <w:spacing w:before="0" w:after="283"/>
              <w:rPr/>
            </w:pPr>
            <w:r>
              <w:rPr/>
              <w:t>Name: John F. Erhard</w:t>
            </w:r>
          </w:p>
        </w:tc>
      </w:tr>
      <w:tr>
        <w:trPr/>
        <w:tc>
          <w:tcPr>
            <w:tcW w:w="30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4295" w:type="dxa"/>
            <w:tcBorders/>
            <w:shd w:fill="auto" w:val="clear"/>
            <w:vAlign w:val="bottom"/>
          </w:tcPr>
          <w:p>
            <w:pPr>
              <w:pStyle w:val="TableContents"/>
              <w:spacing w:before="0" w:after="283"/>
              <w:rPr/>
            </w:pPr>
            <w:r>
              <w:rPr/>
              <w:t>Title:   President and Chief Executive Officer</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[Signature Page to Underwriting Agreement] </w:t>
      </w:r>
      <w:r>
        <w:br w:type="page"/>
      </w:r>
    </w:p>
    <w:p>
      <w:pPr>
        <w:pStyle w:val="HorizontalLine"/>
        <w:pBdr>
          <w:bottom w:val="double" w:sz="6" w:space="0" w:color="808080"/>
        </w:pBdr>
        <w:rPr/>
      </w:pPr>
      <w:r>
        <w:rPr/>
      </w:r>
    </w:p>
    <w:tbl>
      <w:tblPr>
        <w:tblW w:w="2000" w:type="pct"/>
        <w:jc w:val="left"/>
        <w:tblInd w:w="0" w:type="dxa"/>
        <w:tblCellMar>
          <w:top w:w="0" w:type="dxa"/>
          <w:left w:w="0" w:type="dxa"/>
          <w:bottom w:w="0" w:type="dxa"/>
          <w:right w:w="0" w:type="dxa"/>
        </w:tblCellMar>
      </w:tblPr>
      <w:tblGrid>
        <w:gridCol w:w="369"/>
        <w:gridCol w:w="60"/>
        <w:gridCol w:w="3653"/>
      </w:tblGrid>
      <w:tr>
        <w:trPr/>
        <w:tc>
          <w:tcPr>
            <w:tcW w:w="36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653"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pPr>
            <w:r>
              <w:rPr/>
              <w:t>The foregoing Agreement is hereby</w:t>
            </w:r>
          </w:p>
        </w:tc>
      </w:tr>
      <w:tr>
        <w:trPr/>
        <w:tc>
          <w:tcPr>
            <w:tcW w:w="4082" w:type="dxa"/>
            <w:gridSpan w:val="3"/>
            <w:tcBorders/>
            <w:shd w:fill="auto" w:val="clear"/>
          </w:tcPr>
          <w:p>
            <w:pPr>
              <w:pStyle w:val="TableContents"/>
              <w:spacing w:before="0" w:after="283"/>
              <w:rPr/>
            </w:pPr>
            <w:r>
              <w:rPr/>
              <w:t>confirmed and accepted as of the</w:t>
            </w:r>
          </w:p>
        </w:tc>
      </w:tr>
      <w:tr>
        <w:trPr/>
        <w:tc>
          <w:tcPr>
            <w:tcW w:w="4082" w:type="dxa"/>
            <w:gridSpan w:val="3"/>
            <w:tcBorders/>
            <w:shd w:fill="auto" w:val="clear"/>
          </w:tcPr>
          <w:p>
            <w:pPr>
              <w:pStyle w:val="TableContents"/>
              <w:spacing w:before="0" w:after="283"/>
              <w:rPr/>
            </w:pPr>
            <w:r>
              <w:rPr/>
              <w:t>date first above written.</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pPr>
            <w:r>
              <w:rPr/>
              <w:t>CITIGROUP GLOBAL MARKETS INC.</w:t>
            </w:r>
          </w:p>
        </w:tc>
      </w:tr>
      <w:tr>
        <w:trPr>
          <w:trHeight w:val="240" w:hRule="atLeast"/>
        </w:trPr>
        <w:tc>
          <w:tcPr>
            <w:tcW w:w="369" w:type="dxa"/>
            <w:tcBorders/>
            <w:shd w:fill="auto" w:val="clear"/>
            <w:vAlign w:val="center"/>
          </w:tcPr>
          <w:p>
            <w:pPr>
              <w:pStyle w:val="TableContents"/>
              <w:spacing w:before="0" w:after="283"/>
              <w:rPr>
                <w:sz w:val="4"/>
                <w:szCs w:val="4"/>
              </w:rPr>
            </w:pPr>
            <w:r>
              <w:rPr>
                <w:sz w:val="4"/>
                <w:szCs w:val="4"/>
              </w:rPr>
            </w:r>
          </w:p>
        </w:tc>
        <w:tc>
          <w:tcPr>
            <w:tcW w:w="3713" w:type="dxa"/>
            <w:gridSpan w:val="2"/>
            <w:tcBorders/>
            <w:shd w:fill="auto" w:val="clear"/>
            <w:vAlign w:val="center"/>
          </w:tcPr>
          <w:p>
            <w:pPr>
              <w:pStyle w:val="TableContents"/>
              <w:spacing w:before="0" w:after="283"/>
              <w:rPr>
                <w:sz w:val="4"/>
                <w:szCs w:val="4"/>
              </w:rPr>
            </w:pPr>
            <w:r>
              <w:rPr>
                <w:sz w:val="4"/>
                <w:szCs w:val="4"/>
              </w:rPr>
            </w:r>
          </w:p>
        </w:tc>
      </w:tr>
      <w:tr>
        <w:trPr/>
        <w:tc>
          <w:tcPr>
            <w:tcW w:w="369" w:type="dxa"/>
            <w:tcBorders/>
            <w:shd w:fill="auto" w:val="clear"/>
          </w:tcPr>
          <w:p>
            <w:pPr>
              <w:pStyle w:val="TableContents"/>
              <w:spacing w:before="0" w:after="283"/>
              <w:rPr/>
            </w:pPr>
            <w:r>
              <w:rPr/>
              <w:t>By:</w:t>
            </w:r>
          </w:p>
        </w:tc>
        <w:tc>
          <w:tcPr>
            <w:tcW w:w="60" w:type="dxa"/>
            <w:tcBorders/>
            <w:shd w:fill="auto" w:val="clear"/>
            <w:vAlign w:val="bottom"/>
          </w:tcPr>
          <w:p>
            <w:pPr>
              <w:pStyle w:val="TableContents"/>
              <w:spacing w:before="0" w:after="283"/>
              <w:rPr/>
            </w:pPr>
            <w:r>
              <w:rPr/>
              <w:t> </w:t>
            </w:r>
          </w:p>
        </w:tc>
        <w:tc>
          <w:tcPr>
            <w:tcW w:w="3653" w:type="dxa"/>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Jack Paris</w:t>
            </w:r>
          </w:p>
        </w:tc>
      </w:tr>
      <w:tr>
        <w:trPr/>
        <w:tc>
          <w:tcPr>
            <w:tcW w:w="369"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53" w:type="dxa"/>
            <w:tcBorders/>
            <w:shd w:fill="auto" w:val="clear"/>
          </w:tcPr>
          <w:p>
            <w:pPr>
              <w:pStyle w:val="TableContents"/>
              <w:spacing w:before="0" w:after="283"/>
              <w:rPr/>
            </w:pPr>
            <w:r>
              <w:rPr/>
              <w:t>Name: Jack Paris</w:t>
            </w:r>
          </w:p>
        </w:tc>
      </w:tr>
      <w:tr>
        <w:trPr/>
        <w:tc>
          <w:tcPr>
            <w:tcW w:w="369"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53" w:type="dxa"/>
            <w:tcBorders/>
            <w:shd w:fill="auto" w:val="clear"/>
          </w:tcPr>
          <w:p>
            <w:pPr>
              <w:pStyle w:val="TableContents"/>
              <w:spacing w:before="0" w:after="283"/>
              <w:rPr/>
            </w:pPr>
            <w:r>
              <w:rPr/>
              <w:t>Title:   Managing Director</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pPr>
            <w:r>
              <w:rPr/>
              <w:t>BARCLAYS CAPITAL INC.</w:t>
            </w:r>
          </w:p>
        </w:tc>
      </w:tr>
      <w:tr>
        <w:trPr>
          <w:trHeight w:val="240" w:hRule="atLeast"/>
        </w:trPr>
        <w:tc>
          <w:tcPr>
            <w:tcW w:w="369" w:type="dxa"/>
            <w:tcBorders/>
            <w:shd w:fill="auto" w:val="clear"/>
            <w:vAlign w:val="center"/>
          </w:tcPr>
          <w:p>
            <w:pPr>
              <w:pStyle w:val="TableContents"/>
              <w:spacing w:before="0" w:after="283"/>
              <w:rPr>
                <w:sz w:val="4"/>
                <w:szCs w:val="4"/>
              </w:rPr>
            </w:pPr>
            <w:r>
              <w:rPr>
                <w:sz w:val="4"/>
                <w:szCs w:val="4"/>
              </w:rPr>
            </w:r>
          </w:p>
        </w:tc>
        <w:tc>
          <w:tcPr>
            <w:tcW w:w="3713" w:type="dxa"/>
            <w:gridSpan w:val="2"/>
            <w:tcBorders/>
            <w:shd w:fill="auto" w:val="clear"/>
            <w:vAlign w:val="center"/>
          </w:tcPr>
          <w:p>
            <w:pPr>
              <w:pStyle w:val="TableContents"/>
              <w:spacing w:before="0" w:after="283"/>
              <w:rPr>
                <w:sz w:val="4"/>
                <w:szCs w:val="4"/>
              </w:rPr>
            </w:pPr>
            <w:r>
              <w:rPr>
                <w:sz w:val="4"/>
                <w:szCs w:val="4"/>
              </w:rPr>
            </w:r>
          </w:p>
        </w:tc>
      </w:tr>
      <w:tr>
        <w:trPr/>
        <w:tc>
          <w:tcPr>
            <w:tcW w:w="369" w:type="dxa"/>
            <w:tcBorders/>
            <w:shd w:fill="auto" w:val="clear"/>
          </w:tcPr>
          <w:p>
            <w:pPr>
              <w:pStyle w:val="TableContents"/>
              <w:spacing w:before="0" w:after="283"/>
              <w:rPr/>
            </w:pPr>
            <w:r>
              <w:rPr/>
              <w:t>By:</w:t>
            </w:r>
          </w:p>
        </w:tc>
        <w:tc>
          <w:tcPr>
            <w:tcW w:w="60" w:type="dxa"/>
            <w:tcBorders/>
            <w:shd w:fill="auto" w:val="clear"/>
            <w:vAlign w:val="bottom"/>
          </w:tcPr>
          <w:p>
            <w:pPr>
              <w:pStyle w:val="TableContents"/>
              <w:spacing w:before="0" w:after="283"/>
              <w:rPr/>
            </w:pPr>
            <w:r>
              <w:rPr/>
              <w:t> </w:t>
            </w:r>
          </w:p>
        </w:tc>
        <w:tc>
          <w:tcPr>
            <w:tcW w:w="3653" w:type="dxa"/>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Victoria Hale</w:t>
            </w:r>
          </w:p>
        </w:tc>
      </w:tr>
      <w:tr>
        <w:trPr/>
        <w:tc>
          <w:tcPr>
            <w:tcW w:w="369"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53" w:type="dxa"/>
            <w:tcBorders/>
            <w:shd w:fill="auto" w:val="clear"/>
          </w:tcPr>
          <w:p>
            <w:pPr>
              <w:pStyle w:val="TableContents"/>
              <w:spacing w:before="0" w:after="283"/>
              <w:rPr/>
            </w:pPr>
            <w:r>
              <w:rPr/>
              <w:t>Name: Victoria Hale</w:t>
            </w:r>
          </w:p>
        </w:tc>
      </w:tr>
      <w:tr>
        <w:trPr/>
        <w:tc>
          <w:tcPr>
            <w:tcW w:w="369"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53" w:type="dxa"/>
            <w:tcBorders/>
            <w:shd w:fill="auto" w:val="clear"/>
          </w:tcPr>
          <w:p>
            <w:pPr>
              <w:pStyle w:val="TableContents"/>
              <w:spacing w:before="0" w:after="283"/>
              <w:rPr/>
            </w:pPr>
            <w:r>
              <w:rPr/>
              <w:t>Title:   Authorized Signatory</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[Signature Page to Underwriting Agreement] </w:t>
      </w:r>
      <w:r>
        <w:br w:type="page"/>
      </w:r>
    </w:p>
    <w:p>
      <w:pPr>
        <w:pStyle w:val="HorizontalLine"/>
        <w:pBdr>
          <w:bottom w:val="double" w:sz="6" w:space="0" w:color="808080"/>
        </w:pBdr>
        <w:rPr/>
      </w:pPr>
      <w:r>
        <w:rPr/>
      </w:r>
    </w:p>
    <w:p>
      <w:pPr>
        <w:pStyle w:val="TextBody"/>
        <w:spacing w:before="0" w:after="0"/>
        <w:jc w:val="center"/>
        <w:rPr>
          <w:rFonts w:ascii="Times New Roman" w:hAnsi="Times New Roman"/>
          <w:sz w:val="20"/>
          <w:u w:val="single"/>
        </w:rPr>
      </w:pPr>
      <w:r>
        <w:rPr>
          <w:rFonts w:ascii="Times New Roman" w:hAnsi="Times New Roman"/>
          <w:sz w:val="20"/>
          <w:u w:val="single"/>
        </w:rPr>
        <w:t xml:space="preserve">SCHEDULE I </w:t>
      </w:r>
    </w:p>
    <w:p>
      <w:pPr>
        <w:pStyle w:val="TextBody"/>
        <w:spacing w:before="0" w:after="0"/>
        <w:jc w:val="left"/>
        <w:rPr/>
      </w:pPr>
      <w:r>
        <w:rPr/>
        <w:t> </w:t>
      </w:r>
    </w:p>
    <w:tbl>
      <w:tblPr>
        <w:tblW w:w="3400" w:type="pct"/>
        <w:jc w:val="center"/>
        <w:tblInd w:w="0" w:type="dxa"/>
        <w:tblCellMar>
          <w:top w:w="0" w:type="dxa"/>
          <w:left w:w="0" w:type="dxa"/>
          <w:bottom w:w="0" w:type="dxa"/>
          <w:right w:w="0" w:type="dxa"/>
        </w:tblCellMar>
      </w:tblPr>
      <w:tblGrid>
        <w:gridCol w:w="4862"/>
        <w:gridCol w:w="335"/>
        <w:gridCol w:w="85"/>
        <w:gridCol w:w="1595"/>
        <w:gridCol w:w="62"/>
      </w:tblGrid>
      <w:tr>
        <w:trPr/>
        <w:tc>
          <w:tcPr>
            <w:tcW w:w="4862"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bottom"/>
          </w:tcPr>
          <w:p>
            <w:pPr>
              <w:pStyle w:val="TableContents"/>
              <w:spacing w:before="0" w:after="283"/>
              <w:rPr>
                <w:sz w:val="4"/>
                <w:szCs w:val="4"/>
              </w:rPr>
            </w:pPr>
            <w:r>
              <w:rPr>
                <w:sz w:val="4"/>
                <w:szCs w:val="4"/>
              </w:rPr>
            </w:r>
          </w:p>
        </w:tc>
        <w:tc>
          <w:tcPr>
            <w:tcW w:w="85" w:type="dxa"/>
            <w:tcBorders/>
            <w:shd w:fill="auto" w:val="clear"/>
            <w:vAlign w:val="center"/>
          </w:tcPr>
          <w:p>
            <w:pPr>
              <w:pStyle w:val="TableContents"/>
              <w:spacing w:before="0" w:after="283"/>
              <w:rPr>
                <w:sz w:val="4"/>
                <w:szCs w:val="4"/>
              </w:rPr>
            </w:pPr>
            <w:r>
              <w:rPr>
                <w:sz w:val="4"/>
                <w:szCs w:val="4"/>
              </w:rPr>
            </w:r>
          </w:p>
        </w:tc>
        <w:tc>
          <w:tcPr>
            <w:tcW w:w="1595"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r>
      <w:tr>
        <w:trPr/>
        <w:tc>
          <w:tcPr>
            <w:tcW w:w="4862" w:type="dxa"/>
            <w:tcBorders/>
            <w:shd w:fill="auto" w:val="clear"/>
            <w:vAlign w:val="bottom"/>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Underwriters</w:t>
            </w:r>
          </w:p>
        </w:tc>
        <w:tc>
          <w:tcPr>
            <w:tcW w:w="335" w:type="dxa"/>
            <w:tcBorders/>
            <w:shd w:fill="auto" w:val="clear"/>
            <w:vAlign w:val="bottom"/>
          </w:tcPr>
          <w:p>
            <w:pPr>
              <w:pStyle w:val="TableContents"/>
              <w:spacing w:before="0" w:after="283"/>
              <w:rPr/>
            </w:pPr>
            <w:r>
              <w:rPr/>
              <w:t>  </w:t>
            </w:r>
          </w:p>
        </w:tc>
        <w:tc>
          <w:tcPr>
            <w:tcW w:w="1680"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Number of</w:t>
            </w:r>
            <w:r>
              <w:rPr/>
              <w:br/>
            </w:r>
            <w:r>
              <w:rPr>
                <w:b/>
              </w:rPr>
              <w:t>Underwritten</w:t>
            </w:r>
            <w:r>
              <w:rPr/>
              <w:br/>
            </w:r>
            <w:r>
              <w:rPr>
                <w:b/>
              </w:rPr>
              <w:t>Securities</w:t>
            </w:r>
            <w:r>
              <w:rPr/>
              <w:br/>
            </w:r>
            <w:r>
              <w:rPr>
                <w:b/>
              </w:rPr>
              <w:t>to be Purchased</w:t>
            </w:r>
          </w:p>
        </w:tc>
        <w:tc>
          <w:tcPr>
            <w:tcW w:w="62" w:type="dxa"/>
            <w:tcBorders/>
            <w:shd w:fill="auto" w:val="clear"/>
            <w:vAlign w:val="bottom"/>
          </w:tcPr>
          <w:p>
            <w:pPr>
              <w:pStyle w:val="TableContents"/>
              <w:spacing w:before="0" w:after="283"/>
              <w:rPr/>
            </w:pPr>
            <w:r>
              <w:rPr/>
              <w:t> </w:t>
            </w:r>
          </w:p>
        </w:tc>
      </w:tr>
      <w:tr>
        <w:trPr/>
        <w:tc>
          <w:tcPr>
            <w:tcW w:w="4862" w:type="dxa"/>
            <w:tcBorders/>
            <w:shd w:fill="CCEEFF" w:val="clear"/>
          </w:tcPr>
          <w:p>
            <w:pPr>
              <w:pStyle w:val="TableContents"/>
              <w:spacing w:before="0" w:after="0"/>
              <w:rPr>
                <w:rFonts w:ascii="Times New Roman" w:hAnsi="Times New Roman"/>
                <w:sz w:val="20"/>
              </w:rPr>
            </w:pPr>
            <w:r>
              <w:rPr>
                <w:rFonts w:ascii="Times New Roman" w:hAnsi="Times New Roman"/>
                <w:sz w:val="20"/>
              </w:rPr>
              <w:t>Citigroup Global Markets Inc.</w:t>
            </w:r>
          </w:p>
        </w:tc>
        <w:tc>
          <w:tcPr>
            <w:tcW w:w="335"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595" w:type="dxa"/>
            <w:tcBorders/>
            <w:shd w:fill="CCEEFF" w:val="clear"/>
            <w:vAlign w:val="bottom"/>
          </w:tcPr>
          <w:p>
            <w:pPr>
              <w:pStyle w:val="TableContents"/>
              <w:spacing w:before="0" w:after="283"/>
              <w:jc w:val="right"/>
              <w:rPr/>
            </w:pPr>
            <w:r>
              <w:rPr/>
              <w:t>13,750,000</w:t>
            </w:r>
          </w:p>
        </w:tc>
        <w:tc>
          <w:tcPr>
            <w:tcW w:w="62" w:type="dxa"/>
            <w:tcBorders/>
            <w:shd w:fill="CCEEFF" w:val="clear"/>
            <w:vAlign w:val="bottom"/>
          </w:tcPr>
          <w:p>
            <w:pPr>
              <w:pStyle w:val="TableContents"/>
              <w:spacing w:before="0" w:after="283"/>
              <w:rPr/>
            </w:pPr>
            <w:r>
              <w:rPr/>
              <w:t> </w:t>
            </w:r>
          </w:p>
        </w:tc>
      </w:tr>
      <w:tr>
        <w:trPr/>
        <w:tc>
          <w:tcPr>
            <w:tcW w:w="4862" w:type="dxa"/>
            <w:tcBorders/>
            <w:shd w:fill="auto" w:val="clear"/>
          </w:tcPr>
          <w:p>
            <w:pPr>
              <w:pStyle w:val="TableContents"/>
              <w:spacing w:before="0" w:after="0"/>
              <w:rPr>
                <w:rFonts w:ascii="Times New Roman" w:hAnsi="Times New Roman"/>
                <w:sz w:val="20"/>
              </w:rPr>
            </w:pPr>
            <w:r>
              <w:rPr>
                <w:rFonts w:ascii="Times New Roman" w:hAnsi="Times New Roman"/>
                <w:sz w:val="20"/>
              </w:rPr>
              <w:t>Barclays Capital Inc.</w:t>
            </w:r>
          </w:p>
        </w:tc>
        <w:tc>
          <w:tcPr>
            <w:tcW w:w="335"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595" w:type="dxa"/>
            <w:tcBorders/>
            <w:shd w:fill="auto" w:val="clear"/>
            <w:vAlign w:val="bottom"/>
          </w:tcPr>
          <w:p>
            <w:pPr>
              <w:pStyle w:val="TableContents"/>
              <w:spacing w:before="0" w:after="283"/>
              <w:jc w:val="right"/>
              <w:rPr/>
            </w:pPr>
            <w:r>
              <w:rPr/>
              <w:t>13,750,000</w:t>
            </w:r>
          </w:p>
        </w:tc>
        <w:tc>
          <w:tcPr>
            <w:tcW w:w="62" w:type="dxa"/>
            <w:tcBorders/>
            <w:shd w:fill="auto" w:val="clear"/>
            <w:vAlign w:val="bottom"/>
          </w:tcPr>
          <w:p>
            <w:pPr>
              <w:pStyle w:val="TableContents"/>
              <w:spacing w:before="0" w:after="283"/>
              <w:rPr/>
            </w:pPr>
            <w:r>
              <w:rPr/>
              <w:t> </w:t>
            </w:r>
          </w:p>
        </w:tc>
      </w:tr>
      <w:tr>
        <w:trPr/>
        <w:tc>
          <w:tcPr>
            <w:tcW w:w="4862" w:type="dxa"/>
            <w:tcBorders/>
            <w:shd w:fill="CCEEFF" w:val="clear"/>
          </w:tcPr>
          <w:p>
            <w:pPr>
              <w:pStyle w:val="TableContents"/>
              <w:spacing w:before="0" w:after="0"/>
              <w:rPr>
                <w:rFonts w:ascii="Times New Roman" w:hAnsi="Times New Roman"/>
                <w:sz w:val="20"/>
              </w:rPr>
            </w:pPr>
            <w:r>
              <w:rPr>
                <w:rFonts w:ascii="Times New Roman" w:hAnsi="Times New Roman"/>
                <w:sz w:val="20"/>
              </w:rPr>
              <w:t>Total</w:t>
            </w:r>
          </w:p>
        </w:tc>
        <w:tc>
          <w:tcPr>
            <w:tcW w:w="335"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595" w:type="dxa"/>
            <w:tcBorders/>
            <w:shd w:fill="CCEEFF" w:val="clear"/>
            <w:vAlign w:val="bottom"/>
          </w:tcPr>
          <w:p>
            <w:pPr>
              <w:pStyle w:val="TableContents"/>
              <w:spacing w:before="0" w:after="283"/>
              <w:jc w:val="right"/>
              <w:rPr/>
            </w:pPr>
            <w:r>
              <w:rPr/>
              <w:t>27,500,000</w:t>
            </w:r>
          </w:p>
        </w:tc>
        <w:tc>
          <w:tcPr>
            <w:tcW w:w="62" w:type="dxa"/>
            <w:tcBorders/>
            <w:shd w:fill="CCEEFF" w:val="clear"/>
            <w:vAlign w:val="bottom"/>
          </w:tcPr>
          <w:p>
            <w:pPr>
              <w:pStyle w:val="TableContents"/>
              <w:spacing w:before="0" w:after="283"/>
              <w:rPr/>
            </w:pPr>
            <w:r>
              <w:rPr/>
              <w:t> </w:t>
            </w:r>
          </w:p>
        </w:tc>
      </w:tr>
      <w:tr>
        <w:trPr/>
        <w:tc>
          <w:tcPr>
            <w:tcW w:w="4862" w:type="dxa"/>
            <w:tcBorders/>
            <w:shd w:fill="auto" w:val="clear"/>
            <w:vAlign w:val="bottom"/>
          </w:tcPr>
          <w:p>
            <w:pPr>
              <w:pStyle w:val="TableContents"/>
              <w:spacing w:before="0" w:after="283"/>
              <w:rPr>
                <w:sz w:val="4"/>
                <w:szCs w:val="4"/>
              </w:rPr>
            </w:pPr>
            <w:r>
              <w:rPr>
                <w:sz w:val="4"/>
                <w:szCs w:val="4"/>
              </w:rPr>
            </w:r>
          </w:p>
        </w:tc>
        <w:tc>
          <w:tcPr>
            <w:tcW w:w="335"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pBdr>
                <w:top w:val="single" w:sz="2" w:space="1" w:color="000000"/>
              </w:pBdr>
              <w:spacing w:before="0" w:after="0"/>
              <w:rPr/>
            </w:pPr>
            <w:r>
              <w:rPr/>
              <w:t> </w:t>
            </w:r>
          </w:p>
        </w:tc>
        <w:tc>
          <w:tcPr>
            <w:tcW w:w="1595" w:type="dxa"/>
            <w:tcBorders/>
            <w:shd w:fill="auto" w:val="clear"/>
            <w:vAlign w:val="bottom"/>
          </w:tcPr>
          <w:p>
            <w:pPr>
              <w:pStyle w:val="TableContents"/>
              <w:pBdr>
                <w:top w:val="single" w:sz="2" w:space="1" w:color="000000"/>
              </w:pBdr>
              <w:spacing w:before="0" w:after="0"/>
              <w:rPr/>
            </w:pPr>
            <w:r>
              <w:rPr/>
              <w:t> </w:t>
            </w:r>
          </w:p>
        </w:tc>
        <w:tc>
          <w:tcPr>
            <w:tcW w:w="62" w:type="dxa"/>
            <w:tcBorders/>
            <w:shd w:fill="auto" w:val="clear"/>
            <w:vAlign w:val="center"/>
          </w:tcPr>
          <w:p>
            <w:pPr>
              <w:pStyle w:val="TableContents"/>
              <w:spacing w:before="0" w:after="283"/>
              <w:rPr/>
            </w:pPr>
            <w:r>
              <w:rPr/>
              <w:t> </w:t>
            </w:r>
          </w:p>
        </w:tc>
      </w:tr>
    </w:tbl>
    <w:p>
      <w:pPr>
        <w:pStyle w:val="HorizontalLine"/>
        <w:pBdr>
          <w:bottom w:val="double" w:sz="6" w:space="0" w:color="808080"/>
        </w:pBdr>
        <w:rPr/>
      </w:pPr>
      <w:r>
        <w:br w:type="page"/>
      </w:r>
      <w:r>
        <w:rPr/>
      </w:r>
    </w:p>
    <w:p>
      <w:pPr>
        <w:pStyle w:val="TextBody"/>
        <w:spacing w:before="0" w:after="0"/>
        <w:jc w:val="center"/>
        <w:rPr>
          <w:rFonts w:ascii="Times New Roman" w:hAnsi="Times New Roman"/>
          <w:sz w:val="20"/>
          <w:u w:val="single"/>
        </w:rPr>
      </w:pPr>
      <w:r>
        <w:rPr>
          <w:rFonts w:ascii="Times New Roman" w:hAnsi="Times New Roman"/>
          <w:sz w:val="20"/>
          <w:u w:val="single"/>
        </w:rPr>
        <w:t xml:space="preserve">SCHEDULE II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451"/>
        <w:gridCol w:w="330"/>
        <w:gridCol w:w="9424"/>
      </w:tblGrid>
      <w:tr>
        <w:trPr/>
        <w:tc>
          <w:tcPr>
            <w:tcW w:w="451"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bottom"/>
          </w:tcPr>
          <w:p>
            <w:pPr>
              <w:pStyle w:val="TableContents"/>
              <w:spacing w:before="0" w:after="283"/>
              <w:rPr>
                <w:sz w:val="4"/>
                <w:szCs w:val="4"/>
              </w:rPr>
            </w:pPr>
            <w:r>
              <w:rPr>
                <w:sz w:val="4"/>
                <w:szCs w:val="4"/>
              </w:rPr>
            </w:r>
          </w:p>
        </w:tc>
        <w:tc>
          <w:tcPr>
            <w:tcW w:w="9424" w:type="dxa"/>
            <w:tcBorders/>
            <w:shd w:fill="auto" w:val="clear"/>
            <w:vAlign w:val="center"/>
          </w:tcPr>
          <w:p>
            <w:pPr>
              <w:pStyle w:val="TableContents"/>
              <w:spacing w:before="0" w:after="283"/>
              <w:rPr>
                <w:sz w:val="4"/>
                <w:szCs w:val="4"/>
              </w:rPr>
            </w:pPr>
            <w:r>
              <w:rPr>
                <w:sz w:val="4"/>
                <w:szCs w:val="4"/>
              </w:rPr>
            </w:r>
          </w:p>
        </w:tc>
      </w:tr>
      <w:tr>
        <w:trPr/>
        <w:tc>
          <w:tcPr>
            <w:tcW w:w="10205" w:type="dxa"/>
            <w:gridSpan w:val="3"/>
            <w:tcBorders/>
            <w:shd w:fill="auto" w:val="clear"/>
          </w:tcPr>
          <w:p>
            <w:pPr>
              <w:pStyle w:val="TableContents"/>
              <w:spacing w:before="0" w:after="283"/>
              <w:rPr/>
            </w:pPr>
            <w:r>
              <w:rPr/>
              <w:t>Time of Delivery Information</w:t>
            </w:r>
          </w:p>
        </w:tc>
      </w:tr>
      <w:tr>
        <w:trPr>
          <w:trHeight w:val="120" w:hRule="atLeast"/>
        </w:trPr>
        <w:tc>
          <w:tcPr>
            <w:tcW w:w="451" w:type="dxa"/>
            <w:tcBorders/>
            <w:shd w:fill="auto" w:val="clear"/>
            <w:vAlign w:val="center"/>
          </w:tcPr>
          <w:p>
            <w:pPr>
              <w:pStyle w:val="TableContents"/>
              <w:spacing w:before="0" w:after="283"/>
              <w:rPr>
                <w:sz w:val="4"/>
                <w:szCs w:val="4"/>
              </w:rPr>
            </w:pPr>
            <w:r>
              <w:rPr>
                <w:sz w:val="4"/>
                <w:szCs w:val="4"/>
              </w:rPr>
            </w:r>
          </w:p>
        </w:tc>
        <w:tc>
          <w:tcPr>
            <w:tcW w:w="9754" w:type="dxa"/>
            <w:gridSpan w:val="2"/>
            <w:tcBorders/>
            <w:shd w:fill="auto" w:val="clear"/>
            <w:vAlign w:val="center"/>
          </w:tcPr>
          <w:p>
            <w:pPr>
              <w:pStyle w:val="TableContents"/>
              <w:spacing w:before="0" w:after="283"/>
              <w:rPr>
                <w:sz w:val="4"/>
                <w:szCs w:val="4"/>
              </w:rPr>
            </w:pPr>
            <w:r>
              <w:rPr>
                <w:sz w:val="4"/>
                <w:szCs w:val="4"/>
              </w:rPr>
            </w:r>
          </w:p>
        </w:tc>
      </w:tr>
      <w:tr>
        <w:trPr/>
        <w:tc>
          <w:tcPr>
            <w:tcW w:w="451" w:type="dxa"/>
            <w:tcBorders/>
            <w:shd w:fill="auto" w:val="clear"/>
          </w:tcPr>
          <w:p>
            <w:pPr>
              <w:pStyle w:val="TableContents"/>
              <w:spacing w:before="0" w:after="283"/>
              <w:rPr/>
            </w:pPr>
            <w:r>
              <w:rPr/>
              <w:t>    </w:t>
            </w:r>
            <w:r>
              <w:rPr/>
              <w:t>1.</w:t>
            </w:r>
          </w:p>
        </w:tc>
        <w:tc>
          <w:tcPr>
            <w:tcW w:w="330" w:type="dxa"/>
            <w:tcBorders/>
            <w:shd w:fill="auto" w:val="clear"/>
            <w:vAlign w:val="bottom"/>
          </w:tcPr>
          <w:p>
            <w:pPr>
              <w:pStyle w:val="TableContents"/>
              <w:spacing w:before="0" w:after="283"/>
              <w:rPr/>
            </w:pPr>
            <w:r>
              <w:rPr/>
              <w:t>  </w:t>
            </w:r>
          </w:p>
        </w:tc>
        <w:tc>
          <w:tcPr>
            <w:tcW w:w="9424" w:type="dxa"/>
            <w:tcBorders/>
            <w:shd w:fill="auto" w:val="clear"/>
          </w:tcPr>
          <w:p>
            <w:pPr>
              <w:pStyle w:val="TableContents"/>
              <w:spacing w:before="0" w:after="283"/>
              <w:rPr/>
            </w:pPr>
            <w:r>
              <w:rPr/>
              <w:t>The initial price to the public of the Securities: $10.00 per Unit.</w:t>
            </w:r>
          </w:p>
        </w:tc>
      </w:tr>
      <w:tr>
        <w:trPr>
          <w:trHeight w:val="120" w:hRule="atLeast"/>
        </w:trPr>
        <w:tc>
          <w:tcPr>
            <w:tcW w:w="451" w:type="dxa"/>
            <w:tcBorders/>
            <w:shd w:fill="auto" w:val="clear"/>
            <w:vAlign w:val="center"/>
          </w:tcPr>
          <w:p>
            <w:pPr>
              <w:pStyle w:val="TableContents"/>
              <w:spacing w:before="0" w:after="283"/>
              <w:rPr>
                <w:sz w:val="4"/>
                <w:szCs w:val="4"/>
              </w:rPr>
            </w:pPr>
            <w:r>
              <w:rPr>
                <w:sz w:val="4"/>
                <w:szCs w:val="4"/>
              </w:rPr>
            </w:r>
          </w:p>
        </w:tc>
        <w:tc>
          <w:tcPr>
            <w:tcW w:w="9754" w:type="dxa"/>
            <w:gridSpan w:val="2"/>
            <w:tcBorders/>
            <w:shd w:fill="auto" w:val="clear"/>
            <w:vAlign w:val="center"/>
          </w:tcPr>
          <w:p>
            <w:pPr>
              <w:pStyle w:val="TableContents"/>
              <w:spacing w:before="0" w:after="283"/>
              <w:rPr>
                <w:sz w:val="4"/>
                <w:szCs w:val="4"/>
              </w:rPr>
            </w:pPr>
            <w:r>
              <w:rPr>
                <w:sz w:val="4"/>
                <w:szCs w:val="4"/>
              </w:rPr>
            </w:r>
          </w:p>
        </w:tc>
      </w:tr>
      <w:tr>
        <w:trPr/>
        <w:tc>
          <w:tcPr>
            <w:tcW w:w="451" w:type="dxa"/>
            <w:tcBorders/>
            <w:shd w:fill="auto" w:val="clear"/>
          </w:tcPr>
          <w:p>
            <w:pPr>
              <w:pStyle w:val="TableContents"/>
              <w:spacing w:before="0" w:after="283"/>
              <w:rPr/>
            </w:pPr>
            <w:r>
              <w:rPr/>
              <w:t>    </w:t>
            </w:r>
            <w:r>
              <w:rPr/>
              <w:t>2.</w:t>
            </w:r>
          </w:p>
        </w:tc>
        <w:tc>
          <w:tcPr>
            <w:tcW w:w="330" w:type="dxa"/>
            <w:tcBorders/>
            <w:shd w:fill="auto" w:val="clear"/>
            <w:vAlign w:val="bottom"/>
          </w:tcPr>
          <w:p>
            <w:pPr>
              <w:pStyle w:val="TableContents"/>
              <w:spacing w:before="0" w:after="283"/>
              <w:rPr/>
            </w:pPr>
            <w:r>
              <w:rPr/>
              <w:t>  </w:t>
            </w:r>
          </w:p>
        </w:tc>
        <w:tc>
          <w:tcPr>
            <w:tcW w:w="9424" w:type="dxa"/>
            <w:tcBorders/>
            <w:shd w:fill="auto" w:val="clear"/>
          </w:tcPr>
          <w:p>
            <w:pPr>
              <w:pStyle w:val="TableContents"/>
              <w:spacing w:before="0" w:after="283"/>
              <w:rPr/>
            </w:pPr>
            <w:r>
              <w:rPr/>
              <w:t>Number of Underwritten Securities offered: 27,500,000</w:t>
            </w:r>
          </w:p>
        </w:tc>
      </w:tr>
    </w:tbl>
    <w:p>
      <w:pPr>
        <w:pStyle w:val="HorizontalLine"/>
        <w:pBdr>
          <w:bottom w:val="double" w:sz="6" w:space="0" w:color="808080"/>
        </w:pBdr>
        <w:rPr/>
      </w:pPr>
      <w:r>
        <w:br w:type="page"/>
      </w:r>
      <w:r>
        <w:rPr/>
      </w:r>
    </w:p>
    <w:p>
      <w:pPr>
        <w:pStyle w:val="TextBody"/>
        <w:spacing w:before="0" w:after="0"/>
        <w:jc w:val="center"/>
        <w:rPr>
          <w:rFonts w:ascii="Times New Roman" w:hAnsi="Times New Roman"/>
          <w:sz w:val="20"/>
          <w:u w:val="single"/>
        </w:rPr>
      </w:pPr>
      <w:r>
        <w:rPr>
          <w:rFonts w:ascii="Times New Roman" w:hAnsi="Times New Roman"/>
          <w:sz w:val="20"/>
          <w:u w:val="single"/>
        </w:rPr>
        <w:t xml:space="preserve">SCHEDULE III </w:t>
      </w:r>
    </w:p>
    <w:p>
      <w:pPr>
        <w:pStyle w:val="TextBody"/>
        <w:spacing w:before="240" w:after="0"/>
        <w:jc w:val="left"/>
        <w:rPr>
          <w:rFonts w:ascii="Times New Roman" w:hAnsi="Times New Roman"/>
          <w:sz w:val="20"/>
        </w:rPr>
      </w:pPr>
      <w:r>
        <w:rPr>
          <w:rFonts w:ascii="Times New Roman" w:hAnsi="Times New Roman"/>
          <w:sz w:val="20"/>
        </w:rPr>
        <w:t xml:space="preserve">Schedule of Written Testing-the-Waters Communications </w:t>
      </w:r>
    </w:p>
    <w:p>
      <w:pPr>
        <w:pStyle w:val="TextBody"/>
        <w:spacing w:before="240" w:after="0"/>
        <w:jc w:val="left"/>
        <w:rPr>
          <w:rFonts w:ascii="Times New Roman" w:hAnsi="Times New Roman"/>
          <w:sz w:val="20"/>
        </w:rPr>
      </w:pPr>
      <w:r>
        <w:rPr>
          <w:rFonts w:ascii="Times New Roman" w:hAnsi="Times New Roman"/>
          <w:sz w:val="20"/>
        </w:rPr>
        <w:t xml:space="preserve">None. </w:t>
      </w:r>
      <w:r>
        <w:br w:type="page"/>
      </w:r>
    </w:p>
    <w:p>
      <w:pPr>
        <w:pStyle w:val="TextBody"/>
        <w:spacing w:before="0" w:after="0"/>
        <w:jc w:val="right"/>
        <w:rPr>
          <w:rFonts w:ascii="Times New Roman" w:hAnsi="Times New Roman"/>
          <w:b/>
          <w:sz w:val="20"/>
        </w:rPr>
      </w:pPr>
      <w:bookmarkStart w:id="4" w:name="d167128dex31.htm"/>
      <w:bookmarkStart w:id="5" w:name="ksd167128dex31"/>
      <w:bookmarkEnd w:id="4"/>
      <w:bookmarkEnd w:id="5"/>
      <w:r>
        <w:rPr>
          <w:rFonts w:ascii="Times New Roman" w:hAnsi="Times New Roman"/>
          <w:b/>
          <w:sz w:val="20"/>
        </w:rPr>
        <w:t xml:space="preserve">Exhibit 3.1 </w:t>
      </w:r>
    </w:p>
    <w:p>
      <w:pPr>
        <w:pStyle w:val="TextBody"/>
        <w:spacing w:before="0" w:after="0"/>
        <w:jc w:val="left"/>
        <w:rPr/>
      </w:pPr>
      <w:r>
        <w:rPr/>
        <w:t> </w:t>
      </w:r>
    </w:p>
    <w:p>
      <w:pPr>
        <w:pStyle w:val="TextBody"/>
        <w:spacing w:before="0" w:after="0"/>
        <w:jc w:val="right"/>
        <w:rPr/>
      </w:pPr>
      <w:r>
        <w:rPr/>
        <w:drawing>
          <wp:inline distT="0" distB="0" distL="0" distR="0">
            <wp:extent cx="914400" cy="914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14400" cy="914400"/>
                    </a:xfrm>
                    <a:prstGeom prst="rect">
                      <a:avLst/>
                    </a:prstGeom>
                  </pic:spPr>
                </pic:pic>
              </a:graphicData>
            </a:graphic>
          </wp:inline>
        </w:drawing>
      </w:r>
      <w:r>
        <w:rPr/>
        <w:t xml:space="preserve">              </w:t>
      </w:r>
    </w:p>
    <w:p>
      <w:pPr>
        <w:pStyle w:val="TextBody"/>
        <w:spacing w:before="20" w:after="0"/>
        <w:jc w:val="right"/>
        <w:rPr>
          <w:rFonts w:ascii="Times New Roman" w:hAnsi="Times New Roman"/>
          <w:sz w:val="20"/>
        </w:rPr>
      </w:pPr>
      <w:r>
        <w:rPr>
          <w:rFonts w:ascii="Times New Roman" w:hAnsi="Times New Roman"/>
          <w:b/>
          <w:i/>
          <w:sz w:val="20"/>
        </w:rPr>
        <w:t>EXEMPTED</w:t>
      </w:r>
      <w:r>
        <w:rPr>
          <w:rFonts w:ascii="Times New Roman" w:hAnsi="Times New Roman"/>
          <w:sz w:val="20"/>
        </w:rPr>
        <w:t xml:space="preserve"> </w:t>
      </w:r>
      <w:r>
        <w:rPr>
          <w:rFonts w:ascii="Times New Roman" w:hAnsi="Times New Roman"/>
          <w:i/>
          <w:sz w:val="20"/>
        </w:rPr>
        <w:t>Company Registered and</w:t>
      </w:r>
      <w:r>
        <w:rPr>
          <w:rFonts w:ascii="Times New Roman" w:hAnsi="Times New Roman"/>
          <w:sz w:val="20"/>
        </w:rPr>
        <w:t xml:space="preserve"> </w:t>
      </w:r>
    </w:p>
    <w:p>
      <w:pPr>
        <w:pStyle w:val="TextBody"/>
        <w:spacing w:before="20" w:after="0"/>
        <w:jc w:val="right"/>
        <w:rPr>
          <w:rFonts w:ascii="Times New Roman" w:hAnsi="Times New Roman"/>
          <w:sz w:val="20"/>
        </w:rPr>
      </w:pPr>
      <w:r>
        <w:rPr>
          <w:rFonts w:ascii="Times New Roman" w:hAnsi="Times New Roman"/>
          <w:i/>
          <w:sz w:val="20"/>
        </w:rPr>
        <w:t>filed as No. 370146 On 13-Jan-2021</w:t>
      </w:r>
      <w:r>
        <w:rPr>
          <w:rFonts w:ascii="Times New Roman" w:hAnsi="Times New Roman"/>
          <w:sz w:val="20"/>
        </w:rPr>
        <w:t xml:space="preserve"> </w:t>
      </w:r>
    </w:p>
    <w:p>
      <w:pPr>
        <w:pStyle w:val="TextBody"/>
        <w:spacing w:before="0" w:after="0"/>
        <w:jc w:val="left"/>
        <w:rPr/>
      </w:pPr>
      <w:r>
        <w:rPr/>
        <w:t> </w:t>
      </w:r>
    </w:p>
    <w:p>
      <w:pPr>
        <w:pStyle w:val="TextBody"/>
        <w:spacing w:before="0" w:after="0"/>
        <w:jc w:val="right"/>
        <w:rPr/>
      </w:pPr>
      <w:r>
        <w:rPr/>
        <w:drawing>
          <wp:inline distT="0" distB="0" distL="0" distR="0">
            <wp:extent cx="447675" cy="3619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47675" cy="361950"/>
                    </a:xfrm>
                    <a:prstGeom prst="rect">
                      <a:avLst/>
                    </a:prstGeom>
                  </pic:spPr>
                </pic:pic>
              </a:graphicData>
            </a:graphic>
          </wp:inline>
        </w:drawing>
      </w:r>
      <w:r>
        <w:rPr/>
        <w:t xml:space="preserve">                                           </w:t>
      </w:r>
    </w:p>
    <w:p>
      <w:pPr>
        <w:pStyle w:val="TextBody"/>
        <w:spacing w:before="0" w:after="0"/>
        <w:jc w:val="right"/>
        <w:rPr>
          <w:rFonts w:ascii="Times New Roman" w:hAnsi="Times New Roman"/>
          <w:sz w:val="20"/>
        </w:rPr>
      </w:pPr>
      <w:r>
        <w:rPr>
          <w:rFonts w:ascii="Times New Roman" w:hAnsi="Times New Roman"/>
          <w:i/>
          <w:sz w:val="20"/>
        </w:rPr>
        <w:t>Acting Assistant Registrar</w:t>
      </w:r>
      <w:r>
        <w:rPr>
          <w:rFonts w:ascii="Times New Roman" w:hAnsi="Times New Roman"/>
          <w:sz w:val="20"/>
        </w:rPr>
        <w:t xml:space="preserve"> </w:t>
      </w:r>
    </w:p>
    <w:p>
      <w:pPr>
        <w:pStyle w:val="TextBody"/>
        <w:spacing w:before="240" w:after="0"/>
        <w:jc w:val="center"/>
        <w:rPr>
          <w:rFonts w:ascii="Times New Roman" w:hAnsi="Times New Roman"/>
          <w:b/>
          <w:sz w:val="20"/>
        </w:rPr>
      </w:pPr>
      <w:r>
        <w:rPr>
          <w:rFonts w:ascii="Times New Roman" w:hAnsi="Times New Roman"/>
          <w:b/>
          <w:sz w:val="20"/>
        </w:rPr>
        <w:t xml:space="preserve">THE COMPANIES ACT (2020 REVISION) </w:t>
      </w:r>
    </w:p>
    <w:p>
      <w:pPr>
        <w:pStyle w:val="TextBody"/>
        <w:spacing w:before="0" w:after="0"/>
        <w:jc w:val="center"/>
        <w:rPr>
          <w:rFonts w:ascii="Times New Roman" w:hAnsi="Times New Roman"/>
          <w:b/>
          <w:sz w:val="20"/>
        </w:rPr>
      </w:pPr>
      <w:r>
        <w:rPr>
          <w:rFonts w:ascii="Times New Roman" w:hAnsi="Times New Roman"/>
          <w:b/>
          <w:sz w:val="20"/>
        </w:rPr>
        <w:t xml:space="preserve">OF THE CAYMAN ISLANDS </w:t>
      </w:r>
    </w:p>
    <w:p>
      <w:pPr>
        <w:pStyle w:val="TextBody"/>
        <w:spacing w:before="0" w:after="0"/>
        <w:jc w:val="center"/>
        <w:rPr>
          <w:rFonts w:ascii="Times New Roman" w:hAnsi="Times New Roman"/>
          <w:b/>
          <w:sz w:val="20"/>
        </w:rPr>
      </w:pPr>
      <w:r>
        <w:rPr>
          <w:rFonts w:ascii="Times New Roman" w:hAnsi="Times New Roman"/>
          <w:b/>
          <w:sz w:val="20"/>
        </w:rPr>
        <w:t xml:space="preserve">COMPANY LIMITED BY SHARES </w:t>
      </w:r>
    </w:p>
    <w:p>
      <w:pPr>
        <w:pStyle w:val="TextBody"/>
        <w:spacing w:before="240" w:after="0"/>
        <w:jc w:val="center"/>
        <w:rPr>
          <w:rFonts w:ascii="Times New Roman" w:hAnsi="Times New Roman"/>
          <w:b/>
          <w:sz w:val="20"/>
        </w:rPr>
      </w:pPr>
      <w:r>
        <w:rPr>
          <w:rFonts w:ascii="Times New Roman" w:hAnsi="Times New Roman"/>
          <w:b/>
          <w:sz w:val="20"/>
        </w:rPr>
        <w:t xml:space="preserve">MEMORANDUM AND ARTICLES OF ASSOCIATION </w:t>
      </w:r>
    </w:p>
    <w:p>
      <w:pPr>
        <w:pStyle w:val="TextBody"/>
        <w:spacing w:before="240" w:after="0"/>
        <w:jc w:val="center"/>
        <w:rPr>
          <w:rFonts w:ascii="Times New Roman" w:hAnsi="Times New Roman"/>
          <w:b/>
          <w:sz w:val="20"/>
        </w:rPr>
      </w:pPr>
      <w:r>
        <w:rPr>
          <w:rFonts w:ascii="Times New Roman" w:hAnsi="Times New Roman"/>
          <w:b/>
          <w:sz w:val="20"/>
        </w:rPr>
        <w:t xml:space="preserve">OF </w:t>
      </w:r>
    </w:p>
    <w:p>
      <w:pPr>
        <w:pStyle w:val="TextBody"/>
        <w:spacing w:before="240" w:after="0"/>
        <w:jc w:val="center"/>
        <w:rPr>
          <w:rFonts w:ascii="Times New Roman" w:hAnsi="Times New Roman"/>
          <w:b/>
          <w:sz w:val="20"/>
        </w:rPr>
      </w:pPr>
      <w:r>
        <w:rPr>
          <w:rFonts w:ascii="Times New Roman" w:hAnsi="Times New Roman"/>
          <w:b/>
          <w:sz w:val="20"/>
        </w:rPr>
        <w:t xml:space="preserve">ARCLIGHT CLEAN TRANSITION CORP. II </w:t>
      </w:r>
    </w:p>
    <w:p>
      <w:pPr>
        <w:pStyle w:val="TextBody"/>
        <w:spacing w:before="0" w:after="0"/>
        <w:jc w:val="left"/>
        <w:rPr/>
      </w:pPr>
      <w:r>
        <w:rPr/>
        <w:t> </w:t>
      </w:r>
    </w:p>
    <w:p>
      <w:pPr>
        <w:pStyle w:val="TextBody"/>
        <w:spacing w:before="80" w:after="0"/>
        <w:jc w:val="right"/>
        <w:rPr>
          <w:rFonts w:ascii="Times New Roman" w:hAnsi="Times New Roman"/>
          <w:sz w:val="20"/>
        </w:rPr>
      </w:pPr>
      <w:r>
        <w:rPr>
          <w:rFonts w:ascii="Times New Roman" w:hAnsi="Times New Roman"/>
          <w:i/>
          <w:sz w:val="20"/>
        </w:rPr>
        <w:t>Auth Code: K76986809904</w:t>
      </w:r>
      <w:r>
        <w:rPr>
          <w:rFonts w:ascii="Times New Roman" w:hAnsi="Times New Roman"/>
          <w:sz w:val="20"/>
        </w:rPr>
        <w:t xml:space="preserve"> </w:t>
      </w:r>
    </w:p>
    <w:p>
      <w:pPr>
        <w:pStyle w:val="TextBody"/>
        <w:spacing w:before="0" w:after="0"/>
        <w:jc w:val="right"/>
        <w:rPr>
          <w:rFonts w:ascii="Times New Roman" w:hAnsi="Times New Roman"/>
          <w:sz w:val="20"/>
        </w:rPr>
      </w:pPr>
      <w:r>
        <w:rPr>
          <w:rFonts w:ascii="Times New Roman" w:hAnsi="Times New Roman"/>
          <w:i/>
          <w:sz w:val="20"/>
        </w:rPr>
        <w:t>www.verify.gov.ky</w:t>
      </w:r>
      <w:r>
        <w:rPr>
          <w:rFonts w:ascii="Times New Roman" w:hAnsi="Times New Roman"/>
          <w:sz w:val="20"/>
        </w:rPr>
        <w:t xml:space="preserve"> </w:t>
      </w:r>
      <w:r>
        <w:br w:type="page"/>
      </w:r>
    </w:p>
    <w:p>
      <w:pPr>
        <w:pStyle w:val="HorizontalLine"/>
        <w:pBdr>
          <w:bottom w:val="double" w:sz="6" w:space="0" w:color="808080"/>
        </w:pBdr>
        <w:rPr/>
      </w:pPr>
      <w:r>
        <w:rPr/>
      </w:r>
    </w:p>
    <w:p>
      <w:pPr>
        <w:pStyle w:val="TextBody"/>
        <w:spacing w:before="0" w:after="0"/>
        <w:jc w:val="right"/>
        <w:rPr/>
      </w:pPr>
      <w:r>
        <w:rPr/>
        <w:drawing>
          <wp:inline distT="0" distB="0" distL="0" distR="0">
            <wp:extent cx="914400" cy="9144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14400" cy="914400"/>
                    </a:xfrm>
                    <a:prstGeom prst="rect">
                      <a:avLst/>
                    </a:prstGeom>
                  </pic:spPr>
                </pic:pic>
              </a:graphicData>
            </a:graphic>
          </wp:inline>
        </w:drawing>
      </w:r>
      <w:r>
        <w:rPr/>
        <w:t xml:space="preserve">              </w:t>
      </w:r>
    </w:p>
    <w:p>
      <w:pPr>
        <w:pStyle w:val="TextBody"/>
        <w:spacing w:before="20" w:after="0"/>
        <w:jc w:val="right"/>
        <w:rPr>
          <w:rFonts w:ascii="Times New Roman" w:hAnsi="Times New Roman"/>
          <w:sz w:val="20"/>
        </w:rPr>
      </w:pPr>
      <w:r>
        <w:rPr>
          <w:rFonts w:ascii="Times New Roman" w:hAnsi="Times New Roman"/>
          <w:b/>
          <w:i/>
          <w:sz w:val="20"/>
        </w:rPr>
        <w:t>EXEMPTED</w:t>
      </w:r>
      <w:r>
        <w:rPr>
          <w:rFonts w:ascii="Times New Roman" w:hAnsi="Times New Roman"/>
          <w:sz w:val="20"/>
        </w:rPr>
        <w:t xml:space="preserve"> </w:t>
      </w:r>
      <w:r>
        <w:rPr>
          <w:rFonts w:ascii="Times New Roman" w:hAnsi="Times New Roman"/>
          <w:i/>
          <w:sz w:val="20"/>
        </w:rPr>
        <w:t>Company Registered and</w:t>
      </w:r>
      <w:r>
        <w:rPr>
          <w:rFonts w:ascii="Times New Roman" w:hAnsi="Times New Roman"/>
          <w:sz w:val="20"/>
        </w:rPr>
        <w:t xml:space="preserve"> </w:t>
      </w:r>
    </w:p>
    <w:p>
      <w:pPr>
        <w:pStyle w:val="TextBody"/>
        <w:spacing w:before="20" w:after="0"/>
        <w:jc w:val="right"/>
        <w:rPr>
          <w:rFonts w:ascii="Times New Roman" w:hAnsi="Times New Roman"/>
          <w:sz w:val="20"/>
        </w:rPr>
      </w:pPr>
      <w:r>
        <w:rPr>
          <w:rFonts w:ascii="Times New Roman" w:hAnsi="Times New Roman"/>
          <w:i/>
          <w:sz w:val="20"/>
        </w:rPr>
        <w:t>filed as No. 370146 On 13-Jan-2021</w:t>
      </w:r>
      <w:r>
        <w:rPr>
          <w:rFonts w:ascii="Times New Roman" w:hAnsi="Times New Roman"/>
          <w:sz w:val="20"/>
        </w:rPr>
        <w:t xml:space="preserve"> </w:t>
      </w:r>
    </w:p>
    <w:p>
      <w:pPr>
        <w:pStyle w:val="TextBody"/>
        <w:spacing w:before="0" w:after="0"/>
        <w:jc w:val="left"/>
        <w:rPr/>
      </w:pPr>
      <w:r>
        <w:rPr/>
        <w:t> </w:t>
      </w:r>
    </w:p>
    <w:p>
      <w:pPr>
        <w:pStyle w:val="TextBody"/>
        <w:spacing w:before="0" w:after="0"/>
        <w:jc w:val="right"/>
        <w:rPr/>
      </w:pPr>
      <w:r>
        <w:rPr/>
        <w:drawing>
          <wp:inline distT="0" distB="0" distL="0" distR="0">
            <wp:extent cx="447675" cy="3619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47675" cy="361950"/>
                    </a:xfrm>
                    <a:prstGeom prst="rect">
                      <a:avLst/>
                    </a:prstGeom>
                  </pic:spPr>
                </pic:pic>
              </a:graphicData>
            </a:graphic>
          </wp:inline>
        </w:drawing>
      </w:r>
      <w:r>
        <w:rPr/>
        <w:t xml:space="preserve">                                           </w:t>
      </w:r>
    </w:p>
    <w:p>
      <w:pPr>
        <w:pStyle w:val="TextBody"/>
        <w:spacing w:before="0" w:after="0"/>
        <w:jc w:val="right"/>
        <w:rPr>
          <w:rFonts w:ascii="Times New Roman" w:hAnsi="Times New Roman"/>
          <w:sz w:val="20"/>
        </w:rPr>
      </w:pPr>
      <w:r>
        <w:rPr>
          <w:rFonts w:ascii="Times New Roman" w:hAnsi="Times New Roman"/>
          <w:i/>
          <w:sz w:val="20"/>
        </w:rPr>
        <w:t>Acting Assistant Registrar</w:t>
      </w:r>
      <w:r>
        <w:rPr>
          <w:rFonts w:ascii="Times New Roman" w:hAnsi="Times New Roman"/>
          <w:sz w:val="20"/>
        </w:rPr>
        <w:t xml:space="preserve"> </w:t>
      </w:r>
    </w:p>
    <w:p>
      <w:pPr>
        <w:pStyle w:val="TextBody"/>
        <w:spacing w:before="0" w:after="0"/>
        <w:jc w:val="left"/>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THE COMPANIES ACT (2020 REVISION) </w:t>
      </w:r>
    </w:p>
    <w:p>
      <w:pPr>
        <w:pStyle w:val="TextBody"/>
        <w:spacing w:before="0" w:after="0"/>
        <w:jc w:val="center"/>
        <w:rPr>
          <w:rFonts w:ascii="Times New Roman" w:hAnsi="Times New Roman"/>
          <w:b/>
          <w:sz w:val="20"/>
        </w:rPr>
      </w:pPr>
      <w:r>
        <w:rPr>
          <w:rFonts w:ascii="Times New Roman" w:hAnsi="Times New Roman"/>
          <w:b/>
          <w:sz w:val="20"/>
        </w:rPr>
        <w:t xml:space="preserve">OF THE CAYMAN ISLANDS </w:t>
      </w:r>
    </w:p>
    <w:p>
      <w:pPr>
        <w:pStyle w:val="TextBody"/>
        <w:spacing w:before="0" w:after="0"/>
        <w:jc w:val="center"/>
        <w:rPr>
          <w:rFonts w:ascii="Times New Roman" w:hAnsi="Times New Roman"/>
          <w:b/>
          <w:sz w:val="20"/>
        </w:rPr>
      </w:pPr>
      <w:r>
        <w:rPr>
          <w:rFonts w:ascii="Times New Roman" w:hAnsi="Times New Roman"/>
          <w:b/>
          <w:sz w:val="20"/>
        </w:rPr>
        <w:t xml:space="preserve">COMPANY LIMITED BY SHARES </w:t>
      </w:r>
    </w:p>
    <w:p>
      <w:pPr>
        <w:pStyle w:val="TextBody"/>
        <w:spacing w:before="240" w:after="0"/>
        <w:jc w:val="center"/>
        <w:rPr>
          <w:rFonts w:ascii="Times New Roman" w:hAnsi="Times New Roman"/>
          <w:b/>
          <w:sz w:val="20"/>
        </w:rPr>
      </w:pPr>
      <w:r>
        <w:rPr>
          <w:rFonts w:ascii="Times New Roman" w:hAnsi="Times New Roman"/>
          <w:b/>
          <w:sz w:val="20"/>
        </w:rPr>
        <w:t xml:space="preserve">MEMORANDUM OF ASSOCIATION </w:t>
      </w:r>
    </w:p>
    <w:p>
      <w:pPr>
        <w:pStyle w:val="TextBody"/>
        <w:spacing w:before="0" w:after="0"/>
        <w:jc w:val="center"/>
        <w:rPr>
          <w:rFonts w:ascii="Times New Roman" w:hAnsi="Times New Roman"/>
          <w:b/>
          <w:sz w:val="20"/>
        </w:rPr>
      </w:pPr>
      <w:r>
        <w:rPr>
          <w:rFonts w:ascii="Times New Roman" w:hAnsi="Times New Roman"/>
          <w:b/>
          <w:sz w:val="20"/>
        </w:rPr>
        <w:t xml:space="preserve">OF </w:t>
      </w:r>
    </w:p>
    <w:p>
      <w:pPr>
        <w:pStyle w:val="TextBody"/>
        <w:spacing w:before="0" w:after="0"/>
        <w:jc w:val="center"/>
        <w:rPr>
          <w:rFonts w:ascii="Times New Roman" w:hAnsi="Times New Roman"/>
          <w:b/>
          <w:sz w:val="20"/>
        </w:rPr>
      </w:pPr>
      <w:r>
        <w:rPr>
          <w:rFonts w:ascii="Times New Roman" w:hAnsi="Times New Roman"/>
          <w:b/>
          <w:sz w:val="20"/>
        </w:rPr>
        <w:t xml:space="preserve">ARCLIGHT CLEAN TRANSITION CORP. II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name of the Company is </w:t>
            </w:r>
            <w:r>
              <w:rPr>
                <w:rFonts w:ascii="Times New Roman" w:hAnsi="Times New Roman"/>
                <w:b/>
                <w:sz w:val="20"/>
              </w:rPr>
              <w:t>ArcLight Clean Transition Corp. II</w:t>
            </w:r>
            <w:r>
              <w:rPr>
                <w:rFonts w:ascii="Times New Roman" w:hAnsi="Times New Roman"/>
                <w:sz w:val="20"/>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2</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Registered Office of the Company shall be at the offices of Maples Corporate Services Limited, PO Box 309, Ugland House, Grand Cayman, KY1-1104, Cayman Islands, or at such other place within the Cayman Islands as the Directors may decide.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3</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objects for which the Company is established are unrestricted and the Company shall have full power and authority to carry out any object not prohibited by the laws of the Cayman Islands.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4</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liability of each Member is limited to the amount unpaid on such Members shares.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5</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share capital of the Company is US$55,500 divided into 500,000,000 Class A ordinary shares of a par value of US$0.0001 each, 50,000,000 Class B ordinary shares of a par value of US$0.0001 each and 5,000,000 preference shares of a par value of US$0.0001 each.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6</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Company has power to register by way of continuation as a body corporate limited by shares under the laws of any jurisdiction outside the Cayman Islands and to be deregistered in the Cayman Islands.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7</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Capitalised terms that are not defined in this Memorandum of Association bear the respective meanings given to them in the Articles of Association of the Company. </w:t>
            </w:r>
          </w:p>
        </w:tc>
      </w:tr>
    </w:tbl>
    <w:p>
      <w:pPr>
        <w:pStyle w:val="TextBody"/>
        <w:spacing w:before="0" w:after="0"/>
        <w:jc w:val="left"/>
        <w:rPr/>
      </w:pPr>
      <w:r>
        <w:rPr/>
        <w:t> </w:t>
      </w:r>
    </w:p>
    <w:p>
      <w:pPr>
        <w:pStyle w:val="TextBody"/>
        <w:spacing w:before="80" w:after="0"/>
        <w:jc w:val="right"/>
        <w:rPr>
          <w:rFonts w:ascii="Times New Roman" w:hAnsi="Times New Roman"/>
          <w:i/>
          <w:sz w:val="20"/>
        </w:rPr>
      </w:pPr>
      <w:r>
        <w:rPr>
          <w:rFonts w:ascii="Times New Roman" w:hAnsi="Times New Roman"/>
          <w:i/>
          <w:sz w:val="20"/>
        </w:rPr>
        <w:t xml:space="preserve">Auth Code: K76986809904 </w:t>
      </w:r>
    </w:p>
    <w:p>
      <w:pPr>
        <w:pStyle w:val="TextBody"/>
        <w:spacing w:before="0" w:after="0"/>
        <w:jc w:val="right"/>
        <w:rPr>
          <w:rFonts w:ascii="Times New Roman" w:hAnsi="Times New Roman"/>
          <w:sz w:val="20"/>
        </w:rPr>
      </w:pPr>
      <w:r>
        <w:rPr>
          <w:rFonts w:ascii="Times New Roman" w:hAnsi="Times New Roman"/>
          <w:i/>
          <w:sz w:val="20"/>
        </w:rPr>
        <w:t>www.verify.gov.ky</w:t>
      </w:r>
      <w:r>
        <w:rPr>
          <w:rFonts w:ascii="Times New Roman" w:hAnsi="Times New Roman"/>
          <w:sz w:val="20"/>
        </w:rPr>
        <w:t xml:space="preserve"> </w:t>
      </w:r>
      <w:r>
        <w:br w:type="page"/>
      </w:r>
    </w:p>
    <w:p>
      <w:pPr>
        <w:pStyle w:val="HorizontalLine"/>
        <w:pBdr>
          <w:bottom w:val="double" w:sz="6" w:space="0" w:color="808080"/>
        </w:pBdr>
        <w:rPr/>
      </w:pPr>
      <w:r>
        <w:rPr/>
      </w:r>
    </w:p>
    <w:p>
      <w:pPr>
        <w:pStyle w:val="TextBody"/>
        <w:spacing w:before="0" w:after="0"/>
        <w:jc w:val="right"/>
        <w:rPr/>
      </w:pPr>
      <w:r>
        <w:rPr/>
        <w:drawing>
          <wp:inline distT="0" distB="0" distL="0" distR="0">
            <wp:extent cx="914400" cy="9144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14400" cy="914400"/>
                    </a:xfrm>
                    <a:prstGeom prst="rect">
                      <a:avLst/>
                    </a:prstGeom>
                  </pic:spPr>
                </pic:pic>
              </a:graphicData>
            </a:graphic>
          </wp:inline>
        </w:drawing>
      </w:r>
      <w:r>
        <w:rPr/>
        <w:t xml:space="preserve">              </w:t>
      </w:r>
    </w:p>
    <w:p>
      <w:pPr>
        <w:pStyle w:val="TextBody"/>
        <w:spacing w:before="20" w:after="0"/>
        <w:jc w:val="right"/>
        <w:rPr>
          <w:rFonts w:ascii="Times New Roman" w:hAnsi="Times New Roman"/>
          <w:sz w:val="20"/>
        </w:rPr>
      </w:pPr>
      <w:r>
        <w:rPr>
          <w:rFonts w:ascii="Times New Roman" w:hAnsi="Times New Roman"/>
          <w:b/>
          <w:i/>
          <w:sz w:val="20"/>
        </w:rPr>
        <w:t>EXEMPTED</w:t>
      </w:r>
      <w:r>
        <w:rPr>
          <w:rFonts w:ascii="Times New Roman" w:hAnsi="Times New Roman"/>
          <w:sz w:val="20"/>
        </w:rPr>
        <w:t xml:space="preserve"> </w:t>
      </w:r>
      <w:r>
        <w:rPr>
          <w:rFonts w:ascii="Times New Roman" w:hAnsi="Times New Roman"/>
          <w:i/>
          <w:sz w:val="20"/>
        </w:rPr>
        <w:t>Company Registered and</w:t>
      </w:r>
      <w:r>
        <w:rPr>
          <w:rFonts w:ascii="Times New Roman" w:hAnsi="Times New Roman"/>
          <w:sz w:val="20"/>
        </w:rPr>
        <w:t xml:space="preserve"> </w:t>
      </w:r>
    </w:p>
    <w:p>
      <w:pPr>
        <w:pStyle w:val="TextBody"/>
        <w:spacing w:before="20" w:after="0"/>
        <w:jc w:val="right"/>
        <w:rPr>
          <w:rFonts w:ascii="Times New Roman" w:hAnsi="Times New Roman"/>
          <w:sz w:val="20"/>
        </w:rPr>
      </w:pPr>
      <w:r>
        <w:rPr>
          <w:rFonts w:ascii="Times New Roman" w:hAnsi="Times New Roman"/>
          <w:i/>
          <w:sz w:val="20"/>
        </w:rPr>
        <w:t>filed as No. 370146 On 13-Jan-2021</w:t>
      </w:r>
      <w:r>
        <w:rPr>
          <w:rFonts w:ascii="Times New Roman" w:hAnsi="Times New Roman"/>
          <w:sz w:val="20"/>
        </w:rPr>
        <w:t xml:space="preserve"> </w:t>
      </w:r>
    </w:p>
    <w:p>
      <w:pPr>
        <w:pStyle w:val="TextBody"/>
        <w:spacing w:before="0" w:after="0"/>
        <w:jc w:val="left"/>
        <w:rPr/>
      </w:pPr>
      <w:r>
        <w:rPr/>
        <w:t> </w:t>
      </w:r>
    </w:p>
    <w:p>
      <w:pPr>
        <w:pStyle w:val="TextBody"/>
        <w:spacing w:before="0" w:after="0"/>
        <w:jc w:val="right"/>
        <w:rPr/>
      </w:pPr>
      <w:r>
        <w:rPr/>
        <w:drawing>
          <wp:inline distT="0" distB="0" distL="0" distR="0">
            <wp:extent cx="447675" cy="3619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447675" cy="361950"/>
                    </a:xfrm>
                    <a:prstGeom prst="rect">
                      <a:avLst/>
                    </a:prstGeom>
                  </pic:spPr>
                </pic:pic>
              </a:graphicData>
            </a:graphic>
          </wp:inline>
        </w:drawing>
      </w:r>
      <w:r>
        <w:rPr/>
        <w:t xml:space="preserve">                                           </w:t>
      </w:r>
    </w:p>
    <w:p>
      <w:pPr>
        <w:pStyle w:val="TextBody"/>
        <w:spacing w:before="0" w:after="0"/>
        <w:jc w:val="right"/>
        <w:rPr>
          <w:rFonts w:ascii="Times New Roman" w:hAnsi="Times New Roman"/>
          <w:sz w:val="20"/>
        </w:rPr>
      </w:pPr>
      <w:r>
        <w:rPr>
          <w:rFonts w:ascii="Times New Roman" w:hAnsi="Times New Roman"/>
          <w:i/>
          <w:sz w:val="20"/>
        </w:rPr>
        <w:t>Acting Assistant Registrar</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 w:hAnsi="Times New Roman"/>
          <w:sz w:val="20"/>
        </w:rPr>
        <w:t xml:space="preserve">WE, the subscriber to this Memorandum of Association, wish to form a company pursuant to this Memorandum of Association, and we agree to take the number of shares shown opposite our name. </w:t>
      </w:r>
    </w:p>
    <w:p>
      <w:pPr>
        <w:pStyle w:val="TextBody"/>
        <w:spacing w:before="240" w:after="0"/>
        <w:jc w:val="left"/>
        <w:rPr>
          <w:rFonts w:ascii="Times New Roman" w:hAnsi="Times New Roman"/>
          <w:sz w:val="20"/>
        </w:rPr>
      </w:pPr>
      <w:r>
        <w:rPr>
          <w:rFonts w:ascii="Times New Roman" w:hAnsi="Times New Roman"/>
          <w:sz w:val="20"/>
        </w:rPr>
        <w:t xml:space="preserve">Dated this 13th day of January 2021.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102"/>
        <w:gridCol w:w="101"/>
        <w:gridCol w:w="5002"/>
      </w:tblGrid>
      <w:tr>
        <w:trPr/>
        <w:tc>
          <w:tcPr>
            <w:tcW w:w="5102"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5002" w:type="dxa"/>
            <w:tcBorders/>
            <w:shd w:fill="auto" w:val="clear"/>
            <w:vAlign w:val="center"/>
          </w:tcPr>
          <w:p>
            <w:pPr>
              <w:pStyle w:val="TableContents"/>
              <w:spacing w:before="0" w:after="283"/>
              <w:rPr>
                <w:sz w:val="4"/>
                <w:szCs w:val="4"/>
              </w:rPr>
            </w:pPr>
            <w:r>
              <w:rPr>
                <w:sz w:val="4"/>
                <w:szCs w:val="4"/>
              </w:rPr>
            </w:r>
          </w:p>
        </w:tc>
      </w:tr>
      <w:tr>
        <w:trPr/>
        <w:tc>
          <w:tcPr>
            <w:tcW w:w="5102" w:type="dxa"/>
            <w:tcBorders/>
            <w:shd w:fill="auto" w:val="clear"/>
          </w:tcPr>
          <w:p>
            <w:pPr>
              <w:pStyle w:val="TableContents"/>
              <w:spacing w:before="0" w:after="283"/>
              <w:rPr>
                <w:b/>
              </w:rPr>
            </w:pPr>
            <w:r>
              <w:rPr>
                <w:b/>
              </w:rPr>
              <w:t>Signature and Address of Subscriber</w:t>
            </w:r>
          </w:p>
        </w:tc>
        <w:tc>
          <w:tcPr>
            <w:tcW w:w="101" w:type="dxa"/>
            <w:tcBorders/>
            <w:shd w:fill="auto" w:val="clear"/>
            <w:vAlign w:val="bottom"/>
          </w:tcPr>
          <w:p>
            <w:pPr>
              <w:pStyle w:val="TableContents"/>
              <w:spacing w:before="0" w:after="283"/>
              <w:rPr/>
            </w:pPr>
            <w:r>
              <w:rPr/>
              <w:t> </w:t>
            </w:r>
          </w:p>
        </w:tc>
        <w:tc>
          <w:tcPr>
            <w:tcW w:w="5002" w:type="dxa"/>
            <w:tcBorders/>
            <w:shd w:fill="auto" w:val="clear"/>
            <w:vAlign w:val="bottom"/>
          </w:tcPr>
          <w:p>
            <w:pPr>
              <w:pStyle w:val="TableContents"/>
              <w:spacing w:before="0" w:after="283"/>
              <w:rPr>
                <w:b/>
              </w:rPr>
            </w:pPr>
            <w:r>
              <w:rPr>
                <w:b/>
              </w:rPr>
              <w:t>Number of Shares Taken</w:t>
            </w:r>
          </w:p>
        </w:tc>
      </w:tr>
      <w:tr>
        <w:trPr>
          <w:trHeight w:val="240" w:hRule="atLeast"/>
        </w:trPr>
        <w:tc>
          <w:tcPr>
            <w:tcW w:w="5102" w:type="dxa"/>
            <w:tcBorders/>
            <w:shd w:fill="auto" w:val="clear"/>
            <w:vAlign w:val="center"/>
          </w:tcPr>
          <w:p>
            <w:pPr>
              <w:pStyle w:val="TableContents"/>
              <w:spacing w:before="0" w:after="283"/>
              <w:rPr>
                <w:sz w:val="4"/>
                <w:szCs w:val="4"/>
              </w:rPr>
            </w:pPr>
            <w:r>
              <w:rPr>
                <w:sz w:val="4"/>
                <w:szCs w:val="4"/>
              </w:rPr>
            </w:r>
          </w:p>
        </w:tc>
        <w:tc>
          <w:tcPr>
            <w:tcW w:w="5103" w:type="dxa"/>
            <w:gridSpan w:val="2"/>
            <w:tcBorders/>
            <w:shd w:fill="auto" w:val="clear"/>
            <w:vAlign w:val="center"/>
          </w:tcPr>
          <w:p>
            <w:pPr>
              <w:pStyle w:val="TableContents"/>
              <w:spacing w:before="0" w:after="283"/>
              <w:rPr>
                <w:sz w:val="4"/>
                <w:szCs w:val="4"/>
              </w:rPr>
            </w:pPr>
            <w:r>
              <w:rPr>
                <w:sz w:val="4"/>
                <w:szCs w:val="4"/>
              </w:rPr>
            </w:r>
          </w:p>
        </w:tc>
      </w:tr>
      <w:tr>
        <w:trPr/>
        <w:tc>
          <w:tcPr>
            <w:tcW w:w="5102" w:type="dxa"/>
            <w:tcBorders/>
            <w:shd w:fill="auto" w:val="clear"/>
          </w:tcPr>
          <w:p>
            <w:pPr>
              <w:pStyle w:val="TableContents"/>
              <w:spacing w:before="0" w:after="0"/>
              <w:rPr>
                <w:rFonts w:ascii="Times New Roman" w:hAnsi="Times New Roman"/>
                <w:sz w:val="20"/>
              </w:rPr>
            </w:pPr>
            <w:r>
              <w:rPr>
                <w:rFonts w:ascii="Times New Roman" w:hAnsi="Times New Roman"/>
                <w:sz w:val="20"/>
              </w:rPr>
              <w:t>Maples Corporate Services Limited</w:t>
            </w:r>
          </w:p>
          <w:p>
            <w:pPr>
              <w:pStyle w:val="TableContents"/>
              <w:spacing w:before="0" w:after="20"/>
              <w:rPr>
                <w:rFonts w:ascii="Times New Roman" w:hAnsi="Times New Roman"/>
                <w:sz w:val="20"/>
              </w:rPr>
            </w:pPr>
            <w:r>
              <w:rPr>
                <w:rFonts w:ascii="Times New Roman" w:hAnsi="Times New Roman"/>
                <w:sz w:val="20"/>
              </w:rPr>
              <w:t>of PO Box 309, Ugland House</w:t>
            </w:r>
          </w:p>
        </w:tc>
        <w:tc>
          <w:tcPr>
            <w:tcW w:w="101" w:type="dxa"/>
            <w:tcBorders/>
            <w:shd w:fill="auto" w:val="clear"/>
            <w:vAlign w:val="bottom"/>
          </w:tcPr>
          <w:p>
            <w:pPr>
              <w:pStyle w:val="TableContents"/>
              <w:spacing w:before="0" w:after="283"/>
              <w:rPr/>
            </w:pPr>
            <w:r>
              <w:rPr/>
              <w:t> </w:t>
            </w:r>
          </w:p>
        </w:tc>
        <w:tc>
          <w:tcPr>
            <w:tcW w:w="5002" w:type="dxa"/>
            <w:tcBorders/>
            <w:shd w:fill="auto" w:val="clear"/>
          </w:tcPr>
          <w:p>
            <w:pPr>
              <w:pStyle w:val="TableContents"/>
              <w:spacing w:before="0" w:after="283"/>
              <w:rPr/>
            </w:pPr>
            <w:r>
              <w:rPr/>
              <w:t>One Class B ordinary share</w:t>
            </w:r>
          </w:p>
        </w:tc>
      </w:tr>
      <w:tr>
        <w:trPr/>
        <w:tc>
          <w:tcPr>
            <w:tcW w:w="5102" w:type="dxa"/>
            <w:tcBorders/>
            <w:shd w:fill="auto" w:val="clear"/>
          </w:tcPr>
          <w:p>
            <w:pPr>
              <w:pStyle w:val="TableContents"/>
              <w:spacing w:before="0" w:after="283"/>
              <w:rPr/>
            </w:pPr>
            <w:r>
              <w:rPr/>
              <w:t>Grand Cayman</w:t>
            </w:r>
          </w:p>
        </w:tc>
        <w:tc>
          <w:tcPr>
            <w:tcW w:w="101" w:type="dxa"/>
            <w:tcBorders/>
            <w:shd w:fill="auto" w:val="clear"/>
            <w:vAlign w:val="bottom"/>
          </w:tcPr>
          <w:p>
            <w:pPr>
              <w:pStyle w:val="TableContents"/>
              <w:spacing w:before="0" w:after="283"/>
              <w:rPr/>
            </w:pPr>
            <w:r>
              <w:rPr/>
              <w:t> </w:t>
            </w:r>
          </w:p>
        </w:tc>
        <w:tc>
          <w:tcPr>
            <w:tcW w:w="5002" w:type="dxa"/>
            <w:tcBorders/>
            <w:shd w:fill="auto" w:val="clear"/>
            <w:vAlign w:val="bottom"/>
          </w:tcPr>
          <w:p>
            <w:pPr>
              <w:pStyle w:val="TableContents"/>
              <w:spacing w:before="0" w:after="283"/>
              <w:rPr>
                <w:sz w:val="4"/>
                <w:szCs w:val="4"/>
              </w:rPr>
            </w:pPr>
            <w:r>
              <w:rPr>
                <w:sz w:val="4"/>
                <w:szCs w:val="4"/>
              </w:rPr>
            </w:r>
          </w:p>
        </w:tc>
      </w:tr>
      <w:tr>
        <w:trPr/>
        <w:tc>
          <w:tcPr>
            <w:tcW w:w="5102" w:type="dxa"/>
            <w:tcBorders/>
            <w:shd w:fill="auto" w:val="clear"/>
          </w:tcPr>
          <w:p>
            <w:pPr>
              <w:pStyle w:val="TableContents"/>
              <w:spacing w:before="0" w:after="283"/>
              <w:rPr/>
            </w:pPr>
            <w:r>
              <w:rPr/>
              <w:t>KY1-1104</w:t>
            </w:r>
          </w:p>
        </w:tc>
        <w:tc>
          <w:tcPr>
            <w:tcW w:w="101" w:type="dxa"/>
            <w:tcBorders/>
            <w:shd w:fill="auto" w:val="clear"/>
            <w:vAlign w:val="bottom"/>
          </w:tcPr>
          <w:p>
            <w:pPr>
              <w:pStyle w:val="TableContents"/>
              <w:spacing w:before="0" w:after="283"/>
              <w:rPr/>
            </w:pPr>
            <w:r>
              <w:rPr/>
              <w:t> </w:t>
            </w:r>
          </w:p>
        </w:tc>
        <w:tc>
          <w:tcPr>
            <w:tcW w:w="5002" w:type="dxa"/>
            <w:tcBorders/>
            <w:shd w:fill="auto" w:val="clear"/>
            <w:vAlign w:val="bottom"/>
          </w:tcPr>
          <w:p>
            <w:pPr>
              <w:pStyle w:val="TableContents"/>
              <w:spacing w:before="0" w:after="283"/>
              <w:rPr>
                <w:sz w:val="4"/>
                <w:szCs w:val="4"/>
              </w:rPr>
            </w:pPr>
            <w:r>
              <w:rPr>
                <w:sz w:val="4"/>
                <w:szCs w:val="4"/>
              </w:rPr>
            </w:r>
          </w:p>
        </w:tc>
      </w:tr>
      <w:tr>
        <w:trPr/>
        <w:tc>
          <w:tcPr>
            <w:tcW w:w="5102" w:type="dxa"/>
            <w:tcBorders/>
            <w:shd w:fill="auto" w:val="clear"/>
          </w:tcPr>
          <w:p>
            <w:pPr>
              <w:pStyle w:val="TableContents"/>
              <w:spacing w:before="0" w:after="0"/>
              <w:rPr>
                <w:rFonts w:ascii="Times New Roman" w:hAnsi="Times New Roman"/>
                <w:sz w:val="20"/>
              </w:rPr>
            </w:pPr>
            <w:r>
              <w:rPr>
                <w:rFonts w:ascii="Times New Roman" w:hAnsi="Times New Roman"/>
                <w:sz w:val="20"/>
              </w:rPr>
              <w:t>Cayman Islands</w:t>
            </w:r>
          </w:p>
          <w:p>
            <w:pPr>
              <w:pStyle w:val="TableContents"/>
              <w:spacing w:before="0" w:after="0"/>
              <w:rPr/>
            </w:pPr>
            <w:r>
              <w:rPr/>
              <w:t> </w:t>
            </w:r>
          </w:p>
          <w:p>
            <w:pPr>
              <w:pStyle w:val="TableContents"/>
              <w:spacing w:before="0" w:after="20"/>
              <w:rPr>
                <w:rFonts w:ascii="Times New Roman" w:hAnsi="Times New Roman"/>
                <w:sz w:val="20"/>
              </w:rPr>
            </w:pPr>
            <w:r>
              <w:rPr>
                <w:rFonts w:ascii="Times New Roman" w:hAnsi="Times New Roman"/>
                <w:sz w:val="20"/>
              </w:rPr>
              <w:t>acting by:</w:t>
            </w:r>
          </w:p>
        </w:tc>
        <w:tc>
          <w:tcPr>
            <w:tcW w:w="101" w:type="dxa"/>
            <w:tcBorders/>
            <w:shd w:fill="auto" w:val="clear"/>
            <w:vAlign w:val="bottom"/>
          </w:tcPr>
          <w:p>
            <w:pPr>
              <w:pStyle w:val="TableContents"/>
              <w:spacing w:before="0" w:after="283"/>
              <w:rPr/>
            </w:pPr>
            <w:r>
              <w:rPr/>
              <w:t> </w:t>
            </w:r>
          </w:p>
        </w:tc>
        <w:tc>
          <w:tcPr>
            <w:tcW w:w="5002" w:type="dxa"/>
            <w:tcBorders/>
            <w:shd w:fill="auto" w:val="clear"/>
            <w:vAlign w:val="bottom"/>
          </w:tcPr>
          <w:p>
            <w:pPr>
              <w:pStyle w:val="TableContents"/>
              <w:spacing w:before="0" w:after="283"/>
              <w:rPr>
                <w:sz w:val="4"/>
                <w:szCs w:val="4"/>
              </w:rPr>
            </w:pPr>
            <w:r>
              <w:rPr>
                <w:sz w:val="4"/>
                <w:szCs w:val="4"/>
              </w:rPr>
            </w:r>
          </w:p>
        </w:tc>
      </w:tr>
    </w:tbl>
    <w:p>
      <w:pPr>
        <w:pStyle w:val="TextBody"/>
        <w:spacing w:before="0" w:after="0"/>
        <w:jc w:val="left"/>
        <w:rPr/>
      </w:pPr>
      <w:r>
        <w:rPr/>
        <w:t> </w:t>
      </w:r>
    </w:p>
    <w:tbl>
      <w:tblPr>
        <w:tblW w:w="2000" w:type="pct"/>
        <w:jc w:val="lef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Salome Laidlaw</w:t>
            </w:r>
          </w:p>
        </w:tc>
      </w:tr>
      <w:tr>
        <w:trPr/>
        <w:tc>
          <w:tcPr>
            <w:tcW w:w="4082" w:type="dxa"/>
            <w:tcBorders/>
            <w:shd w:fill="auto" w:val="clear"/>
          </w:tcPr>
          <w:p>
            <w:pPr>
              <w:pStyle w:val="TableContents"/>
              <w:spacing w:before="0" w:after="283"/>
              <w:rPr/>
            </w:pPr>
            <w:r>
              <w:rPr/>
              <w:t>Salome Laidlaw</w:t>
            </w:r>
          </w:p>
        </w:tc>
      </w:tr>
      <w:tr>
        <w:trPr>
          <w:trHeight w:val="24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Ella Ebanks</w:t>
            </w:r>
          </w:p>
        </w:tc>
      </w:tr>
      <w:tr>
        <w:trPr/>
        <w:tc>
          <w:tcPr>
            <w:tcW w:w="4082" w:type="dxa"/>
            <w:tcBorders/>
            <w:shd w:fill="auto" w:val="clear"/>
          </w:tcPr>
          <w:p>
            <w:pPr>
              <w:pStyle w:val="TableContents"/>
              <w:spacing w:before="0" w:after="0"/>
              <w:rPr>
                <w:rFonts w:ascii="Times New Roman" w:hAnsi="Times New Roman"/>
                <w:sz w:val="20"/>
              </w:rPr>
            </w:pPr>
            <w:r>
              <w:rPr>
                <w:rFonts w:ascii="Times New Roman" w:hAnsi="Times New Roman"/>
                <w:sz w:val="20"/>
              </w:rPr>
              <w:t>Ella Ebanks</w:t>
            </w:r>
          </w:p>
          <w:p>
            <w:pPr>
              <w:pStyle w:val="TableContents"/>
              <w:spacing w:before="0" w:after="20"/>
              <w:rPr>
                <w:rFonts w:ascii="Times New Roman" w:hAnsi="Times New Roman"/>
                <w:sz w:val="20"/>
              </w:rPr>
            </w:pPr>
            <w:r>
              <w:rPr>
                <w:rFonts w:ascii="Times New Roman" w:hAnsi="Times New Roman"/>
                <w:sz w:val="20"/>
              </w:rPr>
              <w:t>Witness to the above signature</w:t>
            </w:r>
          </w:p>
        </w:tc>
      </w:tr>
    </w:tbl>
    <w:p>
      <w:pPr>
        <w:pStyle w:val="TextBody"/>
        <w:spacing w:before="0" w:after="0"/>
        <w:jc w:val="left"/>
        <w:rPr/>
      </w:pPr>
      <w:r>
        <w:rPr/>
        <w:t> </w:t>
      </w:r>
    </w:p>
    <w:p>
      <w:pPr>
        <w:pStyle w:val="TextBody"/>
        <w:spacing w:before="0" w:after="0"/>
        <w:jc w:val="right"/>
        <w:rPr>
          <w:rFonts w:ascii="Times New Roman" w:hAnsi="Times New Roman"/>
          <w:sz w:val="20"/>
        </w:rPr>
      </w:pPr>
      <w:r>
        <w:rPr>
          <w:rFonts w:ascii="Times New Roman" w:hAnsi="Times New Roman"/>
          <w:sz w:val="20"/>
        </w:rPr>
        <w:t xml:space="preserve">2 </w:t>
      </w:r>
    </w:p>
    <w:p>
      <w:pPr>
        <w:pStyle w:val="TextBody"/>
        <w:spacing w:before="80" w:after="0"/>
        <w:jc w:val="right"/>
        <w:rPr>
          <w:rFonts w:ascii="Times New Roman" w:hAnsi="Times New Roman"/>
          <w:i/>
          <w:sz w:val="20"/>
        </w:rPr>
      </w:pPr>
      <w:r>
        <w:rPr>
          <w:rFonts w:ascii="Times New Roman" w:hAnsi="Times New Roman"/>
          <w:i/>
          <w:sz w:val="20"/>
        </w:rPr>
        <w:t xml:space="preserve">Auth Code: K76986809904 </w:t>
      </w:r>
    </w:p>
    <w:p>
      <w:pPr>
        <w:pStyle w:val="TextBody"/>
        <w:spacing w:before="0" w:after="0"/>
        <w:jc w:val="right"/>
        <w:rPr>
          <w:rFonts w:ascii="Times New Roman" w:hAnsi="Times New Roman"/>
          <w:sz w:val="20"/>
        </w:rPr>
      </w:pPr>
      <w:r>
        <w:rPr>
          <w:rFonts w:ascii="Times New Roman" w:hAnsi="Times New Roman"/>
          <w:i/>
          <w:sz w:val="20"/>
        </w:rPr>
        <w:t>www.verify.gov.ky</w:t>
      </w:r>
      <w:r>
        <w:rPr>
          <w:rFonts w:ascii="Times New Roman" w:hAnsi="Times New Roman"/>
          <w:sz w:val="20"/>
        </w:rPr>
        <w:t xml:space="preserve"> </w:t>
      </w:r>
      <w:r>
        <w:br w:type="page"/>
      </w:r>
    </w:p>
    <w:p>
      <w:pPr>
        <w:pStyle w:val="HorizontalLine"/>
        <w:pBdr>
          <w:bottom w:val="double" w:sz="6" w:space="0" w:color="808080"/>
        </w:pBdr>
        <w:rPr/>
      </w:pPr>
      <w:r>
        <w:rPr/>
      </w:r>
    </w:p>
    <w:tbl>
      <w:tblPr>
        <w:tblW w:w="5000" w:type="pct"/>
        <w:jc w:val="center"/>
        <w:tblInd w:w="0" w:type="dxa"/>
        <w:tblCellMar>
          <w:top w:w="0" w:type="dxa"/>
          <w:left w:w="0" w:type="dxa"/>
          <w:bottom w:w="0" w:type="dxa"/>
          <w:right w:w="0" w:type="dxa"/>
        </w:tblCellMar>
      </w:tblPr>
      <w:tblGrid>
        <w:gridCol w:w="5287"/>
        <w:gridCol w:w="121"/>
        <w:gridCol w:w="4797"/>
      </w:tblGrid>
      <w:tr>
        <w:trPr/>
        <w:tc>
          <w:tcPr>
            <w:tcW w:w="5287"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sz w:val="4"/>
                <w:szCs w:val="4"/>
              </w:rPr>
            </w:pPr>
            <w:r>
              <w:rPr>
                <w:sz w:val="4"/>
                <w:szCs w:val="4"/>
              </w:rPr>
            </w:r>
          </w:p>
        </w:tc>
        <w:tc>
          <w:tcPr>
            <w:tcW w:w="4797" w:type="dxa"/>
            <w:tcBorders/>
            <w:shd w:fill="auto" w:val="clear"/>
            <w:vAlign w:val="center"/>
          </w:tcPr>
          <w:p>
            <w:pPr>
              <w:pStyle w:val="TableContents"/>
              <w:spacing w:before="0" w:after="283"/>
              <w:rPr>
                <w:sz w:val="4"/>
                <w:szCs w:val="4"/>
              </w:rPr>
            </w:pPr>
            <w:r>
              <w:rPr>
                <w:sz w:val="4"/>
                <w:szCs w:val="4"/>
              </w:rPr>
            </w:r>
          </w:p>
        </w:tc>
      </w:tr>
      <w:tr>
        <w:trPr/>
        <w:tc>
          <w:tcPr>
            <w:tcW w:w="5287" w:type="dxa"/>
            <w:tcBorders/>
            <w:shd w:fill="auto" w:val="clear"/>
          </w:tcPr>
          <w:p>
            <w:pPr>
              <w:pStyle w:val="TableContents"/>
              <w:spacing w:before="0" w:after="283"/>
              <w:rPr/>
            </w:pPr>
            <w:r>
              <w:rPr/>
              <w:drawing>
                <wp:inline distT="0" distB="0" distL="0" distR="0">
                  <wp:extent cx="1885950" cy="9620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885950" cy="962025"/>
                          </a:xfrm>
                          <a:prstGeom prst="rect">
                            <a:avLst/>
                          </a:prstGeom>
                        </pic:spPr>
                      </pic:pic>
                    </a:graphicData>
                  </a:graphic>
                </wp:inline>
              </w:drawing>
            </w:r>
            <w:r>
              <w:rPr/>
              <w:t xml:space="preserve"> </w:t>
            </w:r>
          </w:p>
        </w:tc>
        <w:tc>
          <w:tcPr>
            <w:tcW w:w="121"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0"/>
              <w:jc w:val="right"/>
              <w:rPr/>
            </w:pPr>
            <w:r>
              <w:rPr/>
              <w:drawing>
                <wp:inline distT="0" distB="0" distL="0" distR="0">
                  <wp:extent cx="914400" cy="9144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14400" cy="914400"/>
                          </a:xfrm>
                          <a:prstGeom prst="rect">
                            <a:avLst/>
                          </a:prstGeom>
                        </pic:spPr>
                      </pic:pic>
                    </a:graphicData>
                  </a:graphic>
                </wp:inline>
              </w:drawing>
            </w:r>
            <w:r>
              <w:rPr/>
              <w:t xml:space="preserve">             </w:t>
            </w:r>
          </w:p>
          <w:p>
            <w:pPr>
              <w:pStyle w:val="TableContents"/>
              <w:spacing w:before="0" w:after="0"/>
              <w:jc w:val="left"/>
              <w:rPr/>
            </w:pPr>
            <w:r>
              <w:rPr/>
              <w:t> </w:t>
            </w:r>
          </w:p>
          <w:p>
            <w:pPr>
              <w:pStyle w:val="TableContents"/>
              <w:spacing w:before="0" w:after="0"/>
              <w:jc w:val="right"/>
              <w:rPr>
                <w:rFonts w:ascii="Times New Roman" w:hAnsi="Times New Roman"/>
                <w:sz w:val="20"/>
              </w:rPr>
            </w:pPr>
            <w:r>
              <w:rPr>
                <w:rFonts w:ascii="Times New Roman" w:hAnsi="Times New Roman"/>
                <w:b/>
                <w:i/>
                <w:sz w:val="20"/>
              </w:rPr>
              <w:t>EXEMPTED</w:t>
            </w:r>
            <w:r>
              <w:rPr>
                <w:rFonts w:ascii="Times New Roman" w:hAnsi="Times New Roman"/>
                <w:sz w:val="20"/>
              </w:rPr>
              <w:t xml:space="preserve"> </w:t>
            </w:r>
            <w:r>
              <w:rPr>
                <w:rFonts w:ascii="Times New Roman" w:hAnsi="Times New Roman"/>
                <w:i/>
                <w:sz w:val="20"/>
              </w:rPr>
              <w:t>Company Registered and</w:t>
            </w:r>
          </w:p>
          <w:p>
            <w:pPr>
              <w:pStyle w:val="TableContents"/>
              <w:spacing w:before="0" w:after="0"/>
              <w:jc w:val="left"/>
              <w:rPr/>
            </w:pPr>
            <w:r>
              <w:rPr/>
              <w:t> </w:t>
            </w:r>
          </w:p>
          <w:p>
            <w:pPr>
              <w:pStyle w:val="TableContents"/>
              <w:spacing w:before="0" w:after="0"/>
              <w:jc w:val="right"/>
              <w:rPr>
                <w:rFonts w:ascii="Times New Roman" w:hAnsi="Times New Roman"/>
                <w:i/>
                <w:sz w:val="20"/>
              </w:rPr>
            </w:pPr>
            <w:r>
              <w:rPr>
                <w:rFonts w:ascii="Times New Roman" w:hAnsi="Times New Roman"/>
                <w:i/>
                <w:sz w:val="20"/>
              </w:rPr>
              <w:t>filed as No. 370146 On 13-Jan-2021</w:t>
            </w:r>
          </w:p>
          <w:p>
            <w:pPr>
              <w:pStyle w:val="TableContents"/>
              <w:spacing w:before="0" w:after="0"/>
              <w:jc w:val="left"/>
              <w:rPr/>
            </w:pPr>
            <w:r>
              <w:rPr/>
              <w:t> </w:t>
            </w:r>
          </w:p>
          <w:p>
            <w:pPr>
              <w:pStyle w:val="TableContents"/>
              <w:spacing w:before="0" w:after="0"/>
              <w:jc w:val="right"/>
              <w:rPr/>
            </w:pPr>
            <w:r>
              <w:rPr/>
              <w:drawing>
                <wp:inline distT="0" distB="0" distL="0" distR="0">
                  <wp:extent cx="447675" cy="3619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447675" cy="361950"/>
                          </a:xfrm>
                          <a:prstGeom prst="rect">
                            <a:avLst/>
                          </a:prstGeom>
                        </pic:spPr>
                      </pic:pic>
                    </a:graphicData>
                  </a:graphic>
                </wp:inline>
              </w:drawing>
            </w:r>
            <w:r>
              <w:rPr/>
              <w:t xml:space="preserve">                                          </w:t>
            </w:r>
          </w:p>
          <w:p>
            <w:pPr>
              <w:pStyle w:val="TableContents"/>
              <w:spacing w:before="0" w:after="20"/>
              <w:jc w:val="right"/>
              <w:rPr>
                <w:rFonts w:ascii="Times New Roman" w:hAnsi="Times New Roman"/>
                <w:i/>
                <w:sz w:val="20"/>
              </w:rPr>
            </w:pPr>
            <w:r>
              <w:rPr>
                <w:rFonts w:ascii="Times New Roman" w:hAnsi="Times New Roman"/>
                <w:i/>
                <w:sz w:val="20"/>
              </w:rPr>
              <w:t>Acting Assistant Registrar</w:t>
            </w:r>
          </w:p>
        </w:tc>
      </w:tr>
    </w:tbl>
    <w:p>
      <w:pPr>
        <w:pStyle w:val="TextBody"/>
        <w:spacing w:before="0" w:after="0"/>
        <w:jc w:val="left"/>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THE COMPANIES ACT (2020 REVISION) </w:t>
      </w:r>
    </w:p>
    <w:p>
      <w:pPr>
        <w:pStyle w:val="TextBody"/>
        <w:spacing w:before="0" w:after="0"/>
        <w:jc w:val="center"/>
        <w:rPr>
          <w:rFonts w:ascii="Times New Roman" w:hAnsi="Times New Roman"/>
          <w:b/>
          <w:sz w:val="20"/>
        </w:rPr>
      </w:pPr>
      <w:r>
        <w:rPr>
          <w:rFonts w:ascii="Times New Roman" w:hAnsi="Times New Roman"/>
          <w:b/>
          <w:sz w:val="20"/>
        </w:rPr>
        <w:t xml:space="preserve">OF THE CAYMAN ISLANDS </w:t>
      </w:r>
    </w:p>
    <w:p>
      <w:pPr>
        <w:pStyle w:val="TextBody"/>
        <w:spacing w:before="0" w:after="0"/>
        <w:jc w:val="center"/>
        <w:rPr>
          <w:rFonts w:ascii="Times New Roman" w:hAnsi="Times New Roman"/>
          <w:b/>
          <w:sz w:val="20"/>
        </w:rPr>
      </w:pPr>
      <w:r>
        <w:rPr>
          <w:rFonts w:ascii="Times New Roman" w:hAnsi="Times New Roman"/>
          <w:b/>
          <w:sz w:val="20"/>
        </w:rPr>
        <w:t xml:space="preserve">COMPANY LIMITED BY SHARES </w:t>
      </w:r>
    </w:p>
    <w:p>
      <w:pPr>
        <w:pStyle w:val="TextBody"/>
        <w:spacing w:before="240" w:after="0"/>
        <w:jc w:val="center"/>
        <w:rPr>
          <w:rFonts w:ascii="Times New Roman" w:hAnsi="Times New Roman"/>
          <w:b/>
          <w:sz w:val="20"/>
        </w:rPr>
      </w:pPr>
      <w:r>
        <w:rPr>
          <w:rFonts w:ascii="Times New Roman" w:hAnsi="Times New Roman"/>
          <w:b/>
          <w:sz w:val="20"/>
        </w:rPr>
        <w:t xml:space="preserve">ARTICLES OF ASSOCIATION </w:t>
      </w:r>
    </w:p>
    <w:p>
      <w:pPr>
        <w:pStyle w:val="TextBody"/>
        <w:spacing w:before="0" w:after="0"/>
        <w:jc w:val="center"/>
        <w:rPr>
          <w:rFonts w:ascii="Times New Roman" w:hAnsi="Times New Roman"/>
          <w:b/>
          <w:sz w:val="20"/>
        </w:rPr>
      </w:pPr>
      <w:r>
        <w:rPr>
          <w:rFonts w:ascii="Times New Roman" w:hAnsi="Times New Roman"/>
          <w:b/>
          <w:sz w:val="20"/>
        </w:rPr>
        <w:t xml:space="preserve">OF </w:t>
      </w:r>
    </w:p>
    <w:p>
      <w:pPr>
        <w:pStyle w:val="TextBody"/>
        <w:spacing w:before="0" w:after="0"/>
        <w:jc w:val="center"/>
        <w:rPr>
          <w:rFonts w:ascii="Times New Roman" w:hAnsi="Times New Roman"/>
          <w:b/>
          <w:sz w:val="20"/>
        </w:rPr>
      </w:pPr>
      <w:r>
        <w:rPr>
          <w:rFonts w:ascii="Times New Roman" w:hAnsi="Times New Roman"/>
          <w:b/>
          <w:sz w:val="20"/>
        </w:rPr>
        <w:t xml:space="preserve">ARCLIGHT CLEAN TRANSITION CORP. II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7"/>
        <w:gridCol w:w="9698"/>
      </w:tblGrid>
      <w:tr>
        <w:trPr/>
        <w:tc>
          <w:tcPr>
            <w:tcW w:w="507" w:type="dxa"/>
            <w:tcBorders/>
            <w:shd w:fill="auto" w:val="clear"/>
          </w:tcPr>
          <w:p>
            <w:pPr>
              <w:pStyle w:val="TableContents"/>
              <w:spacing w:before="0" w:after="283"/>
              <w:jc w:val="left"/>
              <w:rPr>
                <w:b/>
              </w:rPr>
            </w:pPr>
            <w:r>
              <w:rPr>
                <w:b/>
              </w:rPr>
              <w:t>1</w:t>
            </w:r>
          </w:p>
        </w:tc>
        <w:tc>
          <w:tcPr>
            <w:tcW w:w="9698"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Interpretation</w:t>
            </w:r>
            <w:r>
              <w:rPr>
                <w:rFonts w:ascii="Times New Roman" w:hAnsi="Times New Roman"/>
                <w:sz w:val="20"/>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1.1</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 the Articles Table A in the First Schedule to the Statute does not apply and, unless there is something in the subject or context inconsistent therewith: </w:t>
            </w:r>
          </w:p>
        </w:tc>
      </w:tr>
    </w:tbl>
    <w:p>
      <w:pPr>
        <w:pStyle w:val="TextBody"/>
        <w:spacing w:before="0" w:after="0"/>
        <w:jc w:val="left"/>
        <w:rPr/>
      </w:pPr>
      <w:r>
        <w:rPr/>
        <w:t> </w:t>
      </w:r>
    </w:p>
    <w:tbl>
      <w:tblPr>
        <w:tblW w:w="4600" w:type="pct"/>
        <w:jc w:val="right"/>
        <w:tblInd w:w="0" w:type="dxa"/>
        <w:tblCellMar>
          <w:top w:w="0" w:type="dxa"/>
          <w:left w:w="0" w:type="dxa"/>
          <w:bottom w:w="0" w:type="dxa"/>
          <w:right w:w="0" w:type="dxa"/>
        </w:tblCellMar>
      </w:tblPr>
      <w:tblGrid>
        <w:gridCol w:w="2280"/>
        <w:gridCol w:w="120"/>
        <w:gridCol w:w="6988"/>
      </w:tblGrid>
      <w:tr>
        <w:trPr/>
        <w:tc>
          <w:tcPr>
            <w:tcW w:w="228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6988" w:type="dxa"/>
            <w:tcBorders/>
            <w:shd w:fill="auto" w:val="clear"/>
            <w:vAlign w:val="center"/>
          </w:tcPr>
          <w:p>
            <w:pPr>
              <w:pStyle w:val="TableContents"/>
              <w:spacing w:before="0" w:after="283"/>
              <w:rPr>
                <w:sz w:val="4"/>
                <w:szCs w:val="4"/>
              </w:rPr>
            </w:pPr>
            <w:r>
              <w:rPr>
                <w:sz w:val="4"/>
                <w:szCs w:val="4"/>
              </w:rPr>
            </w:r>
          </w:p>
        </w:tc>
      </w:tr>
      <w:tr>
        <w:trPr/>
        <w:tc>
          <w:tcPr>
            <w:tcW w:w="2280" w:type="dxa"/>
            <w:tcBorders/>
            <w:shd w:fill="auto" w:val="clear"/>
          </w:tcPr>
          <w:p>
            <w:pPr>
              <w:pStyle w:val="TableContents"/>
              <w:spacing w:before="0" w:after="283"/>
              <w:rPr>
                <w:b/>
              </w:rPr>
            </w:pPr>
            <w:r>
              <w:rPr>
                <w:b/>
              </w:rPr>
              <w:t>Articles</w:t>
            </w:r>
          </w:p>
        </w:tc>
        <w:tc>
          <w:tcPr>
            <w:tcW w:w="120" w:type="dxa"/>
            <w:tcBorders/>
            <w:shd w:fill="auto" w:val="clear"/>
            <w:vAlign w:val="bottom"/>
          </w:tcPr>
          <w:p>
            <w:pPr>
              <w:pStyle w:val="TableContents"/>
              <w:spacing w:before="0" w:after="283"/>
              <w:rPr/>
            </w:pPr>
            <w:r>
              <w:rPr/>
              <w:t>  </w:t>
            </w:r>
          </w:p>
        </w:tc>
        <w:tc>
          <w:tcPr>
            <w:tcW w:w="6988" w:type="dxa"/>
            <w:tcBorders/>
            <w:shd w:fill="auto" w:val="clear"/>
            <w:vAlign w:val="bottom"/>
          </w:tcPr>
          <w:p>
            <w:pPr>
              <w:pStyle w:val="TableContents"/>
              <w:spacing w:before="0" w:after="283"/>
              <w:rPr/>
            </w:pPr>
            <w:r>
              <w:rPr/>
              <w:t>means these articles of association of the Company.</w:t>
            </w:r>
          </w:p>
        </w:tc>
      </w:tr>
      <w:tr>
        <w:trPr>
          <w:trHeight w:val="120" w:hRule="atLeast"/>
        </w:trPr>
        <w:tc>
          <w:tcPr>
            <w:tcW w:w="2280" w:type="dxa"/>
            <w:tcBorders/>
            <w:shd w:fill="auto" w:val="clear"/>
            <w:vAlign w:val="center"/>
          </w:tcPr>
          <w:p>
            <w:pPr>
              <w:pStyle w:val="TableContents"/>
              <w:spacing w:before="0" w:after="283"/>
              <w:rPr>
                <w:sz w:val="4"/>
                <w:szCs w:val="4"/>
              </w:rPr>
            </w:pPr>
            <w:r>
              <w:rPr>
                <w:sz w:val="4"/>
                <w:szCs w:val="4"/>
              </w:rPr>
            </w:r>
          </w:p>
        </w:tc>
        <w:tc>
          <w:tcPr>
            <w:tcW w:w="7108" w:type="dxa"/>
            <w:gridSpan w:val="2"/>
            <w:tcBorders/>
            <w:shd w:fill="auto" w:val="clear"/>
            <w:vAlign w:val="center"/>
          </w:tcPr>
          <w:p>
            <w:pPr>
              <w:pStyle w:val="TableContents"/>
              <w:spacing w:before="0" w:after="283"/>
              <w:rPr>
                <w:sz w:val="4"/>
                <w:szCs w:val="4"/>
              </w:rPr>
            </w:pPr>
            <w:r>
              <w:rPr>
                <w:sz w:val="4"/>
                <w:szCs w:val="4"/>
              </w:rPr>
            </w:r>
          </w:p>
        </w:tc>
      </w:tr>
      <w:tr>
        <w:trPr/>
        <w:tc>
          <w:tcPr>
            <w:tcW w:w="2280" w:type="dxa"/>
            <w:tcBorders/>
            <w:shd w:fill="auto" w:val="clear"/>
          </w:tcPr>
          <w:p>
            <w:pPr>
              <w:pStyle w:val="TableContents"/>
              <w:spacing w:before="0" w:after="283"/>
              <w:rPr>
                <w:b/>
              </w:rPr>
            </w:pPr>
            <w:r>
              <w:rPr>
                <w:b/>
              </w:rPr>
              <w:t>Auditor</w:t>
            </w:r>
          </w:p>
        </w:tc>
        <w:tc>
          <w:tcPr>
            <w:tcW w:w="120" w:type="dxa"/>
            <w:tcBorders/>
            <w:shd w:fill="auto" w:val="clear"/>
            <w:vAlign w:val="bottom"/>
          </w:tcPr>
          <w:p>
            <w:pPr>
              <w:pStyle w:val="TableContents"/>
              <w:spacing w:before="0" w:after="283"/>
              <w:rPr/>
            </w:pPr>
            <w:r>
              <w:rPr/>
              <w:t>  </w:t>
            </w:r>
          </w:p>
        </w:tc>
        <w:tc>
          <w:tcPr>
            <w:tcW w:w="6988" w:type="dxa"/>
            <w:tcBorders/>
            <w:shd w:fill="auto" w:val="clear"/>
            <w:vAlign w:val="bottom"/>
          </w:tcPr>
          <w:p>
            <w:pPr>
              <w:pStyle w:val="TableContents"/>
              <w:spacing w:before="0" w:after="283"/>
              <w:rPr/>
            </w:pPr>
            <w:r>
              <w:rPr/>
              <w:t>means the person for the time being performing the duties of auditor of the Company (if any).</w:t>
            </w:r>
          </w:p>
        </w:tc>
      </w:tr>
      <w:tr>
        <w:trPr>
          <w:trHeight w:val="120" w:hRule="atLeast"/>
        </w:trPr>
        <w:tc>
          <w:tcPr>
            <w:tcW w:w="2280" w:type="dxa"/>
            <w:tcBorders/>
            <w:shd w:fill="auto" w:val="clear"/>
            <w:vAlign w:val="center"/>
          </w:tcPr>
          <w:p>
            <w:pPr>
              <w:pStyle w:val="TableContents"/>
              <w:spacing w:before="0" w:after="283"/>
              <w:rPr>
                <w:sz w:val="4"/>
                <w:szCs w:val="4"/>
              </w:rPr>
            </w:pPr>
            <w:r>
              <w:rPr>
                <w:sz w:val="4"/>
                <w:szCs w:val="4"/>
              </w:rPr>
            </w:r>
          </w:p>
        </w:tc>
        <w:tc>
          <w:tcPr>
            <w:tcW w:w="7108" w:type="dxa"/>
            <w:gridSpan w:val="2"/>
            <w:tcBorders/>
            <w:shd w:fill="auto" w:val="clear"/>
            <w:vAlign w:val="center"/>
          </w:tcPr>
          <w:p>
            <w:pPr>
              <w:pStyle w:val="TableContents"/>
              <w:spacing w:before="0" w:after="283"/>
              <w:rPr>
                <w:sz w:val="4"/>
                <w:szCs w:val="4"/>
              </w:rPr>
            </w:pPr>
            <w:r>
              <w:rPr>
                <w:sz w:val="4"/>
                <w:szCs w:val="4"/>
              </w:rPr>
            </w:r>
          </w:p>
        </w:tc>
      </w:tr>
      <w:tr>
        <w:trPr/>
        <w:tc>
          <w:tcPr>
            <w:tcW w:w="2280" w:type="dxa"/>
            <w:tcBorders/>
            <w:shd w:fill="auto" w:val="clear"/>
          </w:tcPr>
          <w:p>
            <w:pPr>
              <w:pStyle w:val="TableContents"/>
              <w:spacing w:before="0" w:after="283"/>
              <w:rPr>
                <w:b/>
              </w:rPr>
            </w:pPr>
            <w:r>
              <w:rPr>
                <w:b/>
              </w:rPr>
              <w:t>Business Combination</w:t>
            </w:r>
          </w:p>
        </w:tc>
        <w:tc>
          <w:tcPr>
            <w:tcW w:w="120" w:type="dxa"/>
            <w:tcBorders/>
            <w:shd w:fill="auto" w:val="clear"/>
            <w:vAlign w:val="bottom"/>
          </w:tcPr>
          <w:p>
            <w:pPr>
              <w:pStyle w:val="TableContents"/>
              <w:spacing w:before="0" w:after="283"/>
              <w:rPr/>
            </w:pPr>
            <w:r>
              <w:rPr/>
              <w:t>  </w:t>
            </w:r>
          </w:p>
        </w:tc>
        <w:tc>
          <w:tcPr>
            <w:tcW w:w="6988" w:type="dxa"/>
            <w:tcBorders/>
            <w:shd w:fill="auto" w:val="clear"/>
            <w:vAlign w:val="bottom"/>
          </w:tcPr>
          <w:p>
            <w:pPr>
              <w:pStyle w:val="TableContents"/>
              <w:spacing w:before="0" w:after="283"/>
              <w:rPr/>
            </w:pPr>
            <w:r>
              <w:rPr/>
              <w:t>means a merger, amalgamation, share exchange, asset acquisition, share purchase, reorganisation or similar business combination involving the Company, with one or more businesses or entities (the </w:t>
            </w:r>
            <w:r>
              <w:rPr>
                <w:b/>
              </w:rPr>
              <w:t>target business</w:t>
            </w:r>
            <w:r>
              <w:rPr/>
              <w:t>), which Business Combination: (a) must occur with one or more target businesses that together have an aggregate fair market value of at least 80 per cent of the assets held in the Trust Account (excluding the deferred underwriting commissions and taxes payable on the income earned on the Trust Account) at the time of the agreement to enter into such Business Combination; and (b) must not be effectuated with another blank cheque company or a similar company with nominal operations.</w:t>
            </w:r>
          </w:p>
        </w:tc>
      </w:tr>
      <w:tr>
        <w:trPr>
          <w:trHeight w:val="120" w:hRule="atLeast"/>
        </w:trPr>
        <w:tc>
          <w:tcPr>
            <w:tcW w:w="2280" w:type="dxa"/>
            <w:tcBorders/>
            <w:shd w:fill="auto" w:val="clear"/>
            <w:vAlign w:val="center"/>
          </w:tcPr>
          <w:p>
            <w:pPr>
              <w:pStyle w:val="TableContents"/>
              <w:spacing w:before="0" w:after="283"/>
              <w:rPr>
                <w:sz w:val="4"/>
                <w:szCs w:val="4"/>
              </w:rPr>
            </w:pPr>
            <w:r>
              <w:rPr>
                <w:sz w:val="4"/>
                <w:szCs w:val="4"/>
              </w:rPr>
            </w:r>
          </w:p>
        </w:tc>
        <w:tc>
          <w:tcPr>
            <w:tcW w:w="7108" w:type="dxa"/>
            <w:gridSpan w:val="2"/>
            <w:tcBorders/>
            <w:shd w:fill="auto" w:val="clear"/>
            <w:vAlign w:val="center"/>
          </w:tcPr>
          <w:p>
            <w:pPr>
              <w:pStyle w:val="TableContents"/>
              <w:spacing w:before="0" w:after="283"/>
              <w:rPr>
                <w:sz w:val="4"/>
                <w:szCs w:val="4"/>
              </w:rPr>
            </w:pPr>
            <w:r>
              <w:rPr>
                <w:sz w:val="4"/>
                <w:szCs w:val="4"/>
              </w:rPr>
            </w:r>
          </w:p>
        </w:tc>
      </w:tr>
      <w:tr>
        <w:trPr/>
        <w:tc>
          <w:tcPr>
            <w:tcW w:w="2280" w:type="dxa"/>
            <w:tcBorders/>
            <w:shd w:fill="auto" w:val="clear"/>
          </w:tcPr>
          <w:p>
            <w:pPr>
              <w:pStyle w:val="TableContents"/>
              <w:spacing w:before="0" w:after="283"/>
              <w:rPr>
                <w:b/>
              </w:rPr>
            </w:pPr>
            <w:r>
              <w:rPr>
                <w:b/>
              </w:rPr>
              <w:t>Class A Share</w:t>
            </w:r>
          </w:p>
        </w:tc>
        <w:tc>
          <w:tcPr>
            <w:tcW w:w="120" w:type="dxa"/>
            <w:tcBorders/>
            <w:shd w:fill="auto" w:val="clear"/>
            <w:vAlign w:val="bottom"/>
          </w:tcPr>
          <w:p>
            <w:pPr>
              <w:pStyle w:val="TableContents"/>
              <w:spacing w:before="0" w:after="283"/>
              <w:rPr/>
            </w:pPr>
            <w:r>
              <w:rPr/>
              <w:t>  </w:t>
            </w:r>
          </w:p>
        </w:tc>
        <w:tc>
          <w:tcPr>
            <w:tcW w:w="6988" w:type="dxa"/>
            <w:tcBorders/>
            <w:shd w:fill="auto" w:val="clear"/>
            <w:vAlign w:val="bottom"/>
          </w:tcPr>
          <w:p>
            <w:pPr>
              <w:pStyle w:val="TableContents"/>
              <w:spacing w:before="0" w:after="283"/>
              <w:rPr/>
            </w:pPr>
            <w:r>
              <w:rPr/>
              <w:t>means a Class A ordinary share of a par value of US$0.0001 in the share capital of the Company.</w:t>
            </w:r>
          </w:p>
        </w:tc>
      </w:tr>
      <w:tr>
        <w:trPr>
          <w:trHeight w:val="120" w:hRule="atLeast"/>
        </w:trPr>
        <w:tc>
          <w:tcPr>
            <w:tcW w:w="2280" w:type="dxa"/>
            <w:tcBorders/>
            <w:shd w:fill="auto" w:val="clear"/>
            <w:vAlign w:val="center"/>
          </w:tcPr>
          <w:p>
            <w:pPr>
              <w:pStyle w:val="TableContents"/>
              <w:spacing w:before="0" w:after="283"/>
              <w:rPr>
                <w:sz w:val="4"/>
                <w:szCs w:val="4"/>
              </w:rPr>
            </w:pPr>
            <w:r>
              <w:rPr>
                <w:sz w:val="4"/>
                <w:szCs w:val="4"/>
              </w:rPr>
            </w:r>
          </w:p>
        </w:tc>
        <w:tc>
          <w:tcPr>
            <w:tcW w:w="7108" w:type="dxa"/>
            <w:gridSpan w:val="2"/>
            <w:tcBorders/>
            <w:shd w:fill="auto" w:val="clear"/>
            <w:vAlign w:val="center"/>
          </w:tcPr>
          <w:p>
            <w:pPr>
              <w:pStyle w:val="TableContents"/>
              <w:spacing w:before="0" w:after="283"/>
              <w:rPr>
                <w:sz w:val="4"/>
                <w:szCs w:val="4"/>
              </w:rPr>
            </w:pPr>
            <w:r>
              <w:rPr>
                <w:sz w:val="4"/>
                <w:szCs w:val="4"/>
              </w:rPr>
            </w:r>
          </w:p>
        </w:tc>
      </w:tr>
      <w:tr>
        <w:trPr/>
        <w:tc>
          <w:tcPr>
            <w:tcW w:w="2280" w:type="dxa"/>
            <w:tcBorders/>
            <w:shd w:fill="auto" w:val="clear"/>
          </w:tcPr>
          <w:p>
            <w:pPr>
              <w:pStyle w:val="TableContents"/>
              <w:spacing w:before="0" w:after="283"/>
              <w:rPr>
                <w:b/>
              </w:rPr>
            </w:pPr>
            <w:r>
              <w:rPr>
                <w:b/>
              </w:rPr>
              <w:t>Class B Share</w:t>
            </w:r>
          </w:p>
        </w:tc>
        <w:tc>
          <w:tcPr>
            <w:tcW w:w="120" w:type="dxa"/>
            <w:tcBorders/>
            <w:shd w:fill="auto" w:val="clear"/>
            <w:vAlign w:val="bottom"/>
          </w:tcPr>
          <w:p>
            <w:pPr>
              <w:pStyle w:val="TableContents"/>
              <w:spacing w:before="0" w:after="283"/>
              <w:rPr/>
            </w:pPr>
            <w:r>
              <w:rPr/>
              <w:t>  </w:t>
            </w:r>
          </w:p>
        </w:tc>
        <w:tc>
          <w:tcPr>
            <w:tcW w:w="6988" w:type="dxa"/>
            <w:tcBorders/>
            <w:shd w:fill="auto" w:val="clear"/>
            <w:vAlign w:val="bottom"/>
          </w:tcPr>
          <w:p>
            <w:pPr>
              <w:pStyle w:val="TableContents"/>
              <w:spacing w:before="0" w:after="283"/>
              <w:rPr/>
            </w:pPr>
            <w:r>
              <w:rPr/>
              <w:t>means a Class B ordinary share of a par value of US$0.0001 in the share capital of the Company.</w:t>
            </w:r>
          </w:p>
        </w:tc>
      </w:tr>
      <w:tr>
        <w:trPr>
          <w:trHeight w:val="120" w:hRule="atLeast"/>
        </w:trPr>
        <w:tc>
          <w:tcPr>
            <w:tcW w:w="2280" w:type="dxa"/>
            <w:tcBorders/>
            <w:shd w:fill="auto" w:val="clear"/>
            <w:vAlign w:val="center"/>
          </w:tcPr>
          <w:p>
            <w:pPr>
              <w:pStyle w:val="TableContents"/>
              <w:spacing w:before="0" w:after="283"/>
              <w:rPr>
                <w:sz w:val="4"/>
                <w:szCs w:val="4"/>
              </w:rPr>
            </w:pPr>
            <w:r>
              <w:rPr>
                <w:sz w:val="4"/>
                <w:szCs w:val="4"/>
              </w:rPr>
            </w:r>
          </w:p>
        </w:tc>
        <w:tc>
          <w:tcPr>
            <w:tcW w:w="7108" w:type="dxa"/>
            <w:gridSpan w:val="2"/>
            <w:tcBorders/>
            <w:shd w:fill="auto" w:val="clear"/>
            <w:vAlign w:val="center"/>
          </w:tcPr>
          <w:p>
            <w:pPr>
              <w:pStyle w:val="TableContents"/>
              <w:spacing w:before="0" w:after="283"/>
              <w:rPr>
                <w:sz w:val="4"/>
                <w:szCs w:val="4"/>
              </w:rPr>
            </w:pPr>
            <w:r>
              <w:rPr>
                <w:sz w:val="4"/>
                <w:szCs w:val="4"/>
              </w:rPr>
            </w:r>
          </w:p>
        </w:tc>
      </w:tr>
      <w:tr>
        <w:trPr/>
        <w:tc>
          <w:tcPr>
            <w:tcW w:w="2280" w:type="dxa"/>
            <w:tcBorders/>
            <w:shd w:fill="auto" w:val="clear"/>
          </w:tcPr>
          <w:p>
            <w:pPr>
              <w:pStyle w:val="TableContents"/>
              <w:spacing w:before="0" w:after="283"/>
              <w:rPr>
                <w:b/>
              </w:rPr>
            </w:pPr>
            <w:r>
              <w:rPr>
                <w:b/>
              </w:rPr>
              <w:t>Company</w:t>
            </w:r>
          </w:p>
        </w:tc>
        <w:tc>
          <w:tcPr>
            <w:tcW w:w="120" w:type="dxa"/>
            <w:tcBorders/>
            <w:shd w:fill="auto" w:val="clear"/>
            <w:vAlign w:val="bottom"/>
          </w:tcPr>
          <w:p>
            <w:pPr>
              <w:pStyle w:val="TableContents"/>
              <w:spacing w:before="0" w:after="283"/>
              <w:rPr/>
            </w:pPr>
            <w:r>
              <w:rPr/>
              <w:t>  </w:t>
            </w:r>
          </w:p>
        </w:tc>
        <w:tc>
          <w:tcPr>
            <w:tcW w:w="6988" w:type="dxa"/>
            <w:tcBorders/>
            <w:shd w:fill="auto" w:val="clear"/>
            <w:vAlign w:val="bottom"/>
          </w:tcPr>
          <w:p>
            <w:pPr>
              <w:pStyle w:val="TableContents"/>
              <w:spacing w:before="0" w:after="283"/>
              <w:rPr/>
            </w:pPr>
            <w:r>
              <w:rPr/>
              <w:t>means the above named company.</w:t>
            </w:r>
          </w:p>
        </w:tc>
      </w:tr>
      <w:tr>
        <w:trPr>
          <w:trHeight w:val="120" w:hRule="atLeast"/>
        </w:trPr>
        <w:tc>
          <w:tcPr>
            <w:tcW w:w="2280" w:type="dxa"/>
            <w:tcBorders/>
            <w:shd w:fill="auto" w:val="clear"/>
            <w:vAlign w:val="center"/>
          </w:tcPr>
          <w:p>
            <w:pPr>
              <w:pStyle w:val="TableContents"/>
              <w:spacing w:before="0" w:after="283"/>
              <w:rPr>
                <w:sz w:val="4"/>
                <w:szCs w:val="4"/>
              </w:rPr>
            </w:pPr>
            <w:r>
              <w:rPr>
                <w:sz w:val="4"/>
                <w:szCs w:val="4"/>
              </w:rPr>
            </w:r>
          </w:p>
        </w:tc>
        <w:tc>
          <w:tcPr>
            <w:tcW w:w="7108" w:type="dxa"/>
            <w:gridSpan w:val="2"/>
            <w:tcBorders/>
            <w:shd w:fill="auto" w:val="clear"/>
            <w:vAlign w:val="center"/>
          </w:tcPr>
          <w:p>
            <w:pPr>
              <w:pStyle w:val="TableContents"/>
              <w:spacing w:before="0" w:after="283"/>
              <w:rPr>
                <w:sz w:val="4"/>
                <w:szCs w:val="4"/>
              </w:rPr>
            </w:pPr>
            <w:r>
              <w:rPr>
                <w:sz w:val="4"/>
                <w:szCs w:val="4"/>
              </w:rPr>
            </w:r>
          </w:p>
        </w:tc>
      </w:tr>
      <w:tr>
        <w:trPr/>
        <w:tc>
          <w:tcPr>
            <w:tcW w:w="2280" w:type="dxa"/>
            <w:tcBorders/>
            <w:shd w:fill="auto" w:val="clear"/>
          </w:tcPr>
          <w:p>
            <w:pPr>
              <w:pStyle w:val="TableContents"/>
              <w:spacing w:before="0" w:after="283"/>
              <w:rPr>
                <w:b/>
              </w:rPr>
            </w:pPr>
            <w:r>
              <w:rPr>
                <w:b/>
              </w:rPr>
              <w:t>Directors</w:t>
            </w:r>
          </w:p>
        </w:tc>
        <w:tc>
          <w:tcPr>
            <w:tcW w:w="120" w:type="dxa"/>
            <w:tcBorders/>
            <w:shd w:fill="auto" w:val="clear"/>
            <w:vAlign w:val="bottom"/>
          </w:tcPr>
          <w:p>
            <w:pPr>
              <w:pStyle w:val="TableContents"/>
              <w:spacing w:before="0" w:after="283"/>
              <w:rPr/>
            </w:pPr>
            <w:r>
              <w:rPr/>
              <w:t>  </w:t>
            </w:r>
          </w:p>
        </w:tc>
        <w:tc>
          <w:tcPr>
            <w:tcW w:w="6988" w:type="dxa"/>
            <w:tcBorders/>
            <w:shd w:fill="auto" w:val="clear"/>
            <w:vAlign w:val="bottom"/>
          </w:tcPr>
          <w:p>
            <w:pPr>
              <w:pStyle w:val="TableContents"/>
              <w:spacing w:before="0" w:after="283"/>
              <w:rPr/>
            </w:pPr>
            <w:r>
              <w:rPr/>
              <w:t>means the directors for the time being of the Company.</w:t>
            </w:r>
          </w:p>
        </w:tc>
      </w:tr>
    </w:tbl>
    <w:p>
      <w:pPr>
        <w:pStyle w:val="TextBody"/>
        <w:spacing w:before="0" w:after="0"/>
        <w:jc w:val="left"/>
        <w:rPr/>
      </w:pPr>
      <w:r>
        <w:rPr/>
        <w:t> </w:t>
      </w:r>
    </w:p>
    <w:p>
      <w:pPr>
        <w:pStyle w:val="TextBody"/>
        <w:spacing w:before="80" w:after="0"/>
        <w:jc w:val="right"/>
        <w:rPr>
          <w:rFonts w:ascii="Times New Roman" w:hAnsi="Times New Roman"/>
          <w:sz w:val="20"/>
        </w:rPr>
      </w:pPr>
      <w:r>
        <w:rPr>
          <w:rFonts w:ascii="Times New Roman" w:hAnsi="Times New Roman"/>
          <w:i/>
          <w:sz w:val="20"/>
        </w:rPr>
        <w:t>Auth Code: H70275751251</w:t>
      </w:r>
      <w:r>
        <w:rPr>
          <w:rFonts w:ascii="Times New Roman" w:hAnsi="Times New Roman"/>
          <w:sz w:val="20"/>
        </w:rPr>
        <w:t xml:space="preserve"> </w:t>
      </w:r>
    </w:p>
    <w:p>
      <w:pPr>
        <w:pStyle w:val="TextBody"/>
        <w:spacing w:before="0" w:after="0"/>
        <w:jc w:val="right"/>
        <w:rPr>
          <w:rFonts w:ascii="Times New Roman" w:hAnsi="Times New Roman"/>
          <w:sz w:val="20"/>
        </w:rPr>
      </w:pPr>
      <w:r>
        <w:rPr>
          <w:rFonts w:ascii="Times New Roman" w:hAnsi="Times New Roman"/>
          <w:i/>
          <w:sz w:val="20"/>
        </w:rPr>
        <w:t>www.verify.gov.ky</w:t>
      </w:r>
      <w:r>
        <w:rPr>
          <w:rFonts w:ascii="Times New Roman" w:hAnsi="Times New Roman"/>
          <w:sz w:val="20"/>
        </w:rPr>
        <w:t xml:space="preserve"> </w:t>
      </w:r>
      <w:r>
        <w:br w:type="page"/>
      </w:r>
    </w:p>
    <w:p>
      <w:pPr>
        <w:pStyle w:val="HorizontalLine"/>
        <w:pBdr>
          <w:bottom w:val="double" w:sz="6" w:space="0" w:color="808080"/>
        </w:pBdr>
        <w:rPr/>
      </w:pPr>
      <w:r>
        <w:rPr/>
      </w:r>
    </w:p>
    <w:p>
      <w:pPr>
        <w:pStyle w:val="TextBody"/>
        <w:spacing w:before="0" w:after="0"/>
        <w:jc w:val="right"/>
        <w:rPr/>
      </w:pPr>
      <w:r>
        <w:rPr/>
        <w:drawing>
          <wp:inline distT="0" distB="0" distL="0" distR="0">
            <wp:extent cx="914400" cy="9144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14400" cy="914400"/>
                    </a:xfrm>
                    <a:prstGeom prst="rect">
                      <a:avLst/>
                    </a:prstGeom>
                  </pic:spPr>
                </pic:pic>
              </a:graphicData>
            </a:graphic>
          </wp:inline>
        </w:drawing>
      </w:r>
      <w:r>
        <w:rPr/>
        <w:t xml:space="preserve">              </w:t>
      </w:r>
    </w:p>
    <w:p>
      <w:pPr>
        <w:pStyle w:val="TextBody"/>
        <w:spacing w:before="20" w:after="0"/>
        <w:jc w:val="right"/>
        <w:rPr>
          <w:rFonts w:ascii="Times New Roman" w:hAnsi="Times New Roman"/>
          <w:sz w:val="20"/>
        </w:rPr>
      </w:pPr>
      <w:r>
        <w:rPr>
          <w:rFonts w:ascii="Times New Roman" w:hAnsi="Times New Roman"/>
          <w:b/>
          <w:i/>
          <w:sz w:val="20"/>
        </w:rPr>
        <w:t>EXEMPTED</w:t>
      </w:r>
      <w:r>
        <w:rPr>
          <w:rFonts w:ascii="Times New Roman" w:hAnsi="Times New Roman"/>
          <w:sz w:val="20"/>
        </w:rPr>
        <w:t xml:space="preserve"> </w:t>
      </w:r>
      <w:r>
        <w:rPr>
          <w:rFonts w:ascii="Times New Roman" w:hAnsi="Times New Roman"/>
          <w:i/>
          <w:sz w:val="20"/>
        </w:rPr>
        <w:t>Company Registered and</w:t>
      </w:r>
      <w:r>
        <w:rPr>
          <w:rFonts w:ascii="Times New Roman" w:hAnsi="Times New Roman"/>
          <w:sz w:val="20"/>
        </w:rPr>
        <w:t xml:space="preserve"> </w:t>
      </w:r>
    </w:p>
    <w:p>
      <w:pPr>
        <w:pStyle w:val="TextBody"/>
        <w:spacing w:before="20" w:after="0"/>
        <w:jc w:val="right"/>
        <w:rPr>
          <w:rFonts w:ascii="Times New Roman" w:hAnsi="Times New Roman"/>
          <w:sz w:val="20"/>
        </w:rPr>
      </w:pPr>
      <w:r>
        <w:rPr>
          <w:rFonts w:ascii="Times New Roman" w:hAnsi="Times New Roman"/>
          <w:i/>
          <w:sz w:val="20"/>
        </w:rPr>
        <w:t>filed as No. 370146 On 13-Jan-2021</w:t>
      </w:r>
      <w:r>
        <w:rPr>
          <w:rFonts w:ascii="Times New Roman" w:hAnsi="Times New Roman"/>
          <w:sz w:val="20"/>
        </w:rPr>
        <w:t xml:space="preserve"> </w:t>
      </w:r>
    </w:p>
    <w:p>
      <w:pPr>
        <w:pStyle w:val="TextBody"/>
        <w:spacing w:before="0" w:after="0"/>
        <w:jc w:val="left"/>
        <w:rPr/>
      </w:pPr>
      <w:r>
        <w:rPr/>
        <w:t> </w:t>
      </w:r>
    </w:p>
    <w:p>
      <w:pPr>
        <w:pStyle w:val="TextBody"/>
        <w:spacing w:before="0" w:after="0"/>
        <w:jc w:val="right"/>
        <w:rPr/>
      </w:pPr>
      <w:r>
        <w:rPr/>
        <w:drawing>
          <wp:inline distT="0" distB="0" distL="0" distR="0">
            <wp:extent cx="447675" cy="3619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447675" cy="361950"/>
                    </a:xfrm>
                    <a:prstGeom prst="rect">
                      <a:avLst/>
                    </a:prstGeom>
                  </pic:spPr>
                </pic:pic>
              </a:graphicData>
            </a:graphic>
          </wp:inline>
        </w:drawing>
      </w:r>
      <w:r>
        <w:rPr/>
        <w:t xml:space="preserve">                                           </w:t>
      </w:r>
    </w:p>
    <w:p>
      <w:pPr>
        <w:pStyle w:val="TextBody"/>
        <w:spacing w:before="0" w:after="0"/>
        <w:jc w:val="right"/>
        <w:rPr>
          <w:rFonts w:ascii="Times New Roman" w:hAnsi="Times New Roman"/>
          <w:sz w:val="20"/>
        </w:rPr>
      </w:pPr>
      <w:r>
        <w:rPr>
          <w:rFonts w:ascii="Times New Roman" w:hAnsi="Times New Roman"/>
          <w:i/>
          <w:sz w:val="20"/>
        </w:rPr>
        <w:t>Acting Assistant Registrar</w:t>
      </w:r>
      <w:r>
        <w:rPr>
          <w:rFonts w:ascii="Times New Roman" w:hAnsi="Times New Roman"/>
          <w:sz w:val="20"/>
        </w:rPr>
        <w:t xml:space="preserve"> </w:t>
      </w:r>
    </w:p>
    <w:p>
      <w:pPr>
        <w:pStyle w:val="TextBody"/>
        <w:spacing w:before="0" w:after="0"/>
        <w:jc w:val="left"/>
        <w:rPr/>
      </w:pPr>
      <w:r>
        <w:rPr/>
        <w:t> </w:t>
      </w:r>
    </w:p>
    <w:tbl>
      <w:tblPr>
        <w:tblW w:w="4600" w:type="pct"/>
        <w:jc w:val="right"/>
        <w:tblInd w:w="0" w:type="dxa"/>
        <w:tblCellMar>
          <w:top w:w="0" w:type="dxa"/>
          <w:left w:w="0" w:type="dxa"/>
          <w:bottom w:w="0" w:type="dxa"/>
          <w:right w:w="0" w:type="dxa"/>
        </w:tblCellMar>
      </w:tblPr>
      <w:tblGrid>
        <w:gridCol w:w="2388"/>
        <w:gridCol w:w="122"/>
        <w:gridCol w:w="6878"/>
      </w:tblGrid>
      <w:tr>
        <w:trPr/>
        <w:tc>
          <w:tcPr>
            <w:tcW w:w="2388"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sz w:val="4"/>
                <w:szCs w:val="4"/>
              </w:rPr>
            </w:pPr>
            <w:r>
              <w:rPr>
                <w:sz w:val="4"/>
                <w:szCs w:val="4"/>
              </w:rPr>
            </w:r>
          </w:p>
        </w:tc>
        <w:tc>
          <w:tcPr>
            <w:tcW w:w="6878" w:type="dxa"/>
            <w:tcBorders/>
            <w:shd w:fill="auto" w:val="clear"/>
            <w:vAlign w:val="center"/>
          </w:tcPr>
          <w:p>
            <w:pPr>
              <w:pStyle w:val="TableContents"/>
              <w:spacing w:before="0" w:after="283"/>
              <w:rPr>
                <w:sz w:val="4"/>
                <w:szCs w:val="4"/>
              </w:rPr>
            </w:pPr>
            <w:r>
              <w:rPr>
                <w:sz w:val="4"/>
                <w:szCs w:val="4"/>
              </w:rPr>
            </w:r>
          </w:p>
        </w:tc>
      </w:tr>
      <w:tr>
        <w:trPr/>
        <w:tc>
          <w:tcPr>
            <w:tcW w:w="2388" w:type="dxa"/>
            <w:tcBorders/>
            <w:shd w:fill="auto" w:val="clear"/>
          </w:tcPr>
          <w:p>
            <w:pPr>
              <w:pStyle w:val="TableContents"/>
              <w:spacing w:before="0" w:after="283"/>
              <w:rPr>
                <w:b/>
              </w:rPr>
            </w:pPr>
            <w:r>
              <w:rPr>
                <w:b/>
              </w:rPr>
              <w:t>Dividend</w:t>
            </w:r>
          </w:p>
        </w:tc>
        <w:tc>
          <w:tcPr>
            <w:tcW w:w="122" w:type="dxa"/>
            <w:tcBorders/>
            <w:shd w:fill="auto" w:val="clear"/>
            <w:vAlign w:val="bottom"/>
          </w:tcPr>
          <w:p>
            <w:pPr>
              <w:pStyle w:val="TableContents"/>
              <w:spacing w:before="0" w:after="283"/>
              <w:rPr/>
            </w:pPr>
            <w:r>
              <w:rPr/>
              <w:t>  </w:t>
            </w:r>
          </w:p>
        </w:tc>
        <w:tc>
          <w:tcPr>
            <w:tcW w:w="6878" w:type="dxa"/>
            <w:tcBorders/>
            <w:shd w:fill="auto" w:val="clear"/>
            <w:vAlign w:val="bottom"/>
          </w:tcPr>
          <w:p>
            <w:pPr>
              <w:pStyle w:val="TableContents"/>
              <w:spacing w:before="0" w:after="283"/>
              <w:rPr/>
            </w:pPr>
            <w:r>
              <w:rPr/>
              <w:t>means any dividend (whether interim or final) resolved to be paid on Shares pursuant to the Articles.</w:t>
            </w:r>
          </w:p>
        </w:tc>
      </w:tr>
      <w:tr>
        <w:trPr>
          <w:trHeight w:val="120" w:hRule="atLeast"/>
        </w:trPr>
        <w:tc>
          <w:tcPr>
            <w:tcW w:w="2388" w:type="dxa"/>
            <w:tcBorders/>
            <w:shd w:fill="auto" w:val="clear"/>
            <w:vAlign w:val="center"/>
          </w:tcPr>
          <w:p>
            <w:pPr>
              <w:pStyle w:val="TableContents"/>
              <w:spacing w:before="0" w:after="283"/>
              <w:rPr>
                <w:sz w:val="4"/>
                <w:szCs w:val="4"/>
              </w:rPr>
            </w:pPr>
            <w:r>
              <w:rPr>
                <w:sz w:val="4"/>
                <w:szCs w:val="4"/>
              </w:rPr>
            </w:r>
          </w:p>
        </w:tc>
        <w:tc>
          <w:tcPr>
            <w:tcW w:w="7000" w:type="dxa"/>
            <w:gridSpan w:val="2"/>
            <w:tcBorders/>
            <w:shd w:fill="auto" w:val="clear"/>
            <w:vAlign w:val="center"/>
          </w:tcPr>
          <w:p>
            <w:pPr>
              <w:pStyle w:val="TableContents"/>
              <w:spacing w:before="0" w:after="283"/>
              <w:rPr>
                <w:sz w:val="4"/>
                <w:szCs w:val="4"/>
              </w:rPr>
            </w:pPr>
            <w:r>
              <w:rPr>
                <w:sz w:val="4"/>
                <w:szCs w:val="4"/>
              </w:rPr>
            </w:r>
          </w:p>
        </w:tc>
      </w:tr>
      <w:tr>
        <w:trPr/>
        <w:tc>
          <w:tcPr>
            <w:tcW w:w="2388" w:type="dxa"/>
            <w:tcBorders/>
            <w:shd w:fill="auto" w:val="clear"/>
          </w:tcPr>
          <w:p>
            <w:pPr>
              <w:pStyle w:val="TableContents"/>
              <w:spacing w:before="0" w:after="283"/>
              <w:rPr>
                <w:b/>
              </w:rPr>
            </w:pPr>
            <w:r>
              <w:rPr>
                <w:b/>
              </w:rPr>
              <w:t>Electronic Record</w:t>
            </w:r>
          </w:p>
        </w:tc>
        <w:tc>
          <w:tcPr>
            <w:tcW w:w="122" w:type="dxa"/>
            <w:tcBorders/>
            <w:shd w:fill="auto" w:val="clear"/>
            <w:vAlign w:val="bottom"/>
          </w:tcPr>
          <w:p>
            <w:pPr>
              <w:pStyle w:val="TableContents"/>
              <w:spacing w:before="0" w:after="283"/>
              <w:rPr/>
            </w:pPr>
            <w:r>
              <w:rPr/>
              <w:t>  </w:t>
            </w:r>
          </w:p>
        </w:tc>
        <w:tc>
          <w:tcPr>
            <w:tcW w:w="6878" w:type="dxa"/>
            <w:tcBorders/>
            <w:shd w:fill="auto" w:val="clear"/>
            <w:vAlign w:val="bottom"/>
          </w:tcPr>
          <w:p>
            <w:pPr>
              <w:pStyle w:val="TableContents"/>
              <w:spacing w:before="0" w:after="283"/>
              <w:rPr/>
            </w:pPr>
            <w:r>
              <w:rPr/>
              <w:t>has the same meaning as in the Electronic Transactions Act.</w:t>
            </w:r>
          </w:p>
        </w:tc>
      </w:tr>
      <w:tr>
        <w:trPr>
          <w:trHeight w:val="120" w:hRule="atLeast"/>
        </w:trPr>
        <w:tc>
          <w:tcPr>
            <w:tcW w:w="2388" w:type="dxa"/>
            <w:tcBorders/>
            <w:shd w:fill="auto" w:val="clear"/>
            <w:vAlign w:val="center"/>
          </w:tcPr>
          <w:p>
            <w:pPr>
              <w:pStyle w:val="TableContents"/>
              <w:spacing w:before="0" w:after="283"/>
              <w:rPr>
                <w:sz w:val="4"/>
                <w:szCs w:val="4"/>
              </w:rPr>
            </w:pPr>
            <w:r>
              <w:rPr>
                <w:sz w:val="4"/>
                <w:szCs w:val="4"/>
              </w:rPr>
            </w:r>
          </w:p>
        </w:tc>
        <w:tc>
          <w:tcPr>
            <w:tcW w:w="7000" w:type="dxa"/>
            <w:gridSpan w:val="2"/>
            <w:tcBorders/>
            <w:shd w:fill="auto" w:val="clear"/>
            <w:vAlign w:val="center"/>
          </w:tcPr>
          <w:p>
            <w:pPr>
              <w:pStyle w:val="TableContents"/>
              <w:spacing w:before="0" w:after="283"/>
              <w:rPr>
                <w:sz w:val="4"/>
                <w:szCs w:val="4"/>
              </w:rPr>
            </w:pPr>
            <w:r>
              <w:rPr>
                <w:sz w:val="4"/>
                <w:szCs w:val="4"/>
              </w:rPr>
            </w:r>
          </w:p>
        </w:tc>
      </w:tr>
      <w:tr>
        <w:trPr/>
        <w:tc>
          <w:tcPr>
            <w:tcW w:w="2388" w:type="dxa"/>
            <w:tcBorders/>
            <w:shd w:fill="auto" w:val="clear"/>
          </w:tcPr>
          <w:p>
            <w:pPr>
              <w:pStyle w:val="TableContents"/>
              <w:spacing w:before="0" w:after="283"/>
              <w:rPr>
                <w:b/>
              </w:rPr>
            </w:pPr>
            <w:r>
              <w:rPr>
                <w:b/>
              </w:rPr>
              <w:t>Electronic Transactions Act</w:t>
            </w:r>
          </w:p>
        </w:tc>
        <w:tc>
          <w:tcPr>
            <w:tcW w:w="122" w:type="dxa"/>
            <w:tcBorders/>
            <w:shd w:fill="auto" w:val="clear"/>
            <w:vAlign w:val="bottom"/>
          </w:tcPr>
          <w:p>
            <w:pPr>
              <w:pStyle w:val="TableContents"/>
              <w:spacing w:before="0" w:after="283"/>
              <w:rPr/>
            </w:pPr>
            <w:r>
              <w:rPr/>
              <w:t>  </w:t>
            </w:r>
          </w:p>
        </w:tc>
        <w:tc>
          <w:tcPr>
            <w:tcW w:w="6878" w:type="dxa"/>
            <w:tcBorders/>
            <w:shd w:fill="auto" w:val="clear"/>
            <w:vAlign w:val="bottom"/>
          </w:tcPr>
          <w:p>
            <w:pPr>
              <w:pStyle w:val="TableContents"/>
              <w:spacing w:before="0" w:after="283"/>
              <w:rPr/>
            </w:pPr>
            <w:r>
              <w:rPr/>
              <w:t>means the Electronic Transactions Act (2003 Revision) of the Cayman Islands.</w:t>
            </w:r>
          </w:p>
        </w:tc>
      </w:tr>
      <w:tr>
        <w:trPr>
          <w:trHeight w:val="120" w:hRule="atLeast"/>
        </w:trPr>
        <w:tc>
          <w:tcPr>
            <w:tcW w:w="2388" w:type="dxa"/>
            <w:tcBorders/>
            <w:shd w:fill="auto" w:val="clear"/>
            <w:vAlign w:val="center"/>
          </w:tcPr>
          <w:p>
            <w:pPr>
              <w:pStyle w:val="TableContents"/>
              <w:spacing w:before="0" w:after="283"/>
              <w:rPr>
                <w:sz w:val="4"/>
                <w:szCs w:val="4"/>
              </w:rPr>
            </w:pPr>
            <w:r>
              <w:rPr>
                <w:sz w:val="4"/>
                <w:szCs w:val="4"/>
              </w:rPr>
            </w:r>
          </w:p>
        </w:tc>
        <w:tc>
          <w:tcPr>
            <w:tcW w:w="7000" w:type="dxa"/>
            <w:gridSpan w:val="2"/>
            <w:tcBorders/>
            <w:shd w:fill="auto" w:val="clear"/>
            <w:vAlign w:val="center"/>
          </w:tcPr>
          <w:p>
            <w:pPr>
              <w:pStyle w:val="TableContents"/>
              <w:spacing w:before="0" w:after="283"/>
              <w:rPr>
                <w:sz w:val="4"/>
                <w:szCs w:val="4"/>
              </w:rPr>
            </w:pPr>
            <w:r>
              <w:rPr>
                <w:sz w:val="4"/>
                <w:szCs w:val="4"/>
              </w:rPr>
            </w:r>
          </w:p>
        </w:tc>
      </w:tr>
      <w:tr>
        <w:trPr/>
        <w:tc>
          <w:tcPr>
            <w:tcW w:w="2388" w:type="dxa"/>
            <w:tcBorders/>
            <w:shd w:fill="auto" w:val="clear"/>
          </w:tcPr>
          <w:p>
            <w:pPr>
              <w:pStyle w:val="TableContents"/>
              <w:spacing w:before="0" w:after="283"/>
              <w:rPr>
                <w:b/>
              </w:rPr>
            </w:pPr>
            <w:r>
              <w:rPr>
                <w:b/>
              </w:rPr>
              <w:t>Equity-linked Securities</w:t>
            </w:r>
          </w:p>
        </w:tc>
        <w:tc>
          <w:tcPr>
            <w:tcW w:w="122" w:type="dxa"/>
            <w:tcBorders/>
            <w:shd w:fill="auto" w:val="clear"/>
            <w:vAlign w:val="bottom"/>
          </w:tcPr>
          <w:p>
            <w:pPr>
              <w:pStyle w:val="TableContents"/>
              <w:spacing w:before="0" w:after="283"/>
              <w:rPr/>
            </w:pPr>
            <w:r>
              <w:rPr/>
              <w:t>  </w:t>
            </w:r>
          </w:p>
        </w:tc>
        <w:tc>
          <w:tcPr>
            <w:tcW w:w="6878" w:type="dxa"/>
            <w:tcBorders/>
            <w:shd w:fill="auto" w:val="clear"/>
            <w:vAlign w:val="bottom"/>
          </w:tcPr>
          <w:p>
            <w:pPr>
              <w:pStyle w:val="TableContents"/>
              <w:spacing w:before="0" w:after="283"/>
              <w:rPr/>
            </w:pPr>
            <w:r>
              <w:rPr/>
              <w:t>means any debt or equity securities that are convertible, exercisable or exchangeable for Class A Shares issued in a financing transaction in connection with a Business Combination, including but not limited to a private placement of equity or debt.</w:t>
            </w:r>
          </w:p>
        </w:tc>
      </w:tr>
      <w:tr>
        <w:trPr>
          <w:trHeight w:val="120" w:hRule="atLeast"/>
        </w:trPr>
        <w:tc>
          <w:tcPr>
            <w:tcW w:w="2388" w:type="dxa"/>
            <w:tcBorders/>
            <w:shd w:fill="auto" w:val="clear"/>
            <w:vAlign w:val="center"/>
          </w:tcPr>
          <w:p>
            <w:pPr>
              <w:pStyle w:val="TableContents"/>
              <w:spacing w:before="0" w:after="283"/>
              <w:rPr>
                <w:sz w:val="4"/>
                <w:szCs w:val="4"/>
              </w:rPr>
            </w:pPr>
            <w:r>
              <w:rPr>
                <w:sz w:val="4"/>
                <w:szCs w:val="4"/>
              </w:rPr>
            </w:r>
          </w:p>
        </w:tc>
        <w:tc>
          <w:tcPr>
            <w:tcW w:w="7000" w:type="dxa"/>
            <w:gridSpan w:val="2"/>
            <w:tcBorders/>
            <w:shd w:fill="auto" w:val="clear"/>
            <w:vAlign w:val="center"/>
          </w:tcPr>
          <w:p>
            <w:pPr>
              <w:pStyle w:val="TableContents"/>
              <w:spacing w:before="0" w:after="283"/>
              <w:rPr>
                <w:sz w:val="4"/>
                <w:szCs w:val="4"/>
              </w:rPr>
            </w:pPr>
            <w:r>
              <w:rPr>
                <w:sz w:val="4"/>
                <w:szCs w:val="4"/>
              </w:rPr>
            </w:r>
          </w:p>
        </w:tc>
      </w:tr>
      <w:tr>
        <w:trPr/>
        <w:tc>
          <w:tcPr>
            <w:tcW w:w="2388" w:type="dxa"/>
            <w:tcBorders/>
            <w:shd w:fill="auto" w:val="clear"/>
          </w:tcPr>
          <w:p>
            <w:pPr>
              <w:pStyle w:val="TableContents"/>
              <w:spacing w:before="0" w:after="283"/>
              <w:rPr>
                <w:b/>
              </w:rPr>
            </w:pPr>
            <w:r>
              <w:rPr>
                <w:b/>
              </w:rPr>
              <w:t>IPO</w:t>
            </w:r>
          </w:p>
        </w:tc>
        <w:tc>
          <w:tcPr>
            <w:tcW w:w="122" w:type="dxa"/>
            <w:tcBorders/>
            <w:shd w:fill="auto" w:val="clear"/>
            <w:vAlign w:val="bottom"/>
          </w:tcPr>
          <w:p>
            <w:pPr>
              <w:pStyle w:val="TableContents"/>
              <w:spacing w:before="0" w:after="283"/>
              <w:rPr/>
            </w:pPr>
            <w:r>
              <w:rPr/>
              <w:t>  </w:t>
            </w:r>
          </w:p>
        </w:tc>
        <w:tc>
          <w:tcPr>
            <w:tcW w:w="6878" w:type="dxa"/>
            <w:tcBorders/>
            <w:shd w:fill="auto" w:val="clear"/>
            <w:vAlign w:val="bottom"/>
          </w:tcPr>
          <w:p>
            <w:pPr>
              <w:pStyle w:val="TableContents"/>
              <w:spacing w:before="0" w:after="283"/>
              <w:rPr/>
            </w:pPr>
            <w:r>
              <w:rPr/>
              <w:t>means the Companys initial public offering of securities.</w:t>
            </w:r>
          </w:p>
        </w:tc>
      </w:tr>
      <w:tr>
        <w:trPr>
          <w:trHeight w:val="120" w:hRule="atLeast"/>
        </w:trPr>
        <w:tc>
          <w:tcPr>
            <w:tcW w:w="2388" w:type="dxa"/>
            <w:tcBorders/>
            <w:shd w:fill="auto" w:val="clear"/>
            <w:vAlign w:val="center"/>
          </w:tcPr>
          <w:p>
            <w:pPr>
              <w:pStyle w:val="TableContents"/>
              <w:spacing w:before="0" w:after="283"/>
              <w:rPr>
                <w:sz w:val="4"/>
                <w:szCs w:val="4"/>
              </w:rPr>
            </w:pPr>
            <w:r>
              <w:rPr>
                <w:sz w:val="4"/>
                <w:szCs w:val="4"/>
              </w:rPr>
            </w:r>
          </w:p>
        </w:tc>
        <w:tc>
          <w:tcPr>
            <w:tcW w:w="7000" w:type="dxa"/>
            <w:gridSpan w:val="2"/>
            <w:tcBorders/>
            <w:shd w:fill="auto" w:val="clear"/>
            <w:vAlign w:val="center"/>
          </w:tcPr>
          <w:p>
            <w:pPr>
              <w:pStyle w:val="TableContents"/>
              <w:spacing w:before="0" w:after="283"/>
              <w:rPr>
                <w:sz w:val="4"/>
                <w:szCs w:val="4"/>
              </w:rPr>
            </w:pPr>
            <w:r>
              <w:rPr>
                <w:sz w:val="4"/>
                <w:szCs w:val="4"/>
              </w:rPr>
            </w:r>
          </w:p>
        </w:tc>
      </w:tr>
      <w:tr>
        <w:trPr/>
        <w:tc>
          <w:tcPr>
            <w:tcW w:w="2388" w:type="dxa"/>
            <w:tcBorders/>
            <w:shd w:fill="auto" w:val="clear"/>
          </w:tcPr>
          <w:p>
            <w:pPr>
              <w:pStyle w:val="TableContents"/>
              <w:spacing w:before="0" w:after="283"/>
              <w:rPr>
                <w:b/>
              </w:rPr>
            </w:pPr>
            <w:r>
              <w:rPr>
                <w:b/>
              </w:rPr>
              <w:t>Member</w:t>
            </w:r>
          </w:p>
        </w:tc>
        <w:tc>
          <w:tcPr>
            <w:tcW w:w="122" w:type="dxa"/>
            <w:tcBorders/>
            <w:shd w:fill="auto" w:val="clear"/>
            <w:vAlign w:val="bottom"/>
          </w:tcPr>
          <w:p>
            <w:pPr>
              <w:pStyle w:val="TableContents"/>
              <w:spacing w:before="0" w:after="283"/>
              <w:rPr/>
            </w:pPr>
            <w:r>
              <w:rPr/>
              <w:t>  </w:t>
            </w:r>
          </w:p>
        </w:tc>
        <w:tc>
          <w:tcPr>
            <w:tcW w:w="6878" w:type="dxa"/>
            <w:tcBorders/>
            <w:shd w:fill="auto" w:val="clear"/>
            <w:vAlign w:val="bottom"/>
          </w:tcPr>
          <w:p>
            <w:pPr>
              <w:pStyle w:val="TableContents"/>
              <w:spacing w:before="0" w:after="283"/>
              <w:rPr/>
            </w:pPr>
            <w:r>
              <w:rPr/>
              <w:t>has the same meaning as in the Statute.</w:t>
            </w:r>
          </w:p>
        </w:tc>
      </w:tr>
      <w:tr>
        <w:trPr>
          <w:trHeight w:val="120" w:hRule="atLeast"/>
        </w:trPr>
        <w:tc>
          <w:tcPr>
            <w:tcW w:w="2388" w:type="dxa"/>
            <w:tcBorders/>
            <w:shd w:fill="auto" w:val="clear"/>
            <w:vAlign w:val="center"/>
          </w:tcPr>
          <w:p>
            <w:pPr>
              <w:pStyle w:val="TableContents"/>
              <w:spacing w:before="0" w:after="283"/>
              <w:rPr>
                <w:sz w:val="4"/>
                <w:szCs w:val="4"/>
              </w:rPr>
            </w:pPr>
            <w:r>
              <w:rPr>
                <w:sz w:val="4"/>
                <w:szCs w:val="4"/>
              </w:rPr>
            </w:r>
          </w:p>
        </w:tc>
        <w:tc>
          <w:tcPr>
            <w:tcW w:w="7000" w:type="dxa"/>
            <w:gridSpan w:val="2"/>
            <w:tcBorders/>
            <w:shd w:fill="auto" w:val="clear"/>
            <w:vAlign w:val="center"/>
          </w:tcPr>
          <w:p>
            <w:pPr>
              <w:pStyle w:val="TableContents"/>
              <w:spacing w:before="0" w:after="283"/>
              <w:rPr>
                <w:sz w:val="4"/>
                <w:szCs w:val="4"/>
              </w:rPr>
            </w:pPr>
            <w:r>
              <w:rPr>
                <w:sz w:val="4"/>
                <w:szCs w:val="4"/>
              </w:rPr>
            </w:r>
          </w:p>
        </w:tc>
      </w:tr>
      <w:tr>
        <w:trPr/>
        <w:tc>
          <w:tcPr>
            <w:tcW w:w="2388" w:type="dxa"/>
            <w:tcBorders/>
            <w:shd w:fill="auto" w:val="clear"/>
          </w:tcPr>
          <w:p>
            <w:pPr>
              <w:pStyle w:val="TableContents"/>
              <w:spacing w:before="0" w:after="283"/>
              <w:rPr>
                <w:b/>
              </w:rPr>
            </w:pPr>
            <w:r>
              <w:rPr>
                <w:b/>
              </w:rPr>
              <w:t>Memorandum</w:t>
            </w:r>
          </w:p>
        </w:tc>
        <w:tc>
          <w:tcPr>
            <w:tcW w:w="122" w:type="dxa"/>
            <w:tcBorders/>
            <w:shd w:fill="auto" w:val="clear"/>
            <w:vAlign w:val="bottom"/>
          </w:tcPr>
          <w:p>
            <w:pPr>
              <w:pStyle w:val="TableContents"/>
              <w:spacing w:before="0" w:after="283"/>
              <w:rPr/>
            </w:pPr>
            <w:r>
              <w:rPr/>
              <w:t>  </w:t>
            </w:r>
          </w:p>
        </w:tc>
        <w:tc>
          <w:tcPr>
            <w:tcW w:w="6878" w:type="dxa"/>
            <w:tcBorders/>
            <w:shd w:fill="auto" w:val="clear"/>
            <w:vAlign w:val="bottom"/>
          </w:tcPr>
          <w:p>
            <w:pPr>
              <w:pStyle w:val="TableContents"/>
              <w:spacing w:before="0" w:after="283"/>
              <w:rPr/>
            </w:pPr>
            <w:r>
              <w:rPr/>
              <w:t>means the memorandum of association of the Company.</w:t>
            </w:r>
          </w:p>
        </w:tc>
      </w:tr>
      <w:tr>
        <w:trPr>
          <w:trHeight w:val="120" w:hRule="atLeast"/>
        </w:trPr>
        <w:tc>
          <w:tcPr>
            <w:tcW w:w="2388" w:type="dxa"/>
            <w:tcBorders/>
            <w:shd w:fill="auto" w:val="clear"/>
            <w:vAlign w:val="center"/>
          </w:tcPr>
          <w:p>
            <w:pPr>
              <w:pStyle w:val="TableContents"/>
              <w:spacing w:before="0" w:after="283"/>
              <w:rPr>
                <w:sz w:val="4"/>
                <w:szCs w:val="4"/>
              </w:rPr>
            </w:pPr>
            <w:r>
              <w:rPr>
                <w:sz w:val="4"/>
                <w:szCs w:val="4"/>
              </w:rPr>
            </w:r>
          </w:p>
        </w:tc>
        <w:tc>
          <w:tcPr>
            <w:tcW w:w="7000" w:type="dxa"/>
            <w:gridSpan w:val="2"/>
            <w:tcBorders/>
            <w:shd w:fill="auto" w:val="clear"/>
            <w:vAlign w:val="center"/>
          </w:tcPr>
          <w:p>
            <w:pPr>
              <w:pStyle w:val="TableContents"/>
              <w:spacing w:before="0" w:after="283"/>
              <w:rPr>
                <w:sz w:val="4"/>
                <w:szCs w:val="4"/>
              </w:rPr>
            </w:pPr>
            <w:r>
              <w:rPr>
                <w:sz w:val="4"/>
                <w:szCs w:val="4"/>
              </w:rPr>
            </w:r>
          </w:p>
        </w:tc>
      </w:tr>
      <w:tr>
        <w:trPr/>
        <w:tc>
          <w:tcPr>
            <w:tcW w:w="2388" w:type="dxa"/>
            <w:tcBorders/>
            <w:shd w:fill="auto" w:val="clear"/>
          </w:tcPr>
          <w:p>
            <w:pPr>
              <w:pStyle w:val="TableContents"/>
              <w:spacing w:before="0" w:after="283"/>
              <w:rPr>
                <w:b/>
              </w:rPr>
            </w:pPr>
            <w:r>
              <w:rPr>
                <w:b/>
              </w:rPr>
              <w:t>Ordinary Resolution</w:t>
            </w:r>
          </w:p>
        </w:tc>
        <w:tc>
          <w:tcPr>
            <w:tcW w:w="122" w:type="dxa"/>
            <w:tcBorders/>
            <w:shd w:fill="auto" w:val="clear"/>
            <w:vAlign w:val="bottom"/>
          </w:tcPr>
          <w:p>
            <w:pPr>
              <w:pStyle w:val="TableContents"/>
              <w:spacing w:before="0" w:after="283"/>
              <w:rPr/>
            </w:pPr>
            <w:r>
              <w:rPr/>
              <w:t>  </w:t>
            </w:r>
          </w:p>
        </w:tc>
        <w:tc>
          <w:tcPr>
            <w:tcW w:w="6878" w:type="dxa"/>
            <w:tcBorders/>
            <w:shd w:fill="auto" w:val="clear"/>
            <w:vAlign w:val="bottom"/>
          </w:tcPr>
          <w:p>
            <w:pPr>
              <w:pStyle w:val="TableContents"/>
              <w:spacing w:before="0" w:after="283"/>
              <w:rPr/>
            </w:pPr>
            <w:r>
              <w:rPr/>
              <w:t>means a resolution passed by a simple majority of the Members as, being entitled to do so, vote in person or, where proxies are allowed, by proxy at a general meeting, and includes a unanimous written resolution. In computing the majority when a poll is demanded regard shall be had to the number of votes to which each Member is entitled by the Articles.</w:t>
            </w:r>
          </w:p>
        </w:tc>
      </w:tr>
      <w:tr>
        <w:trPr>
          <w:trHeight w:val="120" w:hRule="atLeast"/>
        </w:trPr>
        <w:tc>
          <w:tcPr>
            <w:tcW w:w="2388" w:type="dxa"/>
            <w:tcBorders/>
            <w:shd w:fill="auto" w:val="clear"/>
            <w:vAlign w:val="center"/>
          </w:tcPr>
          <w:p>
            <w:pPr>
              <w:pStyle w:val="TableContents"/>
              <w:spacing w:before="0" w:after="283"/>
              <w:rPr>
                <w:sz w:val="4"/>
                <w:szCs w:val="4"/>
              </w:rPr>
            </w:pPr>
            <w:r>
              <w:rPr>
                <w:sz w:val="4"/>
                <w:szCs w:val="4"/>
              </w:rPr>
            </w:r>
          </w:p>
        </w:tc>
        <w:tc>
          <w:tcPr>
            <w:tcW w:w="7000" w:type="dxa"/>
            <w:gridSpan w:val="2"/>
            <w:tcBorders/>
            <w:shd w:fill="auto" w:val="clear"/>
            <w:vAlign w:val="center"/>
          </w:tcPr>
          <w:p>
            <w:pPr>
              <w:pStyle w:val="TableContents"/>
              <w:spacing w:before="0" w:after="283"/>
              <w:rPr>
                <w:sz w:val="4"/>
                <w:szCs w:val="4"/>
              </w:rPr>
            </w:pPr>
            <w:r>
              <w:rPr>
                <w:sz w:val="4"/>
                <w:szCs w:val="4"/>
              </w:rPr>
            </w:r>
          </w:p>
        </w:tc>
      </w:tr>
      <w:tr>
        <w:trPr/>
        <w:tc>
          <w:tcPr>
            <w:tcW w:w="2388" w:type="dxa"/>
            <w:tcBorders/>
            <w:shd w:fill="auto" w:val="clear"/>
          </w:tcPr>
          <w:p>
            <w:pPr>
              <w:pStyle w:val="TableContents"/>
              <w:spacing w:before="0" w:after="283"/>
              <w:rPr>
                <w:b/>
              </w:rPr>
            </w:pPr>
            <w:r>
              <w:rPr>
                <w:b/>
              </w:rPr>
              <w:t>Preference Share</w:t>
            </w:r>
          </w:p>
        </w:tc>
        <w:tc>
          <w:tcPr>
            <w:tcW w:w="122" w:type="dxa"/>
            <w:tcBorders/>
            <w:shd w:fill="auto" w:val="clear"/>
            <w:vAlign w:val="bottom"/>
          </w:tcPr>
          <w:p>
            <w:pPr>
              <w:pStyle w:val="TableContents"/>
              <w:spacing w:before="0" w:after="283"/>
              <w:rPr/>
            </w:pPr>
            <w:r>
              <w:rPr/>
              <w:t>  </w:t>
            </w:r>
          </w:p>
        </w:tc>
        <w:tc>
          <w:tcPr>
            <w:tcW w:w="6878" w:type="dxa"/>
            <w:tcBorders/>
            <w:shd w:fill="auto" w:val="clear"/>
            <w:vAlign w:val="bottom"/>
          </w:tcPr>
          <w:p>
            <w:pPr>
              <w:pStyle w:val="TableContents"/>
              <w:spacing w:before="0" w:after="283"/>
              <w:rPr/>
            </w:pPr>
            <w:r>
              <w:rPr/>
              <w:t>means a preference share of a par value of US$0.0001 in the share capital of the Company.</w:t>
            </w:r>
          </w:p>
        </w:tc>
      </w:tr>
      <w:tr>
        <w:trPr>
          <w:trHeight w:val="120" w:hRule="atLeast"/>
        </w:trPr>
        <w:tc>
          <w:tcPr>
            <w:tcW w:w="2388" w:type="dxa"/>
            <w:tcBorders/>
            <w:shd w:fill="auto" w:val="clear"/>
            <w:vAlign w:val="center"/>
          </w:tcPr>
          <w:p>
            <w:pPr>
              <w:pStyle w:val="TableContents"/>
              <w:spacing w:before="0" w:after="283"/>
              <w:rPr>
                <w:sz w:val="4"/>
                <w:szCs w:val="4"/>
              </w:rPr>
            </w:pPr>
            <w:r>
              <w:rPr>
                <w:sz w:val="4"/>
                <w:szCs w:val="4"/>
              </w:rPr>
            </w:r>
          </w:p>
        </w:tc>
        <w:tc>
          <w:tcPr>
            <w:tcW w:w="7000" w:type="dxa"/>
            <w:gridSpan w:val="2"/>
            <w:tcBorders/>
            <w:shd w:fill="auto" w:val="clear"/>
            <w:vAlign w:val="center"/>
          </w:tcPr>
          <w:p>
            <w:pPr>
              <w:pStyle w:val="TableContents"/>
              <w:spacing w:before="0" w:after="283"/>
              <w:rPr>
                <w:sz w:val="4"/>
                <w:szCs w:val="4"/>
              </w:rPr>
            </w:pPr>
            <w:r>
              <w:rPr>
                <w:sz w:val="4"/>
                <w:szCs w:val="4"/>
              </w:rPr>
            </w:r>
          </w:p>
        </w:tc>
      </w:tr>
      <w:tr>
        <w:trPr/>
        <w:tc>
          <w:tcPr>
            <w:tcW w:w="2388" w:type="dxa"/>
            <w:tcBorders/>
            <w:shd w:fill="auto" w:val="clear"/>
          </w:tcPr>
          <w:p>
            <w:pPr>
              <w:pStyle w:val="TableContents"/>
              <w:spacing w:before="0" w:after="283"/>
              <w:rPr>
                <w:b/>
              </w:rPr>
            </w:pPr>
            <w:r>
              <w:rPr>
                <w:b/>
              </w:rPr>
              <w:t>Register of Members</w:t>
            </w:r>
          </w:p>
        </w:tc>
        <w:tc>
          <w:tcPr>
            <w:tcW w:w="122" w:type="dxa"/>
            <w:tcBorders/>
            <w:shd w:fill="auto" w:val="clear"/>
            <w:vAlign w:val="bottom"/>
          </w:tcPr>
          <w:p>
            <w:pPr>
              <w:pStyle w:val="TableContents"/>
              <w:spacing w:before="0" w:after="283"/>
              <w:rPr/>
            </w:pPr>
            <w:r>
              <w:rPr/>
              <w:t>  </w:t>
            </w:r>
          </w:p>
        </w:tc>
        <w:tc>
          <w:tcPr>
            <w:tcW w:w="6878" w:type="dxa"/>
            <w:tcBorders/>
            <w:shd w:fill="auto" w:val="clear"/>
            <w:vAlign w:val="bottom"/>
          </w:tcPr>
          <w:p>
            <w:pPr>
              <w:pStyle w:val="TableContents"/>
              <w:spacing w:before="0" w:after="283"/>
              <w:rPr/>
            </w:pPr>
            <w:r>
              <w:rPr/>
              <w:t>means the register of Members maintained in accordance with the Statute and includes (except where otherwise stated) any branch or duplicate register of Members.</w:t>
            </w:r>
          </w:p>
        </w:tc>
      </w:tr>
      <w:tr>
        <w:trPr>
          <w:trHeight w:val="120" w:hRule="atLeast"/>
        </w:trPr>
        <w:tc>
          <w:tcPr>
            <w:tcW w:w="2388" w:type="dxa"/>
            <w:tcBorders/>
            <w:shd w:fill="auto" w:val="clear"/>
            <w:vAlign w:val="center"/>
          </w:tcPr>
          <w:p>
            <w:pPr>
              <w:pStyle w:val="TableContents"/>
              <w:spacing w:before="0" w:after="283"/>
              <w:rPr>
                <w:sz w:val="4"/>
                <w:szCs w:val="4"/>
              </w:rPr>
            </w:pPr>
            <w:r>
              <w:rPr>
                <w:sz w:val="4"/>
                <w:szCs w:val="4"/>
              </w:rPr>
            </w:r>
          </w:p>
        </w:tc>
        <w:tc>
          <w:tcPr>
            <w:tcW w:w="7000" w:type="dxa"/>
            <w:gridSpan w:val="2"/>
            <w:tcBorders/>
            <w:shd w:fill="auto" w:val="clear"/>
            <w:vAlign w:val="center"/>
          </w:tcPr>
          <w:p>
            <w:pPr>
              <w:pStyle w:val="TableContents"/>
              <w:spacing w:before="0" w:after="283"/>
              <w:rPr>
                <w:sz w:val="4"/>
                <w:szCs w:val="4"/>
              </w:rPr>
            </w:pPr>
            <w:r>
              <w:rPr>
                <w:sz w:val="4"/>
                <w:szCs w:val="4"/>
              </w:rPr>
            </w:r>
          </w:p>
        </w:tc>
      </w:tr>
      <w:tr>
        <w:trPr/>
        <w:tc>
          <w:tcPr>
            <w:tcW w:w="2388" w:type="dxa"/>
            <w:tcBorders/>
            <w:shd w:fill="auto" w:val="clear"/>
          </w:tcPr>
          <w:p>
            <w:pPr>
              <w:pStyle w:val="TableContents"/>
              <w:spacing w:before="0" w:after="283"/>
              <w:rPr>
                <w:b/>
              </w:rPr>
            </w:pPr>
            <w:r>
              <w:rPr>
                <w:b/>
              </w:rPr>
              <w:t>Registered Office</w:t>
            </w:r>
          </w:p>
        </w:tc>
        <w:tc>
          <w:tcPr>
            <w:tcW w:w="122" w:type="dxa"/>
            <w:tcBorders/>
            <w:shd w:fill="auto" w:val="clear"/>
            <w:vAlign w:val="bottom"/>
          </w:tcPr>
          <w:p>
            <w:pPr>
              <w:pStyle w:val="TableContents"/>
              <w:spacing w:before="0" w:after="283"/>
              <w:rPr/>
            </w:pPr>
            <w:r>
              <w:rPr/>
              <w:t>  </w:t>
            </w:r>
          </w:p>
        </w:tc>
        <w:tc>
          <w:tcPr>
            <w:tcW w:w="6878" w:type="dxa"/>
            <w:tcBorders/>
            <w:shd w:fill="auto" w:val="clear"/>
            <w:vAlign w:val="bottom"/>
          </w:tcPr>
          <w:p>
            <w:pPr>
              <w:pStyle w:val="TableContents"/>
              <w:spacing w:before="0" w:after="283"/>
              <w:rPr/>
            </w:pPr>
            <w:r>
              <w:rPr/>
              <w:t>means the registered office for the time being of the Company.</w:t>
            </w:r>
          </w:p>
        </w:tc>
      </w:tr>
      <w:tr>
        <w:trPr>
          <w:trHeight w:val="120" w:hRule="atLeast"/>
        </w:trPr>
        <w:tc>
          <w:tcPr>
            <w:tcW w:w="2388" w:type="dxa"/>
            <w:tcBorders/>
            <w:shd w:fill="auto" w:val="clear"/>
            <w:vAlign w:val="center"/>
          </w:tcPr>
          <w:p>
            <w:pPr>
              <w:pStyle w:val="TableContents"/>
              <w:spacing w:before="0" w:after="283"/>
              <w:rPr>
                <w:sz w:val="4"/>
                <w:szCs w:val="4"/>
              </w:rPr>
            </w:pPr>
            <w:r>
              <w:rPr>
                <w:sz w:val="4"/>
                <w:szCs w:val="4"/>
              </w:rPr>
            </w:r>
          </w:p>
        </w:tc>
        <w:tc>
          <w:tcPr>
            <w:tcW w:w="7000" w:type="dxa"/>
            <w:gridSpan w:val="2"/>
            <w:tcBorders/>
            <w:shd w:fill="auto" w:val="clear"/>
            <w:vAlign w:val="center"/>
          </w:tcPr>
          <w:p>
            <w:pPr>
              <w:pStyle w:val="TableContents"/>
              <w:spacing w:before="0" w:after="283"/>
              <w:rPr>
                <w:sz w:val="4"/>
                <w:szCs w:val="4"/>
              </w:rPr>
            </w:pPr>
            <w:r>
              <w:rPr>
                <w:sz w:val="4"/>
                <w:szCs w:val="4"/>
              </w:rPr>
            </w:r>
          </w:p>
        </w:tc>
      </w:tr>
      <w:tr>
        <w:trPr/>
        <w:tc>
          <w:tcPr>
            <w:tcW w:w="2388" w:type="dxa"/>
            <w:tcBorders/>
            <w:shd w:fill="auto" w:val="clear"/>
          </w:tcPr>
          <w:p>
            <w:pPr>
              <w:pStyle w:val="TableContents"/>
              <w:spacing w:before="0" w:after="283"/>
              <w:rPr>
                <w:b/>
              </w:rPr>
            </w:pPr>
            <w:r>
              <w:rPr>
                <w:b/>
              </w:rPr>
              <w:t>Seal</w:t>
            </w:r>
          </w:p>
        </w:tc>
        <w:tc>
          <w:tcPr>
            <w:tcW w:w="122" w:type="dxa"/>
            <w:tcBorders/>
            <w:shd w:fill="auto" w:val="clear"/>
            <w:vAlign w:val="bottom"/>
          </w:tcPr>
          <w:p>
            <w:pPr>
              <w:pStyle w:val="TableContents"/>
              <w:spacing w:before="0" w:after="283"/>
              <w:rPr/>
            </w:pPr>
            <w:r>
              <w:rPr/>
              <w:t>  </w:t>
            </w:r>
          </w:p>
        </w:tc>
        <w:tc>
          <w:tcPr>
            <w:tcW w:w="6878" w:type="dxa"/>
            <w:tcBorders/>
            <w:shd w:fill="auto" w:val="clear"/>
            <w:vAlign w:val="bottom"/>
          </w:tcPr>
          <w:p>
            <w:pPr>
              <w:pStyle w:val="TableContents"/>
              <w:spacing w:before="0" w:after="283"/>
              <w:rPr/>
            </w:pPr>
            <w:r>
              <w:rPr/>
              <w:t>means the common seal of the Company and includes every duplicate seal.</w:t>
            </w:r>
          </w:p>
        </w:tc>
      </w:tr>
      <w:tr>
        <w:trPr>
          <w:trHeight w:val="120" w:hRule="atLeast"/>
        </w:trPr>
        <w:tc>
          <w:tcPr>
            <w:tcW w:w="2388" w:type="dxa"/>
            <w:tcBorders/>
            <w:shd w:fill="auto" w:val="clear"/>
            <w:vAlign w:val="center"/>
          </w:tcPr>
          <w:p>
            <w:pPr>
              <w:pStyle w:val="TableContents"/>
              <w:spacing w:before="0" w:after="283"/>
              <w:rPr>
                <w:sz w:val="4"/>
                <w:szCs w:val="4"/>
              </w:rPr>
            </w:pPr>
            <w:r>
              <w:rPr>
                <w:sz w:val="4"/>
                <w:szCs w:val="4"/>
              </w:rPr>
            </w:r>
          </w:p>
        </w:tc>
        <w:tc>
          <w:tcPr>
            <w:tcW w:w="7000" w:type="dxa"/>
            <w:gridSpan w:val="2"/>
            <w:tcBorders/>
            <w:shd w:fill="auto" w:val="clear"/>
            <w:vAlign w:val="center"/>
          </w:tcPr>
          <w:p>
            <w:pPr>
              <w:pStyle w:val="TableContents"/>
              <w:spacing w:before="0" w:after="283"/>
              <w:rPr>
                <w:sz w:val="4"/>
                <w:szCs w:val="4"/>
              </w:rPr>
            </w:pPr>
            <w:r>
              <w:rPr>
                <w:sz w:val="4"/>
                <w:szCs w:val="4"/>
              </w:rPr>
            </w:r>
          </w:p>
        </w:tc>
      </w:tr>
      <w:tr>
        <w:trPr/>
        <w:tc>
          <w:tcPr>
            <w:tcW w:w="2388" w:type="dxa"/>
            <w:tcBorders/>
            <w:shd w:fill="auto" w:val="clear"/>
          </w:tcPr>
          <w:p>
            <w:pPr>
              <w:pStyle w:val="TableContents"/>
              <w:spacing w:before="0" w:after="283"/>
              <w:rPr>
                <w:b/>
              </w:rPr>
            </w:pPr>
            <w:r>
              <w:rPr>
                <w:b/>
              </w:rPr>
              <w:t>Share</w:t>
            </w:r>
          </w:p>
        </w:tc>
        <w:tc>
          <w:tcPr>
            <w:tcW w:w="122" w:type="dxa"/>
            <w:tcBorders/>
            <w:shd w:fill="auto" w:val="clear"/>
            <w:vAlign w:val="bottom"/>
          </w:tcPr>
          <w:p>
            <w:pPr>
              <w:pStyle w:val="TableContents"/>
              <w:spacing w:before="0" w:after="283"/>
              <w:rPr/>
            </w:pPr>
            <w:r>
              <w:rPr/>
              <w:t>  </w:t>
            </w:r>
          </w:p>
        </w:tc>
        <w:tc>
          <w:tcPr>
            <w:tcW w:w="6878" w:type="dxa"/>
            <w:tcBorders/>
            <w:shd w:fill="auto" w:val="clear"/>
            <w:vAlign w:val="bottom"/>
          </w:tcPr>
          <w:p>
            <w:pPr>
              <w:pStyle w:val="TableContents"/>
              <w:spacing w:before="0" w:after="283"/>
              <w:rPr/>
            </w:pPr>
            <w:r>
              <w:rPr/>
              <w:t>means a Class A Share, a Class B Share or a Preference Share and includes a fraction of a share in the Company.</w:t>
            </w:r>
          </w:p>
        </w:tc>
      </w:tr>
      <w:tr>
        <w:trPr>
          <w:trHeight w:val="120" w:hRule="atLeast"/>
        </w:trPr>
        <w:tc>
          <w:tcPr>
            <w:tcW w:w="2388" w:type="dxa"/>
            <w:tcBorders/>
            <w:shd w:fill="auto" w:val="clear"/>
            <w:vAlign w:val="center"/>
          </w:tcPr>
          <w:p>
            <w:pPr>
              <w:pStyle w:val="TableContents"/>
              <w:spacing w:before="0" w:after="283"/>
              <w:rPr>
                <w:sz w:val="4"/>
                <w:szCs w:val="4"/>
              </w:rPr>
            </w:pPr>
            <w:r>
              <w:rPr>
                <w:sz w:val="4"/>
                <w:szCs w:val="4"/>
              </w:rPr>
            </w:r>
          </w:p>
        </w:tc>
        <w:tc>
          <w:tcPr>
            <w:tcW w:w="7000" w:type="dxa"/>
            <w:gridSpan w:val="2"/>
            <w:tcBorders/>
            <w:shd w:fill="auto" w:val="clear"/>
            <w:vAlign w:val="center"/>
          </w:tcPr>
          <w:p>
            <w:pPr>
              <w:pStyle w:val="TableContents"/>
              <w:spacing w:before="0" w:after="283"/>
              <w:rPr>
                <w:sz w:val="4"/>
                <w:szCs w:val="4"/>
              </w:rPr>
            </w:pPr>
            <w:r>
              <w:rPr>
                <w:sz w:val="4"/>
                <w:szCs w:val="4"/>
              </w:rPr>
            </w:r>
          </w:p>
        </w:tc>
      </w:tr>
      <w:tr>
        <w:trPr/>
        <w:tc>
          <w:tcPr>
            <w:tcW w:w="2388" w:type="dxa"/>
            <w:tcBorders/>
            <w:shd w:fill="auto" w:val="clear"/>
          </w:tcPr>
          <w:p>
            <w:pPr>
              <w:pStyle w:val="TableContents"/>
              <w:spacing w:before="0" w:after="283"/>
              <w:rPr>
                <w:b/>
              </w:rPr>
            </w:pPr>
            <w:r>
              <w:rPr>
                <w:b/>
              </w:rPr>
              <w:t>Special Resolution</w:t>
            </w:r>
          </w:p>
        </w:tc>
        <w:tc>
          <w:tcPr>
            <w:tcW w:w="122" w:type="dxa"/>
            <w:tcBorders/>
            <w:shd w:fill="auto" w:val="clear"/>
            <w:vAlign w:val="bottom"/>
          </w:tcPr>
          <w:p>
            <w:pPr>
              <w:pStyle w:val="TableContents"/>
              <w:spacing w:before="0" w:after="283"/>
              <w:rPr/>
            </w:pPr>
            <w:r>
              <w:rPr/>
              <w:t>  </w:t>
            </w:r>
          </w:p>
        </w:tc>
        <w:tc>
          <w:tcPr>
            <w:tcW w:w="6878" w:type="dxa"/>
            <w:tcBorders/>
            <w:shd w:fill="auto" w:val="clear"/>
            <w:vAlign w:val="bottom"/>
          </w:tcPr>
          <w:p>
            <w:pPr>
              <w:pStyle w:val="TableContents"/>
              <w:spacing w:before="0" w:after="283"/>
              <w:rPr/>
            </w:pPr>
            <w:r>
              <w:rPr/>
              <w:t>has the same meaning as in the Statute, and includes a unanimous written resolution.</w:t>
            </w:r>
          </w:p>
        </w:tc>
      </w:tr>
    </w:tbl>
    <w:p>
      <w:pPr>
        <w:pStyle w:val="TextBody"/>
        <w:spacing w:before="0" w:after="0"/>
        <w:jc w:val="left"/>
        <w:rPr/>
      </w:pPr>
      <w:r>
        <w:rPr/>
        <w:t> </w:t>
      </w:r>
    </w:p>
    <w:p>
      <w:pPr>
        <w:pStyle w:val="TextBody"/>
        <w:spacing w:before="0" w:after="0"/>
        <w:jc w:val="right"/>
        <w:rPr>
          <w:rFonts w:ascii="Times New Roman" w:hAnsi="Times New Roman"/>
          <w:sz w:val="20"/>
        </w:rPr>
      </w:pPr>
      <w:r>
        <w:rPr>
          <w:rFonts w:ascii="Times New Roman" w:hAnsi="Times New Roman"/>
          <w:sz w:val="20"/>
        </w:rPr>
        <w:t xml:space="preserve">2 </w:t>
      </w:r>
    </w:p>
    <w:p>
      <w:pPr>
        <w:pStyle w:val="TextBody"/>
        <w:spacing w:before="80" w:after="0"/>
        <w:jc w:val="right"/>
        <w:rPr>
          <w:rFonts w:ascii="Times New Roman" w:hAnsi="Times New Roman"/>
          <w:sz w:val="20"/>
        </w:rPr>
      </w:pPr>
      <w:r>
        <w:rPr>
          <w:rFonts w:ascii="Times New Roman" w:hAnsi="Times New Roman"/>
          <w:i/>
          <w:sz w:val="20"/>
        </w:rPr>
        <w:t>Auth Code: H70275751251</w:t>
      </w:r>
      <w:r>
        <w:rPr>
          <w:rFonts w:ascii="Times New Roman" w:hAnsi="Times New Roman"/>
          <w:sz w:val="20"/>
        </w:rPr>
        <w:t xml:space="preserve"> </w:t>
      </w:r>
    </w:p>
    <w:p>
      <w:pPr>
        <w:pStyle w:val="TextBody"/>
        <w:spacing w:before="0" w:after="0"/>
        <w:jc w:val="right"/>
        <w:rPr>
          <w:rFonts w:ascii="Times New Roman" w:hAnsi="Times New Roman"/>
          <w:sz w:val="20"/>
        </w:rPr>
      </w:pPr>
      <w:r>
        <w:rPr>
          <w:rFonts w:ascii="Times New Roman" w:hAnsi="Times New Roman"/>
          <w:i/>
          <w:sz w:val="20"/>
        </w:rPr>
        <w:t>www.verify.gov.ky</w:t>
      </w:r>
      <w:r>
        <w:rPr>
          <w:rFonts w:ascii="Times New Roman" w:hAnsi="Times New Roman"/>
          <w:sz w:val="20"/>
        </w:rPr>
        <w:t xml:space="preserve"> </w:t>
      </w:r>
      <w:r>
        <w:br w:type="page"/>
      </w:r>
    </w:p>
    <w:p>
      <w:pPr>
        <w:pStyle w:val="HorizontalLine"/>
        <w:pBdr>
          <w:bottom w:val="double" w:sz="6" w:space="0" w:color="808080"/>
        </w:pBdr>
        <w:rPr/>
      </w:pPr>
      <w:r>
        <w:rPr/>
      </w:r>
    </w:p>
    <w:p>
      <w:pPr>
        <w:pStyle w:val="TextBody"/>
        <w:spacing w:before="0" w:after="0"/>
        <w:jc w:val="right"/>
        <w:rPr/>
      </w:pPr>
      <w:r>
        <w:rPr/>
        <w:drawing>
          <wp:inline distT="0" distB="0" distL="0" distR="0">
            <wp:extent cx="914400" cy="9144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14400" cy="914400"/>
                    </a:xfrm>
                    <a:prstGeom prst="rect">
                      <a:avLst/>
                    </a:prstGeom>
                  </pic:spPr>
                </pic:pic>
              </a:graphicData>
            </a:graphic>
          </wp:inline>
        </w:drawing>
      </w:r>
      <w:r>
        <w:rPr/>
        <w:t xml:space="preserve">              </w:t>
      </w:r>
    </w:p>
    <w:p>
      <w:pPr>
        <w:pStyle w:val="TextBody"/>
        <w:spacing w:before="20" w:after="0"/>
        <w:jc w:val="right"/>
        <w:rPr>
          <w:rFonts w:ascii="Times New Roman" w:hAnsi="Times New Roman"/>
          <w:sz w:val="20"/>
        </w:rPr>
      </w:pPr>
      <w:r>
        <w:rPr>
          <w:rFonts w:ascii="Times New Roman" w:hAnsi="Times New Roman"/>
          <w:b/>
          <w:i/>
          <w:sz w:val="20"/>
        </w:rPr>
        <w:t>EXEMPTED</w:t>
      </w:r>
      <w:r>
        <w:rPr>
          <w:rFonts w:ascii="Times New Roman" w:hAnsi="Times New Roman"/>
          <w:sz w:val="20"/>
        </w:rPr>
        <w:t xml:space="preserve"> </w:t>
      </w:r>
      <w:r>
        <w:rPr>
          <w:rFonts w:ascii="Times New Roman" w:hAnsi="Times New Roman"/>
          <w:i/>
          <w:sz w:val="20"/>
        </w:rPr>
        <w:t>Company Registered and</w:t>
      </w:r>
      <w:r>
        <w:rPr>
          <w:rFonts w:ascii="Times New Roman" w:hAnsi="Times New Roman"/>
          <w:sz w:val="20"/>
        </w:rPr>
        <w:t xml:space="preserve"> </w:t>
      </w:r>
    </w:p>
    <w:p>
      <w:pPr>
        <w:pStyle w:val="TextBody"/>
        <w:spacing w:before="20" w:after="0"/>
        <w:jc w:val="right"/>
        <w:rPr>
          <w:rFonts w:ascii="Times New Roman" w:hAnsi="Times New Roman"/>
          <w:sz w:val="20"/>
        </w:rPr>
      </w:pPr>
      <w:r>
        <w:rPr>
          <w:rFonts w:ascii="Times New Roman" w:hAnsi="Times New Roman"/>
          <w:i/>
          <w:sz w:val="20"/>
        </w:rPr>
        <w:t>filed as No. 370146 On 13-Jan-2021</w:t>
      </w:r>
      <w:r>
        <w:rPr>
          <w:rFonts w:ascii="Times New Roman" w:hAnsi="Times New Roman"/>
          <w:sz w:val="20"/>
        </w:rPr>
        <w:t xml:space="preserve"> </w:t>
      </w:r>
    </w:p>
    <w:p>
      <w:pPr>
        <w:pStyle w:val="TextBody"/>
        <w:spacing w:before="0" w:after="0"/>
        <w:jc w:val="left"/>
        <w:rPr/>
      </w:pPr>
      <w:r>
        <w:rPr/>
        <w:t> </w:t>
      </w:r>
    </w:p>
    <w:p>
      <w:pPr>
        <w:pStyle w:val="TextBody"/>
        <w:spacing w:before="0" w:after="0"/>
        <w:jc w:val="right"/>
        <w:rPr/>
      </w:pPr>
      <w:r>
        <w:rPr/>
        <w:drawing>
          <wp:inline distT="0" distB="0" distL="0" distR="0">
            <wp:extent cx="447675" cy="3619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447675" cy="361950"/>
                    </a:xfrm>
                    <a:prstGeom prst="rect">
                      <a:avLst/>
                    </a:prstGeom>
                  </pic:spPr>
                </pic:pic>
              </a:graphicData>
            </a:graphic>
          </wp:inline>
        </w:drawing>
      </w:r>
      <w:r>
        <w:rPr/>
        <w:t xml:space="preserve">                                           </w:t>
      </w:r>
    </w:p>
    <w:p>
      <w:pPr>
        <w:pStyle w:val="TextBody"/>
        <w:spacing w:before="0" w:after="0"/>
        <w:jc w:val="right"/>
        <w:rPr>
          <w:rFonts w:ascii="Times New Roman" w:hAnsi="Times New Roman"/>
          <w:sz w:val="20"/>
        </w:rPr>
      </w:pPr>
      <w:r>
        <w:rPr>
          <w:rFonts w:ascii="Times New Roman" w:hAnsi="Times New Roman"/>
          <w:i/>
          <w:sz w:val="20"/>
        </w:rPr>
        <w:t>Acting Assistant Registrar</w:t>
      </w:r>
      <w:r>
        <w:rPr>
          <w:rFonts w:ascii="Times New Roman" w:hAnsi="Times New Roman"/>
          <w:sz w:val="20"/>
        </w:rPr>
        <w:t xml:space="preserve"> </w:t>
      </w:r>
    </w:p>
    <w:p>
      <w:pPr>
        <w:pStyle w:val="TextBody"/>
        <w:spacing w:before="0" w:after="0"/>
        <w:jc w:val="left"/>
        <w:rPr/>
      </w:pPr>
      <w:r>
        <w:rPr/>
        <w:t> </w:t>
      </w:r>
    </w:p>
    <w:tbl>
      <w:tblPr>
        <w:tblW w:w="4600" w:type="pct"/>
        <w:jc w:val="right"/>
        <w:tblInd w:w="0" w:type="dxa"/>
        <w:tblCellMar>
          <w:top w:w="0" w:type="dxa"/>
          <w:left w:w="0" w:type="dxa"/>
          <w:bottom w:w="0" w:type="dxa"/>
          <w:right w:w="0" w:type="dxa"/>
        </w:tblCellMar>
      </w:tblPr>
      <w:tblGrid>
        <w:gridCol w:w="2280"/>
        <w:gridCol w:w="122"/>
        <w:gridCol w:w="6986"/>
      </w:tblGrid>
      <w:tr>
        <w:trPr/>
        <w:tc>
          <w:tcPr>
            <w:tcW w:w="2280"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sz w:val="4"/>
                <w:szCs w:val="4"/>
              </w:rPr>
            </w:pPr>
            <w:r>
              <w:rPr>
                <w:sz w:val="4"/>
                <w:szCs w:val="4"/>
              </w:rPr>
            </w:r>
          </w:p>
        </w:tc>
        <w:tc>
          <w:tcPr>
            <w:tcW w:w="6986" w:type="dxa"/>
            <w:tcBorders/>
            <w:shd w:fill="auto" w:val="clear"/>
            <w:vAlign w:val="center"/>
          </w:tcPr>
          <w:p>
            <w:pPr>
              <w:pStyle w:val="TableContents"/>
              <w:spacing w:before="0" w:after="283"/>
              <w:rPr>
                <w:sz w:val="4"/>
                <w:szCs w:val="4"/>
              </w:rPr>
            </w:pPr>
            <w:r>
              <w:rPr>
                <w:sz w:val="4"/>
                <w:szCs w:val="4"/>
              </w:rPr>
            </w:r>
          </w:p>
        </w:tc>
      </w:tr>
      <w:tr>
        <w:trPr/>
        <w:tc>
          <w:tcPr>
            <w:tcW w:w="2280" w:type="dxa"/>
            <w:tcBorders/>
            <w:shd w:fill="auto" w:val="clear"/>
          </w:tcPr>
          <w:p>
            <w:pPr>
              <w:pStyle w:val="TableContents"/>
              <w:spacing w:before="0" w:after="283"/>
              <w:rPr>
                <w:b/>
              </w:rPr>
            </w:pPr>
            <w:r>
              <w:rPr>
                <w:b/>
              </w:rPr>
              <w:t>Statute</w:t>
            </w:r>
          </w:p>
        </w:tc>
        <w:tc>
          <w:tcPr>
            <w:tcW w:w="122" w:type="dxa"/>
            <w:tcBorders/>
            <w:shd w:fill="auto" w:val="clear"/>
            <w:vAlign w:val="bottom"/>
          </w:tcPr>
          <w:p>
            <w:pPr>
              <w:pStyle w:val="TableContents"/>
              <w:spacing w:before="0" w:after="283"/>
              <w:rPr/>
            </w:pPr>
            <w:r>
              <w:rPr/>
              <w:t>  </w:t>
            </w:r>
          </w:p>
        </w:tc>
        <w:tc>
          <w:tcPr>
            <w:tcW w:w="6986" w:type="dxa"/>
            <w:tcBorders/>
            <w:shd w:fill="auto" w:val="clear"/>
            <w:vAlign w:val="bottom"/>
          </w:tcPr>
          <w:p>
            <w:pPr>
              <w:pStyle w:val="TableContents"/>
              <w:spacing w:before="0" w:after="283"/>
              <w:rPr/>
            </w:pPr>
            <w:r>
              <w:rPr/>
              <w:t>means the Companies Act (2020 Revision) of the Cayman Islands.</w:t>
            </w:r>
          </w:p>
        </w:tc>
      </w:tr>
      <w:tr>
        <w:trPr>
          <w:trHeight w:val="120" w:hRule="atLeast"/>
        </w:trPr>
        <w:tc>
          <w:tcPr>
            <w:tcW w:w="2280" w:type="dxa"/>
            <w:tcBorders/>
            <w:shd w:fill="auto" w:val="clear"/>
            <w:vAlign w:val="center"/>
          </w:tcPr>
          <w:p>
            <w:pPr>
              <w:pStyle w:val="TableContents"/>
              <w:spacing w:before="0" w:after="283"/>
              <w:rPr>
                <w:sz w:val="4"/>
                <w:szCs w:val="4"/>
              </w:rPr>
            </w:pPr>
            <w:r>
              <w:rPr>
                <w:sz w:val="4"/>
                <w:szCs w:val="4"/>
              </w:rPr>
            </w:r>
          </w:p>
        </w:tc>
        <w:tc>
          <w:tcPr>
            <w:tcW w:w="7108" w:type="dxa"/>
            <w:gridSpan w:val="2"/>
            <w:tcBorders/>
            <w:shd w:fill="auto" w:val="clear"/>
            <w:vAlign w:val="center"/>
          </w:tcPr>
          <w:p>
            <w:pPr>
              <w:pStyle w:val="TableContents"/>
              <w:spacing w:before="0" w:after="283"/>
              <w:rPr>
                <w:sz w:val="4"/>
                <w:szCs w:val="4"/>
              </w:rPr>
            </w:pPr>
            <w:r>
              <w:rPr>
                <w:sz w:val="4"/>
                <w:szCs w:val="4"/>
              </w:rPr>
            </w:r>
          </w:p>
        </w:tc>
      </w:tr>
      <w:tr>
        <w:trPr/>
        <w:tc>
          <w:tcPr>
            <w:tcW w:w="2280" w:type="dxa"/>
            <w:tcBorders/>
            <w:shd w:fill="auto" w:val="clear"/>
          </w:tcPr>
          <w:p>
            <w:pPr>
              <w:pStyle w:val="TableContents"/>
              <w:spacing w:before="0" w:after="283"/>
              <w:rPr>
                <w:b/>
              </w:rPr>
            </w:pPr>
            <w:r>
              <w:rPr>
                <w:b/>
              </w:rPr>
              <w:t>Subscriber</w:t>
            </w:r>
          </w:p>
        </w:tc>
        <w:tc>
          <w:tcPr>
            <w:tcW w:w="122" w:type="dxa"/>
            <w:tcBorders/>
            <w:shd w:fill="auto" w:val="clear"/>
            <w:vAlign w:val="bottom"/>
          </w:tcPr>
          <w:p>
            <w:pPr>
              <w:pStyle w:val="TableContents"/>
              <w:spacing w:before="0" w:after="283"/>
              <w:rPr/>
            </w:pPr>
            <w:r>
              <w:rPr/>
              <w:t>  </w:t>
            </w:r>
          </w:p>
        </w:tc>
        <w:tc>
          <w:tcPr>
            <w:tcW w:w="6986" w:type="dxa"/>
            <w:tcBorders/>
            <w:shd w:fill="auto" w:val="clear"/>
            <w:vAlign w:val="bottom"/>
          </w:tcPr>
          <w:p>
            <w:pPr>
              <w:pStyle w:val="TableContents"/>
              <w:spacing w:before="0" w:after="283"/>
              <w:rPr/>
            </w:pPr>
            <w:r>
              <w:rPr/>
              <w:t>means the subscriber to the Memorandum.</w:t>
            </w:r>
          </w:p>
        </w:tc>
      </w:tr>
      <w:tr>
        <w:trPr>
          <w:trHeight w:val="120" w:hRule="atLeast"/>
        </w:trPr>
        <w:tc>
          <w:tcPr>
            <w:tcW w:w="2280" w:type="dxa"/>
            <w:tcBorders/>
            <w:shd w:fill="auto" w:val="clear"/>
            <w:vAlign w:val="center"/>
          </w:tcPr>
          <w:p>
            <w:pPr>
              <w:pStyle w:val="TableContents"/>
              <w:spacing w:before="0" w:after="283"/>
              <w:rPr>
                <w:sz w:val="4"/>
                <w:szCs w:val="4"/>
              </w:rPr>
            </w:pPr>
            <w:r>
              <w:rPr>
                <w:sz w:val="4"/>
                <w:szCs w:val="4"/>
              </w:rPr>
            </w:r>
          </w:p>
        </w:tc>
        <w:tc>
          <w:tcPr>
            <w:tcW w:w="7108" w:type="dxa"/>
            <w:gridSpan w:val="2"/>
            <w:tcBorders/>
            <w:shd w:fill="auto" w:val="clear"/>
            <w:vAlign w:val="center"/>
          </w:tcPr>
          <w:p>
            <w:pPr>
              <w:pStyle w:val="TableContents"/>
              <w:spacing w:before="0" w:after="283"/>
              <w:rPr>
                <w:sz w:val="4"/>
                <w:szCs w:val="4"/>
              </w:rPr>
            </w:pPr>
            <w:r>
              <w:rPr>
                <w:sz w:val="4"/>
                <w:szCs w:val="4"/>
              </w:rPr>
            </w:r>
          </w:p>
        </w:tc>
      </w:tr>
      <w:tr>
        <w:trPr/>
        <w:tc>
          <w:tcPr>
            <w:tcW w:w="2280" w:type="dxa"/>
            <w:tcBorders/>
            <w:shd w:fill="auto" w:val="clear"/>
          </w:tcPr>
          <w:p>
            <w:pPr>
              <w:pStyle w:val="TableContents"/>
              <w:spacing w:before="0" w:after="283"/>
              <w:rPr>
                <w:b/>
              </w:rPr>
            </w:pPr>
            <w:r>
              <w:rPr>
                <w:b/>
              </w:rPr>
              <w:t>Treasury Share</w:t>
            </w:r>
          </w:p>
        </w:tc>
        <w:tc>
          <w:tcPr>
            <w:tcW w:w="122" w:type="dxa"/>
            <w:tcBorders/>
            <w:shd w:fill="auto" w:val="clear"/>
            <w:vAlign w:val="bottom"/>
          </w:tcPr>
          <w:p>
            <w:pPr>
              <w:pStyle w:val="TableContents"/>
              <w:spacing w:before="0" w:after="283"/>
              <w:rPr/>
            </w:pPr>
            <w:r>
              <w:rPr/>
              <w:t>  </w:t>
            </w:r>
          </w:p>
        </w:tc>
        <w:tc>
          <w:tcPr>
            <w:tcW w:w="6986" w:type="dxa"/>
            <w:tcBorders/>
            <w:shd w:fill="auto" w:val="clear"/>
            <w:vAlign w:val="bottom"/>
          </w:tcPr>
          <w:p>
            <w:pPr>
              <w:pStyle w:val="TableContents"/>
              <w:spacing w:before="0" w:after="283"/>
              <w:rPr/>
            </w:pPr>
            <w:r>
              <w:rPr/>
              <w:t>means a Share held in the name of the Company as a treasury share in accordance with the Statute.</w:t>
            </w:r>
          </w:p>
        </w:tc>
      </w:tr>
      <w:tr>
        <w:trPr>
          <w:trHeight w:val="120" w:hRule="atLeast"/>
        </w:trPr>
        <w:tc>
          <w:tcPr>
            <w:tcW w:w="2280" w:type="dxa"/>
            <w:tcBorders/>
            <w:shd w:fill="auto" w:val="clear"/>
            <w:vAlign w:val="center"/>
          </w:tcPr>
          <w:p>
            <w:pPr>
              <w:pStyle w:val="TableContents"/>
              <w:spacing w:before="0" w:after="283"/>
              <w:rPr>
                <w:sz w:val="4"/>
                <w:szCs w:val="4"/>
              </w:rPr>
            </w:pPr>
            <w:r>
              <w:rPr>
                <w:sz w:val="4"/>
                <w:szCs w:val="4"/>
              </w:rPr>
            </w:r>
          </w:p>
        </w:tc>
        <w:tc>
          <w:tcPr>
            <w:tcW w:w="7108" w:type="dxa"/>
            <w:gridSpan w:val="2"/>
            <w:tcBorders/>
            <w:shd w:fill="auto" w:val="clear"/>
            <w:vAlign w:val="center"/>
          </w:tcPr>
          <w:p>
            <w:pPr>
              <w:pStyle w:val="TableContents"/>
              <w:spacing w:before="0" w:after="283"/>
              <w:rPr>
                <w:sz w:val="4"/>
                <w:szCs w:val="4"/>
              </w:rPr>
            </w:pPr>
            <w:r>
              <w:rPr>
                <w:sz w:val="4"/>
                <w:szCs w:val="4"/>
              </w:rPr>
            </w:r>
          </w:p>
        </w:tc>
      </w:tr>
      <w:tr>
        <w:trPr/>
        <w:tc>
          <w:tcPr>
            <w:tcW w:w="2280" w:type="dxa"/>
            <w:tcBorders/>
            <w:shd w:fill="auto" w:val="clear"/>
          </w:tcPr>
          <w:p>
            <w:pPr>
              <w:pStyle w:val="TableContents"/>
              <w:spacing w:before="0" w:after="283"/>
              <w:rPr>
                <w:b/>
              </w:rPr>
            </w:pPr>
            <w:r>
              <w:rPr>
                <w:b/>
              </w:rPr>
              <w:t>Trust Account</w:t>
            </w:r>
          </w:p>
        </w:tc>
        <w:tc>
          <w:tcPr>
            <w:tcW w:w="122" w:type="dxa"/>
            <w:tcBorders/>
            <w:shd w:fill="auto" w:val="clear"/>
            <w:vAlign w:val="bottom"/>
          </w:tcPr>
          <w:p>
            <w:pPr>
              <w:pStyle w:val="TableContents"/>
              <w:spacing w:before="0" w:after="283"/>
              <w:rPr/>
            </w:pPr>
            <w:r>
              <w:rPr/>
              <w:t>  </w:t>
            </w:r>
          </w:p>
        </w:tc>
        <w:tc>
          <w:tcPr>
            <w:tcW w:w="6986" w:type="dxa"/>
            <w:tcBorders/>
            <w:shd w:fill="auto" w:val="clear"/>
            <w:vAlign w:val="bottom"/>
          </w:tcPr>
          <w:p>
            <w:pPr>
              <w:pStyle w:val="TableContents"/>
              <w:spacing w:before="0" w:after="283"/>
              <w:rPr/>
            </w:pPr>
            <w:r>
              <w:rPr/>
              <w:t>means the trust account established by the Company upon the consummation of its IPO and into which a certain amount of the net proceeds of the IPO, together with a certain amount of the proceeds of a private placement of warrants simultaneously with the closing date of the IPO, will be deposited.</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1.2</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 the Articles: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611"/>
        <w:gridCol w:w="9085"/>
      </w:tblGrid>
      <w:tr>
        <w:trPr/>
        <w:tc>
          <w:tcPr>
            <w:tcW w:w="509" w:type="dxa"/>
            <w:tcBorders/>
            <w:shd w:fill="auto" w:val="clear"/>
            <w:vAlign w:val="center"/>
          </w:tcPr>
          <w:p>
            <w:pPr>
              <w:pStyle w:val="TableContents"/>
              <w:spacing w:before="0" w:after="283"/>
              <w:rPr/>
            </w:pPr>
            <w:r>
              <w:rPr/>
              <w:t> </w:t>
            </w:r>
          </w:p>
        </w:tc>
        <w:tc>
          <w:tcPr>
            <w:tcW w:w="611" w:type="dxa"/>
            <w:tcBorders/>
            <w:shd w:fill="auto" w:val="clear"/>
          </w:tcPr>
          <w:p>
            <w:pPr>
              <w:pStyle w:val="TableContents"/>
              <w:spacing w:before="0" w:after="283"/>
              <w:jc w:val="left"/>
              <w:rPr/>
            </w:pPr>
            <w:r>
              <w:rPr/>
              <w:t>(a)</w:t>
            </w:r>
          </w:p>
        </w:tc>
        <w:tc>
          <w:tcPr>
            <w:tcW w:w="908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words importing the singular number include the plural number and vice versa;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611"/>
        <w:gridCol w:w="9086"/>
      </w:tblGrid>
      <w:tr>
        <w:trPr/>
        <w:tc>
          <w:tcPr>
            <w:tcW w:w="508" w:type="dxa"/>
            <w:tcBorders/>
            <w:shd w:fill="auto" w:val="clear"/>
            <w:vAlign w:val="center"/>
          </w:tcPr>
          <w:p>
            <w:pPr>
              <w:pStyle w:val="TableContents"/>
              <w:spacing w:before="0" w:after="283"/>
              <w:rPr/>
            </w:pPr>
            <w:r>
              <w:rPr/>
              <w:t> </w:t>
            </w:r>
          </w:p>
        </w:tc>
        <w:tc>
          <w:tcPr>
            <w:tcW w:w="611" w:type="dxa"/>
            <w:tcBorders/>
            <w:shd w:fill="auto" w:val="clear"/>
          </w:tcPr>
          <w:p>
            <w:pPr>
              <w:pStyle w:val="TableContents"/>
              <w:spacing w:before="0" w:after="283"/>
              <w:jc w:val="left"/>
              <w:rPr/>
            </w:pPr>
            <w:r>
              <w:rPr/>
              <w:t>(b)</w:t>
            </w:r>
          </w:p>
        </w:tc>
        <w:tc>
          <w:tcPr>
            <w:tcW w:w="908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words importing the masculine gender include the feminine gender;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612"/>
        <w:gridCol w:w="9085"/>
      </w:tblGrid>
      <w:tr>
        <w:trPr/>
        <w:tc>
          <w:tcPr>
            <w:tcW w:w="508" w:type="dxa"/>
            <w:tcBorders/>
            <w:shd w:fill="auto" w:val="clear"/>
            <w:vAlign w:val="center"/>
          </w:tcPr>
          <w:p>
            <w:pPr>
              <w:pStyle w:val="TableContents"/>
              <w:spacing w:before="0" w:after="283"/>
              <w:rPr/>
            </w:pPr>
            <w:r>
              <w:rPr/>
              <w:t> </w:t>
            </w:r>
          </w:p>
        </w:tc>
        <w:tc>
          <w:tcPr>
            <w:tcW w:w="612" w:type="dxa"/>
            <w:tcBorders/>
            <w:shd w:fill="auto" w:val="clear"/>
          </w:tcPr>
          <w:p>
            <w:pPr>
              <w:pStyle w:val="TableContents"/>
              <w:spacing w:before="0" w:after="283"/>
              <w:jc w:val="left"/>
              <w:rPr/>
            </w:pPr>
            <w:r>
              <w:rPr/>
              <w:t>(c)</w:t>
            </w:r>
          </w:p>
        </w:tc>
        <w:tc>
          <w:tcPr>
            <w:tcW w:w="908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words importing persons include corporations as well as any other legal or natural person;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611"/>
        <w:gridCol w:w="9086"/>
      </w:tblGrid>
      <w:tr>
        <w:trPr/>
        <w:tc>
          <w:tcPr>
            <w:tcW w:w="508" w:type="dxa"/>
            <w:tcBorders/>
            <w:shd w:fill="auto" w:val="clear"/>
            <w:vAlign w:val="center"/>
          </w:tcPr>
          <w:p>
            <w:pPr>
              <w:pStyle w:val="TableContents"/>
              <w:spacing w:before="0" w:after="283"/>
              <w:rPr/>
            </w:pPr>
            <w:r>
              <w:rPr/>
              <w:t> </w:t>
            </w:r>
          </w:p>
        </w:tc>
        <w:tc>
          <w:tcPr>
            <w:tcW w:w="611" w:type="dxa"/>
            <w:tcBorders/>
            <w:shd w:fill="auto" w:val="clear"/>
          </w:tcPr>
          <w:p>
            <w:pPr>
              <w:pStyle w:val="TableContents"/>
              <w:spacing w:before="0" w:after="283"/>
              <w:jc w:val="left"/>
              <w:rPr/>
            </w:pPr>
            <w:r>
              <w:rPr/>
              <w:t>(d)</w:t>
            </w:r>
          </w:p>
        </w:tc>
        <w:tc>
          <w:tcPr>
            <w:tcW w:w="908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written and in writing include all modes of representing or reproducing words in visible form, including in the form of an Electronic Record;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610"/>
        <w:gridCol w:w="9086"/>
      </w:tblGrid>
      <w:tr>
        <w:trPr/>
        <w:tc>
          <w:tcPr>
            <w:tcW w:w="509" w:type="dxa"/>
            <w:tcBorders/>
            <w:shd w:fill="auto" w:val="clear"/>
            <w:vAlign w:val="center"/>
          </w:tcPr>
          <w:p>
            <w:pPr>
              <w:pStyle w:val="TableContents"/>
              <w:spacing w:before="0" w:after="283"/>
              <w:rPr/>
            </w:pPr>
            <w:r>
              <w:rPr/>
              <w:t> </w:t>
            </w:r>
          </w:p>
        </w:tc>
        <w:tc>
          <w:tcPr>
            <w:tcW w:w="610" w:type="dxa"/>
            <w:tcBorders/>
            <w:shd w:fill="auto" w:val="clear"/>
          </w:tcPr>
          <w:p>
            <w:pPr>
              <w:pStyle w:val="TableContents"/>
              <w:spacing w:before="0" w:after="283"/>
              <w:jc w:val="left"/>
              <w:rPr/>
            </w:pPr>
            <w:r>
              <w:rPr/>
              <w:t>(e)</w:t>
            </w:r>
          </w:p>
        </w:tc>
        <w:tc>
          <w:tcPr>
            <w:tcW w:w="908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shall shall be construed as imperative and may shall be construed as permissive;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7"/>
        <w:gridCol w:w="613"/>
        <w:gridCol w:w="9085"/>
      </w:tblGrid>
      <w:tr>
        <w:trPr/>
        <w:tc>
          <w:tcPr>
            <w:tcW w:w="507" w:type="dxa"/>
            <w:tcBorders/>
            <w:shd w:fill="auto" w:val="clear"/>
            <w:vAlign w:val="center"/>
          </w:tcPr>
          <w:p>
            <w:pPr>
              <w:pStyle w:val="TableContents"/>
              <w:spacing w:before="0" w:after="283"/>
              <w:rPr/>
            </w:pPr>
            <w:r>
              <w:rPr/>
              <w:t> </w:t>
            </w:r>
          </w:p>
        </w:tc>
        <w:tc>
          <w:tcPr>
            <w:tcW w:w="613" w:type="dxa"/>
            <w:tcBorders/>
            <w:shd w:fill="auto" w:val="clear"/>
          </w:tcPr>
          <w:p>
            <w:pPr>
              <w:pStyle w:val="TableContents"/>
              <w:spacing w:before="0" w:after="283"/>
              <w:jc w:val="left"/>
              <w:rPr/>
            </w:pPr>
            <w:r>
              <w:rPr/>
              <w:t>(f)</w:t>
            </w:r>
          </w:p>
        </w:tc>
        <w:tc>
          <w:tcPr>
            <w:tcW w:w="908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references to provisions of any law or regulation shall be construed as references to those provisions as amended, modified, re-enacted or replaced;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7"/>
        <w:gridCol w:w="612"/>
        <w:gridCol w:w="9086"/>
      </w:tblGrid>
      <w:tr>
        <w:trPr/>
        <w:tc>
          <w:tcPr>
            <w:tcW w:w="507" w:type="dxa"/>
            <w:tcBorders/>
            <w:shd w:fill="auto" w:val="clear"/>
            <w:vAlign w:val="center"/>
          </w:tcPr>
          <w:p>
            <w:pPr>
              <w:pStyle w:val="TableContents"/>
              <w:spacing w:before="0" w:after="283"/>
              <w:rPr/>
            </w:pPr>
            <w:r>
              <w:rPr/>
              <w:t> </w:t>
            </w:r>
          </w:p>
        </w:tc>
        <w:tc>
          <w:tcPr>
            <w:tcW w:w="612" w:type="dxa"/>
            <w:tcBorders/>
            <w:shd w:fill="auto" w:val="clear"/>
          </w:tcPr>
          <w:p>
            <w:pPr>
              <w:pStyle w:val="TableContents"/>
              <w:spacing w:before="0" w:after="283"/>
              <w:jc w:val="left"/>
              <w:rPr/>
            </w:pPr>
            <w:r>
              <w:rPr/>
              <w:t>(g)</w:t>
            </w:r>
          </w:p>
        </w:tc>
        <w:tc>
          <w:tcPr>
            <w:tcW w:w="908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phrase introduced by the terms including, include, in particular or any similar expression shall be construed as illustrative and shall not limit the sense of the words preceding those terms;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610"/>
        <w:gridCol w:w="9086"/>
      </w:tblGrid>
      <w:tr>
        <w:trPr/>
        <w:tc>
          <w:tcPr>
            <w:tcW w:w="509" w:type="dxa"/>
            <w:tcBorders/>
            <w:shd w:fill="auto" w:val="clear"/>
            <w:vAlign w:val="center"/>
          </w:tcPr>
          <w:p>
            <w:pPr>
              <w:pStyle w:val="TableContents"/>
              <w:spacing w:before="0" w:after="283"/>
              <w:rPr/>
            </w:pPr>
            <w:r>
              <w:rPr/>
              <w:t> </w:t>
            </w:r>
          </w:p>
        </w:tc>
        <w:tc>
          <w:tcPr>
            <w:tcW w:w="610" w:type="dxa"/>
            <w:tcBorders/>
            <w:shd w:fill="auto" w:val="clear"/>
          </w:tcPr>
          <w:p>
            <w:pPr>
              <w:pStyle w:val="TableContents"/>
              <w:spacing w:before="0" w:after="283"/>
              <w:jc w:val="left"/>
              <w:rPr/>
            </w:pPr>
            <w:r>
              <w:rPr/>
              <w:t>(h)</w:t>
            </w:r>
          </w:p>
        </w:tc>
        <w:tc>
          <w:tcPr>
            <w:tcW w:w="908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term and/or is used herein to mean both and as well as or. The use of and/or in certain contexts in no respects qualifies or modifies the use of the terms and or or in others. The term or shall not be interpreted to be exclusive and the term and shall not be interpreted to require the conjunctive (in each case, unless the context otherwise requires);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609"/>
        <w:gridCol w:w="9088"/>
      </w:tblGrid>
      <w:tr>
        <w:trPr/>
        <w:tc>
          <w:tcPr>
            <w:tcW w:w="508" w:type="dxa"/>
            <w:tcBorders/>
            <w:shd w:fill="auto" w:val="clear"/>
            <w:vAlign w:val="center"/>
          </w:tcPr>
          <w:p>
            <w:pPr>
              <w:pStyle w:val="TableContents"/>
              <w:spacing w:before="0" w:after="283"/>
              <w:rPr/>
            </w:pPr>
            <w:r>
              <w:rPr/>
              <w:t> </w:t>
            </w:r>
          </w:p>
        </w:tc>
        <w:tc>
          <w:tcPr>
            <w:tcW w:w="609" w:type="dxa"/>
            <w:tcBorders/>
            <w:shd w:fill="auto" w:val="clear"/>
          </w:tcPr>
          <w:p>
            <w:pPr>
              <w:pStyle w:val="TableContents"/>
              <w:spacing w:before="0" w:after="283"/>
              <w:jc w:val="left"/>
              <w:rPr/>
            </w:pPr>
            <w:r>
              <w:rPr/>
              <w:t>(i)</w:t>
            </w:r>
          </w:p>
        </w:tc>
        <w:tc>
          <w:tcPr>
            <w:tcW w:w="90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headings are inserted for reference only and shall be ignored in construing the Articles;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612"/>
        <w:gridCol w:w="9084"/>
      </w:tblGrid>
      <w:tr>
        <w:trPr/>
        <w:tc>
          <w:tcPr>
            <w:tcW w:w="509" w:type="dxa"/>
            <w:tcBorders/>
            <w:shd w:fill="auto" w:val="clear"/>
            <w:vAlign w:val="center"/>
          </w:tcPr>
          <w:p>
            <w:pPr>
              <w:pStyle w:val="TableContents"/>
              <w:spacing w:before="0" w:after="283"/>
              <w:rPr/>
            </w:pPr>
            <w:r>
              <w:rPr/>
              <w:t> </w:t>
            </w:r>
          </w:p>
        </w:tc>
        <w:tc>
          <w:tcPr>
            <w:tcW w:w="612" w:type="dxa"/>
            <w:tcBorders/>
            <w:shd w:fill="auto" w:val="clear"/>
          </w:tcPr>
          <w:p>
            <w:pPr>
              <w:pStyle w:val="TableContents"/>
              <w:spacing w:before="0" w:after="283"/>
              <w:jc w:val="left"/>
              <w:rPr/>
            </w:pPr>
            <w:r>
              <w:rPr/>
              <w:t>(j)</w:t>
            </w:r>
          </w:p>
        </w:tc>
        <w:tc>
          <w:tcPr>
            <w:tcW w:w="908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requirements as to delivery under the Articles include delivery in the form of an Electronic Record; </w:t>
            </w:r>
          </w:p>
        </w:tc>
      </w:tr>
    </w:tbl>
    <w:p>
      <w:pPr>
        <w:pStyle w:val="TextBody"/>
        <w:spacing w:before="0" w:after="0"/>
        <w:jc w:val="left"/>
        <w:rPr/>
      </w:pPr>
      <w:r>
        <w:rPr/>
        <w:t> </w:t>
      </w:r>
    </w:p>
    <w:p>
      <w:pPr>
        <w:pStyle w:val="TextBody"/>
        <w:spacing w:before="0" w:after="0"/>
        <w:jc w:val="right"/>
        <w:rPr>
          <w:rFonts w:ascii="Times New Roman" w:hAnsi="Times New Roman"/>
          <w:sz w:val="20"/>
        </w:rPr>
      </w:pPr>
      <w:r>
        <w:rPr>
          <w:rFonts w:ascii="Times New Roman" w:hAnsi="Times New Roman"/>
          <w:sz w:val="20"/>
        </w:rPr>
        <w:t xml:space="preserve">3 </w:t>
      </w:r>
    </w:p>
    <w:p>
      <w:pPr>
        <w:pStyle w:val="TextBody"/>
        <w:spacing w:before="80" w:after="0"/>
        <w:jc w:val="right"/>
        <w:rPr>
          <w:rFonts w:ascii="Times New Roman" w:hAnsi="Times New Roman"/>
          <w:sz w:val="20"/>
        </w:rPr>
      </w:pPr>
      <w:r>
        <w:rPr>
          <w:rFonts w:ascii="Times New Roman" w:hAnsi="Times New Roman"/>
          <w:i/>
          <w:sz w:val="20"/>
        </w:rPr>
        <w:t>Auth Code: H70275751251</w:t>
      </w:r>
      <w:r>
        <w:rPr>
          <w:rFonts w:ascii="Times New Roman" w:hAnsi="Times New Roman"/>
          <w:sz w:val="20"/>
        </w:rPr>
        <w:t xml:space="preserve"> </w:t>
      </w:r>
    </w:p>
    <w:p>
      <w:pPr>
        <w:pStyle w:val="TextBody"/>
        <w:spacing w:before="0" w:after="0"/>
        <w:jc w:val="right"/>
        <w:rPr>
          <w:rFonts w:ascii="Times New Roman" w:hAnsi="Times New Roman"/>
          <w:sz w:val="20"/>
        </w:rPr>
      </w:pPr>
      <w:r>
        <w:rPr>
          <w:rFonts w:ascii="Times New Roman" w:hAnsi="Times New Roman"/>
          <w:i/>
          <w:sz w:val="20"/>
        </w:rPr>
        <w:t>www.verify.gov.ky</w:t>
      </w:r>
      <w:r>
        <w:rPr>
          <w:rFonts w:ascii="Times New Roman" w:hAnsi="Times New Roman"/>
          <w:sz w:val="20"/>
        </w:rPr>
        <w:t xml:space="preserve"> </w:t>
      </w:r>
      <w:r>
        <w:br w:type="page"/>
      </w:r>
    </w:p>
    <w:p>
      <w:pPr>
        <w:pStyle w:val="HorizontalLine"/>
        <w:pBdr>
          <w:bottom w:val="double" w:sz="6" w:space="0" w:color="808080"/>
        </w:pBdr>
        <w:rPr/>
      </w:pPr>
      <w:r>
        <w:rPr/>
      </w:r>
    </w:p>
    <w:p>
      <w:pPr>
        <w:pStyle w:val="TextBody"/>
        <w:spacing w:before="0" w:after="0"/>
        <w:jc w:val="right"/>
        <w:rPr/>
      </w:pPr>
      <w:r>
        <w:rPr/>
        <w:drawing>
          <wp:inline distT="0" distB="0" distL="0" distR="0">
            <wp:extent cx="914400" cy="9144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14400" cy="914400"/>
                    </a:xfrm>
                    <a:prstGeom prst="rect">
                      <a:avLst/>
                    </a:prstGeom>
                  </pic:spPr>
                </pic:pic>
              </a:graphicData>
            </a:graphic>
          </wp:inline>
        </w:drawing>
      </w:r>
      <w:r>
        <w:rPr/>
        <w:t xml:space="preserve">              </w:t>
      </w:r>
    </w:p>
    <w:p>
      <w:pPr>
        <w:pStyle w:val="TextBody"/>
        <w:spacing w:before="20" w:after="0"/>
        <w:jc w:val="right"/>
        <w:rPr>
          <w:rFonts w:ascii="Times New Roman" w:hAnsi="Times New Roman"/>
          <w:sz w:val="20"/>
        </w:rPr>
      </w:pPr>
      <w:r>
        <w:rPr>
          <w:rFonts w:ascii="Times New Roman" w:hAnsi="Times New Roman"/>
          <w:b/>
          <w:i/>
          <w:sz w:val="20"/>
        </w:rPr>
        <w:t>EXEMPTED</w:t>
      </w:r>
      <w:r>
        <w:rPr>
          <w:rFonts w:ascii="Times New Roman" w:hAnsi="Times New Roman"/>
          <w:sz w:val="20"/>
        </w:rPr>
        <w:t xml:space="preserve"> </w:t>
      </w:r>
      <w:r>
        <w:rPr>
          <w:rFonts w:ascii="Times New Roman" w:hAnsi="Times New Roman"/>
          <w:i/>
          <w:sz w:val="20"/>
        </w:rPr>
        <w:t>Company Registered and</w:t>
      </w:r>
      <w:r>
        <w:rPr>
          <w:rFonts w:ascii="Times New Roman" w:hAnsi="Times New Roman"/>
          <w:sz w:val="20"/>
        </w:rPr>
        <w:t xml:space="preserve"> </w:t>
      </w:r>
    </w:p>
    <w:p>
      <w:pPr>
        <w:pStyle w:val="TextBody"/>
        <w:spacing w:before="20" w:after="0"/>
        <w:jc w:val="right"/>
        <w:rPr>
          <w:rFonts w:ascii="Times New Roman" w:hAnsi="Times New Roman"/>
          <w:sz w:val="20"/>
        </w:rPr>
      </w:pPr>
      <w:r>
        <w:rPr>
          <w:rFonts w:ascii="Times New Roman" w:hAnsi="Times New Roman"/>
          <w:i/>
          <w:sz w:val="20"/>
        </w:rPr>
        <w:t>filed as No. 370146 On 13-Jan-2021</w:t>
      </w:r>
      <w:r>
        <w:rPr>
          <w:rFonts w:ascii="Times New Roman" w:hAnsi="Times New Roman"/>
          <w:sz w:val="20"/>
        </w:rPr>
        <w:t xml:space="preserve"> </w:t>
      </w:r>
    </w:p>
    <w:p>
      <w:pPr>
        <w:pStyle w:val="TextBody"/>
        <w:spacing w:before="0" w:after="0"/>
        <w:jc w:val="left"/>
        <w:rPr/>
      </w:pPr>
      <w:r>
        <w:rPr/>
        <w:t> </w:t>
      </w:r>
    </w:p>
    <w:p>
      <w:pPr>
        <w:pStyle w:val="TextBody"/>
        <w:spacing w:before="0" w:after="0"/>
        <w:jc w:val="right"/>
        <w:rPr/>
      </w:pPr>
      <w:r>
        <w:rPr/>
        <w:drawing>
          <wp:inline distT="0" distB="0" distL="0" distR="0">
            <wp:extent cx="447675" cy="3619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447675" cy="361950"/>
                    </a:xfrm>
                    <a:prstGeom prst="rect">
                      <a:avLst/>
                    </a:prstGeom>
                  </pic:spPr>
                </pic:pic>
              </a:graphicData>
            </a:graphic>
          </wp:inline>
        </w:drawing>
      </w:r>
      <w:r>
        <w:rPr/>
        <w:t xml:space="preserve">                                           </w:t>
      </w:r>
    </w:p>
    <w:p>
      <w:pPr>
        <w:pStyle w:val="TextBody"/>
        <w:spacing w:before="0" w:after="0"/>
        <w:jc w:val="right"/>
        <w:rPr>
          <w:rFonts w:ascii="Times New Roman" w:hAnsi="Times New Roman"/>
          <w:sz w:val="20"/>
        </w:rPr>
      </w:pPr>
      <w:r>
        <w:rPr>
          <w:rFonts w:ascii="Times New Roman" w:hAnsi="Times New Roman"/>
          <w:i/>
          <w:sz w:val="20"/>
        </w:rPr>
        <w:t>Acting Assistant Registrar</w:t>
      </w:r>
      <w:r>
        <w:rPr>
          <w:rFonts w:ascii="Times New Roman" w:hAnsi="Times New Roman"/>
          <w:sz w:val="20"/>
        </w:rPr>
        <w:t xml:space="preserv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612"/>
        <w:gridCol w:w="9085"/>
      </w:tblGrid>
      <w:tr>
        <w:trPr/>
        <w:tc>
          <w:tcPr>
            <w:tcW w:w="508" w:type="dxa"/>
            <w:tcBorders/>
            <w:shd w:fill="auto" w:val="clear"/>
            <w:vAlign w:val="center"/>
          </w:tcPr>
          <w:p>
            <w:pPr>
              <w:pStyle w:val="TableContents"/>
              <w:spacing w:before="0" w:after="283"/>
              <w:rPr/>
            </w:pPr>
            <w:r>
              <w:rPr/>
              <w:t> </w:t>
            </w:r>
          </w:p>
        </w:tc>
        <w:tc>
          <w:tcPr>
            <w:tcW w:w="612" w:type="dxa"/>
            <w:tcBorders/>
            <w:shd w:fill="auto" w:val="clear"/>
          </w:tcPr>
          <w:p>
            <w:pPr>
              <w:pStyle w:val="TableContents"/>
              <w:spacing w:before="0" w:after="283"/>
              <w:jc w:val="left"/>
              <w:rPr/>
            </w:pPr>
            <w:r>
              <w:rPr/>
              <w:t>(k)</w:t>
            </w:r>
          </w:p>
        </w:tc>
        <w:tc>
          <w:tcPr>
            <w:tcW w:w="908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requirements as to execution or signature under the Articles including the execution of the Articles themselves can be satisfied in the form of an electronic signature as defined in the Electronic Transactions Act;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610"/>
        <w:gridCol w:w="9087"/>
      </w:tblGrid>
      <w:tr>
        <w:trPr/>
        <w:tc>
          <w:tcPr>
            <w:tcW w:w="508" w:type="dxa"/>
            <w:tcBorders/>
            <w:shd w:fill="auto" w:val="clear"/>
            <w:vAlign w:val="center"/>
          </w:tcPr>
          <w:p>
            <w:pPr>
              <w:pStyle w:val="TableContents"/>
              <w:spacing w:before="0" w:after="283"/>
              <w:rPr/>
            </w:pPr>
            <w:r>
              <w:rPr/>
              <w:t> </w:t>
            </w:r>
          </w:p>
        </w:tc>
        <w:tc>
          <w:tcPr>
            <w:tcW w:w="610" w:type="dxa"/>
            <w:tcBorders/>
            <w:shd w:fill="auto" w:val="clear"/>
          </w:tcPr>
          <w:p>
            <w:pPr>
              <w:pStyle w:val="TableContents"/>
              <w:spacing w:before="0" w:after="283"/>
              <w:jc w:val="left"/>
              <w:rPr/>
            </w:pPr>
            <w:r>
              <w:rPr/>
              <w:t>(l)</w:t>
            </w:r>
          </w:p>
        </w:tc>
        <w:tc>
          <w:tcPr>
            <w:tcW w:w="90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sections 8 and 19(3) of the Electronic Transactions Act shall not apply;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612"/>
        <w:gridCol w:w="9083"/>
      </w:tblGrid>
      <w:tr>
        <w:trPr/>
        <w:tc>
          <w:tcPr>
            <w:tcW w:w="510" w:type="dxa"/>
            <w:tcBorders/>
            <w:shd w:fill="auto" w:val="clear"/>
            <w:vAlign w:val="center"/>
          </w:tcPr>
          <w:p>
            <w:pPr>
              <w:pStyle w:val="TableContents"/>
              <w:spacing w:before="0" w:after="283"/>
              <w:rPr/>
            </w:pPr>
            <w:r>
              <w:rPr/>
              <w:t> </w:t>
            </w:r>
          </w:p>
        </w:tc>
        <w:tc>
          <w:tcPr>
            <w:tcW w:w="612" w:type="dxa"/>
            <w:tcBorders/>
            <w:shd w:fill="auto" w:val="clear"/>
          </w:tcPr>
          <w:p>
            <w:pPr>
              <w:pStyle w:val="TableContents"/>
              <w:spacing w:before="0" w:after="283"/>
              <w:jc w:val="left"/>
              <w:rPr/>
            </w:pPr>
            <w:r>
              <w:rPr/>
              <w:t>(m)</w:t>
            </w:r>
          </w:p>
        </w:tc>
        <w:tc>
          <w:tcPr>
            <w:tcW w:w="908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term clear days in relation to the period of a notice means that period excluding the day when the notice is received or deemed to be received and the day for which it is given or on which it is to take effect;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611"/>
        <w:gridCol w:w="9086"/>
      </w:tblGrid>
      <w:tr>
        <w:trPr/>
        <w:tc>
          <w:tcPr>
            <w:tcW w:w="508" w:type="dxa"/>
            <w:tcBorders/>
            <w:shd w:fill="auto" w:val="clear"/>
            <w:vAlign w:val="center"/>
          </w:tcPr>
          <w:p>
            <w:pPr>
              <w:pStyle w:val="TableContents"/>
              <w:spacing w:before="0" w:after="283"/>
              <w:rPr/>
            </w:pPr>
            <w:r>
              <w:rPr/>
              <w:t> </w:t>
            </w:r>
          </w:p>
        </w:tc>
        <w:tc>
          <w:tcPr>
            <w:tcW w:w="611" w:type="dxa"/>
            <w:tcBorders/>
            <w:shd w:fill="auto" w:val="clear"/>
          </w:tcPr>
          <w:p>
            <w:pPr>
              <w:pStyle w:val="TableContents"/>
              <w:spacing w:before="0" w:after="283"/>
              <w:jc w:val="left"/>
              <w:rPr/>
            </w:pPr>
            <w:r>
              <w:rPr/>
              <w:t>(n)</w:t>
            </w:r>
          </w:p>
        </w:tc>
        <w:tc>
          <w:tcPr>
            <w:tcW w:w="908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term holder in relation to a Share means a person whose name is entered in the Register of Members as the holder of such Share.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b/>
              </w:rPr>
            </w:pPr>
            <w:r>
              <w:rPr>
                <w:b/>
              </w:rPr>
              <w:t>2</w:t>
            </w:r>
          </w:p>
        </w:tc>
        <w:tc>
          <w:tcPr>
            <w:tcW w:w="9696"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Commencement of Business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2.1</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business of the Company may be commenced as soon after incorporation of the Company as the Directors shall see fit.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9697"/>
      </w:tblGrid>
      <w:tr>
        <w:trPr/>
        <w:tc>
          <w:tcPr>
            <w:tcW w:w="508" w:type="dxa"/>
            <w:tcBorders/>
            <w:shd w:fill="auto" w:val="clear"/>
          </w:tcPr>
          <w:p>
            <w:pPr>
              <w:pStyle w:val="TableContents"/>
              <w:spacing w:before="0" w:after="283"/>
              <w:jc w:val="left"/>
              <w:rPr/>
            </w:pPr>
            <w:r>
              <w:rPr/>
              <w:t>2.2</w:t>
            </w:r>
          </w:p>
        </w:tc>
        <w:tc>
          <w:tcPr>
            <w:tcW w:w="96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Directors may pay, out of the capital or any other monies of the Company, all expenses incurred in or about the formation and establishment of the Company, including the expenses of registration.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7"/>
        <w:gridCol w:w="9698"/>
      </w:tblGrid>
      <w:tr>
        <w:trPr/>
        <w:tc>
          <w:tcPr>
            <w:tcW w:w="507" w:type="dxa"/>
            <w:tcBorders/>
            <w:shd w:fill="auto" w:val="clear"/>
          </w:tcPr>
          <w:p>
            <w:pPr>
              <w:pStyle w:val="TableContents"/>
              <w:spacing w:before="0" w:after="283"/>
              <w:jc w:val="left"/>
              <w:rPr>
                <w:b/>
              </w:rPr>
            </w:pPr>
            <w:r>
              <w:rPr>
                <w:b/>
              </w:rPr>
              <w:t>3</w:t>
            </w:r>
          </w:p>
        </w:tc>
        <w:tc>
          <w:tcPr>
            <w:tcW w:w="9698"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Issue of Shares and other Securities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3.1</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Subject to the provisions, if any, in the Memorandum (and to any direction that may be given by the Company in general meeting) and without prejudice to any rights attached to any existing Shares, the Directors may allot, issue, grant options over or otherwise dispose of Shares (including fractions of a Share) with or without preferred, deferred or other rights or restrictions, whether in regard to Dividend or other distribution, voting, return of capital or otherwise and to such persons, at such times and on such other terms as they think proper, and may also (subject to the Statute and the Articles) vary such rights, save that the Directors shall not allot, issue, grant options over or otherwise dispose of Shares (including fractions of a Share) to the extent that it may affect the ability of the Company to carry out a Class B Share Conversion set out in the Articles.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3.2</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Company may issue rights, options, warrants or convertible securities or securities of similar nature conferring the right upon the holders thereof to subscribe for, purchase or receive any class of Shares or other securities in the Company on such terms as the Directors may from time to time determine.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3.3</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Company may issue units of securities in the Company, which may be comprised of whole or fractional Shares, rights, options, warrants or convertible securities or securities of similar nature conferring the right upon the holders thereof to subscribe for, purchase or receive any class of Shares or other securities in the Company, upon such terms as the Directors may from time to time determine. </w:t>
            </w:r>
          </w:p>
        </w:tc>
      </w:tr>
    </w:tbl>
    <w:p>
      <w:pPr>
        <w:pStyle w:val="TextBody"/>
        <w:spacing w:before="0" w:after="0"/>
        <w:jc w:val="left"/>
        <w:rPr/>
      </w:pPr>
      <w:r>
        <w:rPr/>
        <w:t> </w:t>
      </w:r>
    </w:p>
    <w:p>
      <w:pPr>
        <w:pStyle w:val="TextBody"/>
        <w:spacing w:before="0" w:after="0"/>
        <w:jc w:val="right"/>
        <w:rPr>
          <w:rFonts w:ascii="Times New Roman" w:hAnsi="Times New Roman"/>
          <w:sz w:val="20"/>
        </w:rPr>
      </w:pPr>
      <w:r>
        <w:rPr>
          <w:rFonts w:ascii="Times New Roman" w:hAnsi="Times New Roman"/>
          <w:sz w:val="20"/>
        </w:rPr>
        <w:t xml:space="preserve">4 </w:t>
      </w:r>
    </w:p>
    <w:p>
      <w:pPr>
        <w:pStyle w:val="TextBody"/>
        <w:spacing w:before="80" w:after="0"/>
        <w:jc w:val="right"/>
        <w:rPr>
          <w:rFonts w:ascii="Times New Roman" w:hAnsi="Times New Roman"/>
          <w:sz w:val="20"/>
        </w:rPr>
      </w:pPr>
      <w:r>
        <w:rPr>
          <w:rFonts w:ascii="Times New Roman" w:hAnsi="Times New Roman"/>
          <w:i/>
          <w:sz w:val="20"/>
        </w:rPr>
        <w:t>Auth Code: H70275751251</w:t>
      </w:r>
      <w:r>
        <w:rPr>
          <w:rFonts w:ascii="Times New Roman" w:hAnsi="Times New Roman"/>
          <w:sz w:val="20"/>
        </w:rPr>
        <w:t xml:space="preserve"> </w:t>
      </w:r>
    </w:p>
    <w:p>
      <w:pPr>
        <w:pStyle w:val="TextBody"/>
        <w:spacing w:before="0" w:after="0"/>
        <w:jc w:val="right"/>
        <w:rPr>
          <w:rFonts w:ascii="Times New Roman" w:hAnsi="Times New Roman"/>
          <w:sz w:val="20"/>
        </w:rPr>
      </w:pPr>
      <w:r>
        <w:rPr>
          <w:rFonts w:ascii="Times New Roman" w:hAnsi="Times New Roman"/>
          <w:i/>
          <w:sz w:val="20"/>
        </w:rPr>
        <w:t>www.verify.gov.ky</w:t>
      </w:r>
      <w:r>
        <w:rPr>
          <w:rFonts w:ascii="Times New Roman" w:hAnsi="Times New Roman"/>
          <w:sz w:val="20"/>
        </w:rPr>
        <w:t xml:space="preserve"> </w:t>
      </w:r>
      <w:r>
        <w:br w:type="page"/>
      </w:r>
    </w:p>
    <w:p>
      <w:pPr>
        <w:pStyle w:val="HorizontalLine"/>
        <w:pBdr>
          <w:bottom w:val="double" w:sz="6" w:space="0" w:color="808080"/>
        </w:pBdr>
        <w:rPr/>
      </w:pPr>
      <w:r>
        <w:rPr/>
      </w:r>
    </w:p>
    <w:p>
      <w:pPr>
        <w:pStyle w:val="TextBody"/>
        <w:spacing w:before="0" w:after="0"/>
        <w:jc w:val="right"/>
        <w:rPr/>
      </w:pPr>
      <w:r>
        <w:rPr/>
        <w:drawing>
          <wp:inline distT="0" distB="0" distL="0" distR="0">
            <wp:extent cx="914400" cy="9144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914400" cy="914400"/>
                    </a:xfrm>
                    <a:prstGeom prst="rect">
                      <a:avLst/>
                    </a:prstGeom>
                  </pic:spPr>
                </pic:pic>
              </a:graphicData>
            </a:graphic>
          </wp:inline>
        </w:drawing>
      </w:r>
      <w:r>
        <w:rPr/>
        <w:t xml:space="preserve">              </w:t>
      </w:r>
    </w:p>
    <w:p>
      <w:pPr>
        <w:pStyle w:val="TextBody"/>
        <w:spacing w:before="20" w:after="0"/>
        <w:jc w:val="right"/>
        <w:rPr>
          <w:rFonts w:ascii="Times New Roman" w:hAnsi="Times New Roman"/>
          <w:sz w:val="20"/>
        </w:rPr>
      </w:pPr>
      <w:r>
        <w:rPr>
          <w:rFonts w:ascii="Times New Roman" w:hAnsi="Times New Roman"/>
          <w:b/>
          <w:i/>
          <w:sz w:val="20"/>
        </w:rPr>
        <w:t>EXEMPTED</w:t>
      </w:r>
      <w:r>
        <w:rPr>
          <w:rFonts w:ascii="Times New Roman" w:hAnsi="Times New Roman"/>
          <w:sz w:val="20"/>
        </w:rPr>
        <w:t xml:space="preserve"> </w:t>
      </w:r>
      <w:r>
        <w:rPr>
          <w:rFonts w:ascii="Times New Roman" w:hAnsi="Times New Roman"/>
          <w:i/>
          <w:sz w:val="20"/>
        </w:rPr>
        <w:t>Company Registered and</w:t>
      </w:r>
      <w:r>
        <w:rPr>
          <w:rFonts w:ascii="Times New Roman" w:hAnsi="Times New Roman"/>
          <w:sz w:val="20"/>
        </w:rPr>
        <w:t xml:space="preserve"> </w:t>
      </w:r>
    </w:p>
    <w:p>
      <w:pPr>
        <w:pStyle w:val="TextBody"/>
        <w:spacing w:before="20" w:after="0"/>
        <w:jc w:val="right"/>
        <w:rPr>
          <w:rFonts w:ascii="Times New Roman" w:hAnsi="Times New Roman"/>
          <w:sz w:val="20"/>
        </w:rPr>
      </w:pPr>
      <w:r>
        <w:rPr>
          <w:rFonts w:ascii="Times New Roman" w:hAnsi="Times New Roman"/>
          <w:i/>
          <w:sz w:val="20"/>
        </w:rPr>
        <w:t>filed as No. 370146 On 13-Jan-2021</w:t>
      </w:r>
      <w:r>
        <w:rPr>
          <w:rFonts w:ascii="Times New Roman" w:hAnsi="Times New Roman"/>
          <w:sz w:val="20"/>
        </w:rPr>
        <w:t xml:space="preserve"> </w:t>
      </w:r>
    </w:p>
    <w:p>
      <w:pPr>
        <w:pStyle w:val="TextBody"/>
        <w:spacing w:before="0" w:after="0"/>
        <w:jc w:val="left"/>
        <w:rPr/>
      </w:pPr>
      <w:r>
        <w:rPr/>
        <w:t> </w:t>
      </w:r>
    </w:p>
    <w:p>
      <w:pPr>
        <w:pStyle w:val="TextBody"/>
        <w:spacing w:before="0" w:after="0"/>
        <w:jc w:val="right"/>
        <w:rPr/>
      </w:pPr>
      <w:r>
        <w:rPr/>
        <w:drawing>
          <wp:inline distT="0" distB="0" distL="0" distR="0">
            <wp:extent cx="447675" cy="36195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447675" cy="361950"/>
                    </a:xfrm>
                    <a:prstGeom prst="rect">
                      <a:avLst/>
                    </a:prstGeom>
                  </pic:spPr>
                </pic:pic>
              </a:graphicData>
            </a:graphic>
          </wp:inline>
        </w:drawing>
      </w:r>
      <w:r>
        <w:rPr/>
        <w:t xml:space="preserve">                                           </w:t>
      </w:r>
    </w:p>
    <w:p>
      <w:pPr>
        <w:pStyle w:val="TextBody"/>
        <w:spacing w:before="0" w:after="0"/>
        <w:jc w:val="right"/>
        <w:rPr>
          <w:rFonts w:ascii="Times New Roman" w:hAnsi="Times New Roman"/>
          <w:sz w:val="20"/>
        </w:rPr>
      </w:pPr>
      <w:r>
        <w:rPr>
          <w:rFonts w:ascii="Times New Roman" w:hAnsi="Times New Roman"/>
          <w:i/>
          <w:sz w:val="20"/>
        </w:rPr>
        <w:t>Acting Assistant Registrar</w:t>
      </w:r>
      <w:r>
        <w:rPr>
          <w:rFonts w:ascii="Times New Roman" w:hAnsi="Times New Roman"/>
          <w:sz w:val="20"/>
        </w:rPr>
        <w:t xml:space="preserv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3.4</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Company shall not issue Shares to bearer.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9697"/>
      </w:tblGrid>
      <w:tr>
        <w:trPr/>
        <w:tc>
          <w:tcPr>
            <w:tcW w:w="508" w:type="dxa"/>
            <w:tcBorders/>
            <w:shd w:fill="auto" w:val="clear"/>
          </w:tcPr>
          <w:p>
            <w:pPr>
              <w:pStyle w:val="TableContents"/>
              <w:spacing w:before="0" w:after="283"/>
              <w:jc w:val="left"/>
              <w:rPr>
                <w:b/>
              </w:rPr>
            </w:pPr>
            <w:r>
              <w:rPr>
                <w:b/>
              </w:rPr>
              <w:t>4</w:t>
            </w:r>
          </w:p>
        </w:tc>
        <w:tc>
          <w:tcPr>
            <w:tcW w:w="9697"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Register of Members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4.1</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Company shall maintain or cause to be maintained the Register of Members in accordance with the Statute.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4.2</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Directors may determine that the Company shall maintain one or more branch registers of Members in accordance with the Statute. The Directors may also determine which register of Members shall constitute the principal register and which shall constitute the branch register or registers, and to vary such determination from time to time.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9697"/>
      </w:tblGrid>
      <w:tr>
        <w:trPr/>
        <w:tc>
          <w:tcPr>
            <w:tcW w:w="508" w:type="dxa"/>
            <w:tcBorders/>
            <w:shd w:fill="auto" w:val="clear"/>
          </w:tcPr>
          <w:p>
            <w:pPr>
              <w:pStyle w:val="TableContents"/>
              <w:spacing w:before="0" w:after="283"/>
              <w:jc w:val="left"/>
              <w:rPr>
                <w:b/>
              </w:rPr>
            </w:pPr>
            <w:r>
              <w:rPr>
                <w:b/>
              </w:rPr>
              <w:t>5</w:t>
            </w:r>
          </w:p>
        </w:tc>
        <w:tc>
          <w:tcPr>
            <w:tcW w:w="9697"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Closing Register of Members or Fixing Record Date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5.1</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For the purpose of determining Members entitled to notice of, or to vote at any meeting of Members or any adjournment thereof, or Members entitled to receive payment of any Dividend or other distribution, or in order to make a determination of Members for any other purpose, the Directors may provide that the Register of Members shall be closed for transfers for a stated period which shall not in any case exceed forty days.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5.2</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 lieu of, or apart from, closing the Register of Members, the Directors may fix in advance or arrears a date as the record date for any such determination of Members entitled to notice of, or to vote at any meeting of the Members or any adjournment thereof, or for the purpose of determining the Members entitled to receive payment of any Dividend or other distribution, or in order to make a determination of Members for any other purpose.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5.3</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the Register of Members is not so closed and no record date is fixed for the determination of Members entitled to notice of, or to vote at, a meeting of Members or Members entitled to receive payment of a Dividend or other distribution, the date on which notice of the meeting is sent or the date on which the resolution of the Directors resolving to pay such Dividend or other distribution is passed, as the case may be, shall be the record date for such determination of Members. When a determination of Members entitled to vote at any meeting of Members has been made as provided in this Article, such determination shall apply to any adjournment thereof.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7"/>
        <w:gridCol w:w="9698"/>
      </w:tblGrid>
      <w:tr>
        <w:trPr/>
        <w:tc>
          <w:tcPr>
            <w:tcW w:w="507" w:type="dxa"/>
            <w:tcBorders/>
            <w:shd w:fill="auto" w:val="clear"/>
          </w:tcPr>
          <w:p>
            <w:pPr>
              <w:pStyle w:val="TableContents"/>
              <w:spacing w:before="0" w:after="283"/>
              <w:jc w:val="left"/>
              <w:rPr>
                <w:b/>
              </w:rPr>
            </w:pPr>
            <w:r>
              <w:rPr>
                <w:b/>
              </w:rPr>
              <w:t>6</w:t>
            </w:r>
          </w:p>
        </w:tc>
        <w:tc>
          <w:tcPr>
            <w:tcW w:w="9698"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Certificates for Shares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6.1</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Member shall only be entitled to a share certificate if the Directors resolve that share certificates shall be issued. Share certificates representing Shares, if any, shall be in such form as the Directors may determine. Share certificates shall be signed by one or more Directors or other person authorised by the Directors. The Directors may authorise certificates to be issued with the authorised signature(s) affixed by mechanical process. All certificates for Shares shall be consecutively numbered or otherwise identified and shall specify the Shares to which they relate. All certificates surrendered to the Company for transfer shall be cancelled and subject to the Articles no new certificate shall be issued until the former certificate representing a like number of relevant Shares shall have been surrendered and cancelled. </w:t>
            </w:r>
          </w:p>
        </w:tc>
      </w:tr>
    </w:tbl>
    <w:p>
      <w:pPr>
        <w:pStyle w:val="TextBody"/>
        <w:spacing w:before="0" w:after="0"/>
        <w:jc w:val="left"/>
        <w:rPr/>
      </w:pPr>
      <w:r>
        <w:rPr/>
        <w:t> </w:t>
      </w:r>
    </w:p>
    <w:p>
      <w:pPr>
        <w:pStyle w:val="TextBody"/>
        <w:spacing w:before="0" w:after="0"/>
        <w:jc w:val="right"/>
        <w:rPr>
          <w:rFonts w:ascii="Times New Roman" w:hAnsi="Times New Roman"/>
          <w:sz w:val="20"/>
        </w:rPr>
      </w:pPr>
      <w:r>
        <w:rPr>
          <w:rFonts w:ascii="Times New Roman" w:hAnsi="Times New Roman"/>
          <w:sz w:val="20"/>
        </w:rPr>
        <w:t xml:space="preserve">5 </w:t>
      </w:r>
    </w:p>
    <w:p>
      <w:pPr>
        <w:pStyle w:val="TextBody"/>
        <w:spacing w:before="80" w:after="0"/>
        <w:jc w:val="right"/>
        <w:rPr>
          <w:rFonts w:ascii="Times New Roman" w:hAnsi="Times New Roman"/>
          <w:sz w:val="20"/>
        </w:rPr>
      </w:pPr>
      <w:r>
        <w:rPr>
          <w:rFonts w:ascii="Times New Roman" w:hAnsi="Times New Roman"/>
          <w:i/>
          <w:sz w:val="20"/>
        </w:rPr>
        <w:t>Auth Code: H70275751251</w:t>
      </w:r>
      <w:r>
        <w:rPr>
          <w:rFonts w:ascii="Times New Roman" w:hAnsi="Times New Roman"/>
          <w:sz w:val="20"/>
        </w:rPr>
        <w:t xml:space="preserve"> </w:t>
      </w:r>
    </w:p>
    <w:p>
      <w:pPr>
        <w:pStyle w:val="TextBody"/>
        <w:spacing w:before="0" w:after="0"/>
        <w:jc w:val="right"/>
        <w:rPr>
          <w:rFonts w:ascii="Times New Roman" w:hAnsi="Times New Roman"/>
          <w:sz w:val="20"/>
        </w:rPr>
      </w:pPr>
      <w:r>
        <w:rPr>
          <w:rFonts w:ascii="Times New Roman" w:hAnsi="Times New Roman"/>
          <w:i/>
          <w:sz w:val="20"/>
        </w:rPr>
        <w:t>www.verify.gov.ky</w:t>
      </w:r>
      <w:r>
        <w:rPr>
          <w:rFonts w:ascii="Times New Roman" w:hAnsi="Times New Roman"/>
          <w:sz w:val="20"/>
        </w:rPr>
        <w:t xml:space="preserve"> </w:t>
      </w:r>
      <w:r>
        <w:br w:type="page"/>
      </w:r>
    </w:p>
    <w:p>
      <w:pPr>
        <w:pStyle w:val="HorizontalLine"/>
        <w:pBdr>
          <w:bottom w:val="double" w:sz="6" w:space="0" w:color="808080"/>
        </w:pBdr>
        <w:rPr/>
      </w:pPr>
      <w:r>
        <w:rPr/>
      </w:r>
    </w:p>
    <w:p>
      <w:pPr>
        <w:pStyle w:val="TextBody"/>
        <w:spacing w:before="0" w:after="0"/>
        <w:jc w:val="right"/>
        <w:rPr/>
      </w:pPr>
      <w:r>
        <w:rPr/>
        <w:drawing>
          <wp:inline distT="0" distB="0" distL="0" distR="0">
            <wp:extent cx="914400" cy="9144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914400" cy="914400"/>
                    </a:xfrm>
                    <a:prstGeom prst="rect">
                      <a:avLst/>
                    </a:prstGeom>
                  </pic:spPr>
                </pic:pic>
              </a:graphicData>
            </a:graphic>
          </wp:inline>
        </w:drawing>
      </w:r>
      <w:r>
        <w:rPr/>
        <w:t xml:space="preserve">              </w:t>
      </w:r>
    </w:p>
    <w:p>
      <w:pPr>
        <w:pStyle w:val="TextBody"/>
        <w:spacing w:before="20" w:after="0"/>
        <w:jc w:val="right"/>
        <w:rPr>
          <w:rFonts w:ascii="Times New Roman" w:hAnsi="Times New Roman"/>
          <w:sz w:val="20"/>
        </w:rPr>
      </w:pPr>
      <w:r>
        <w:rPr>
          <w:rFonts w:ascii="Times New Roman" w:hAnsi="Times New Roman"/>
          <w:b/>
          <w:i/>
          <w:sz w:val="20"/>
        </w:rPr>
        <w:t>EXEMPTED</w:t>
      </w:r>
      <w:r>
        <w:rPr>
          <w:rFonts w:ascii="Times New Roman" w:hAnsi="Times New Roman"/>
          <w:sz w:val="20"/>
        </w:rPr>
        <w:t xml:space="preserve"> </w:t>
      </w:r>
      <w:r>
        <w:rPr>
          <w:rFonts w:ascii="Times New Roman" w:hAnsi="Times New Roman"/>
          <w:i/>
          <w:sz w:val="20"/>
        </w:rPr>
        <w:t>Company Registered and</w:t>
      </w:r>
      <w:r>
        <w:rPr>
          <w:rFonts w:ascii="Times New Roman" w:hAnsi="Times New Roman"/>
          <w:sz w:val="20"/>
        </w:rPr>
        <w:t xml:space="preserve"> </w:t>
      </w:r>
    </w:p>
    <w:p>
      <w:pPr>
        <w:pStyle w:val="TextBody"/>
        <w:spacing w:before="20" w:after="0"/>
        <w:jc w:val="right"/>
        <w:rPr>
          <w:rFonts w:ascii="Times New Roman" w:hAnsi="Times New Roman"/>
          <w:sz w:val="20"/>
        </w:rPr>
      </w:pPr>
      <w:r>
        <w:rPr>
          <w:rFonts w:ascii="Times New Roman" w:hAnsi="Times New Roman"/>
          <w:i/>
          <w:sz w:val="20"/>
        </w:rPr>
        <w:t>filed as No. 370146 On 13-Jan-2021</w:t>
      </w:r>
      <w:r>
        <w:rPr>
          <w:rFonts w:ascii="Times New Roman" w:hAnsi="Times New Roman"/>
          <w:sz w:val="20"/>
        </w:rPr>
        <w:t xml:space="preserve"> </w:t>
      </w:r>
    </w:p>
    <w:p>
      <w:pPr>
        <w:pStyle w:val="TextBody"/>
        <w:spacing w:before="0" w:after="0"/>
        <w:jc w:val="left"/>
        <w:rPr/>
      </w:pPr>
      <w:r>
        <w:rPr/>
        <w:t> </w:t>
      </w:r>
    </w:p>
    <w:p>
      <w:pPr>
        <w:pStyle w:val="TextBody"/>
        <w:spacing w:before="0" w:after="0"/>
        <w:jc w:val="right"/>
        <w:rPr/>
      </w:pPr>
      <w:r>
        <w:rPr/>
        <w:drawing>
          <wp:inline distT="0" distB="0" distL="0" distR="0">
            <wp:extent cx="447675" cy="36195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447675" cy="361950"/>
                    </a:xfrm>
                    <a:prstGeom prst="rect">
                      <a:avLst/>
                    </a:prstGeom>
                  </pic:spPr>
                </pic:pic>
              </a:graphicData>
            </a:graphic>
          </wp:inline>
        </w:drawing>
      </w:r>
      <w:r>
        <w:rPr/>
        <w:t xml:space="preserve">                                           </w:t>
      </w:r>
    </w:p>
    <w:p>
      <w:pPr>
        <w:pStyle w:val="TextBody"/>
        <w:spacing w:before="0" w:after="0"/>
        <w:jc w:val="right"/>
        <w:rPr>
          <w:rFonts w:ascii="Times New Roman" w:hAnsi="Times New Roman"/>
          <w:sz w:val="20"/>
        </w:rPr>
      </w:pPr>
      <w:r>
        <w:rPr>
          <w:rFonts w:ascii="Times New Roman" w:hAnsi="Times New Roman"/>
          <w:i/>
          <w:sz w:val="20"/>
        </w:rPr>
        <w:t>Acting Assistant Registrar</w:t>
      </w:r>
      <w:r>
        <w:rPr>
          <w:rFonts w:ascii="Times New Roman" w:hAnsi="Times New Roman"/>
          <w:sz w:val="20"/>
        </w:rPr>
        <w:t xml:space="preserv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6.2</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Company shall not be bound to issue more than one certificate for Shares held jointly by more than one person and delivery of a certificate to one joint holder shall be a sufficient delivery to all of them.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6.3</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a share certificate is defaced, worn out, lost or destroyed, it may be renewed on such terms (if any) as to evidence and indemnity and on the payment of such expenses reasonably incurred by the Company in investigating evidence, as the Directors may prescribe, and (in the case of defacement or wearing out) upon delivery of the old certificate.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6.4</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Every share certificate sent in accordance with the Articles will be sent at the risk of the Member or other person entitled to the certificate. The Company will not be responsible for any share certificate lost or delayed in the course of delivery.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b/>
              </w:rPr>
            </w:pPr>
            <w:r>
              <w:rPr>
                <w:b/>
              </w:rPr>
              <w:t>7</w:t>
            </w:r>
          </w:p>
        </w:tc>
        <w:tc>
          <w:tcPr>
            <w:tcW w:w="9696"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Transfer of Shares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7.1</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Subject to Article 3.1, Shares are transferable subject to the approval of the Directors by resolution who may, in their absolute discretion, decline to register any transfer of Shares without giving any reason. If the Directors refuse to register a transfer they shall notify the transferee within two months of such refusal.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7.2</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instrument of transfer of any Share shall be in writing and shall be executed by or on behalf of the transferor (and if the Directors so require, signed by or on behalf of the transferee). The transferor shall be deemed to remain the holder of a Share until the name of the transferee is entered in the Register of Members.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9697"/>
      </w:tblGrid>
      <w:tr>
        <w:trPr/>
        <w:tc>
          <w:tcPr>
            <w:tcW w:w="508" w:type="dxa"/>
            <w:tcBorders/>
            <w:shd w:fill="auto" w:val="clear"/>
          </w:tcPr>
          <w:p>
            <w:pPr>
              <w:pStyle w:val="TableContents"/>
              <w:spacing w:before="0" w:after="283"/>
              <w:jc w:val="left"/>
              <w:rPr>
                <w:b/>
              </w:rPr>
            </w:pPr>
            <w:r>
              <w:rPr>
                <w:b/>
              </w:rPr>
              <w:t>8</w:t>
            </w:r>
          </w:p>
        </w:tc>
        <w:tc>
          <w:tcPr>
            <w:tcW w:w="9697"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Redemption, Repurchase and Surrender of Shares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8.1</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Subject to the provisions of the Statute the Company may issue Shares that are to be redeemed or are liable to be redeemed at the option of the Member or the Company. The redemption of such Shares shall be effected in such manner and upon such other terms as the Company may, by Special Resolution, determine before the issue of the Shares.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8.2</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Subject to the provisions of the Statute, the Company may purchase its own Shares (including any redeemable Shares) in such manner and on such other terms as the Directors may agree with the relevant Member.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8.3</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Company may make a payment in respect of the redemption or purchase of its own Shares in any manner permitted by the Statute, including out of capital.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8.4</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Directors may accept the surrender for no consideration of any fully paid Share.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9697"/>
      </w:tblGrid>
      <w:tr>
        <w:trPr/>
        <w:tc>
          <w:tcPr>
            <w:tcW w:w="508" w:type="dxa"/>
            <w:tcBorders/>
            <w:shd w:fill="auto" w:val="clear"/>
          </w:tcPr>
          <w:p>
            <w:pPr>
              <w:pStyle w:val="TableContents"/>
              <w:spacing w:before="0" w:after="283"/>
              <w:jc w:val="left"/>
              <w:rPr>
                <w:b/>
              </w:rPr>
            </w:pPr>
            <w:r>
              <w:rPr>
                <w:b/>
              </w:rPr>
              <w:t>9</w:t>
            </w:r>
          </w:p>
        </w:tc>
        <w:tc>
          <w:tcPr>
            <w:tcW w:w="9697"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Treasury Shares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9695"/>
      </w:tblGrid>
      <w:tr>
        <w:trPr/>
        <w:tc>
          <w:tcPr>
            <w:tcW w:w="510" w:type="dxa"/>
            <w:tcBorders/>
            <w:shd w:fill="auto" w:val="clear"/>
          </w:tcPr>
          <w:p>
            <w:pPr>
              <w:pStyle w:val="TableContents"/>
              <w:spacing w:before="0" w:after="283"/>
              <w:jc w:val="left"/>
              <w:rPr/>
            </w:pPr>
            <w:r>
              <w:rPr/>
              <w:t>9.1</w:t>
            </w:r>
          </w:p>
        </w:tc>
        <w:tc>
          <w:tcPr>
            <w:tcW w:w="969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Directors may, prior to the purchase, redemption or surrender of any Share, determine that such Share shall be held as a Treasury Share. </w:t>
            </w:r>
          </w:p>
        </w:tc>
      </w:tr>
    </w:tbl>
    <w:p>
      <w:pPr>
        <w:pStyle w:val="TextBody"/>
        <w:spacing w:before="0" w:after="0"/>
        <w:jc w:val="left"/>
        <w:rPr/>
      </w:pPr>
      <w:r>
        <w:rPr/>
        <w:t> </w:t>
      </w:r>
    </w:p>
    <w:p>
      <w:pPr>
        <w:pStyle w:val="TextBody"/>
        <w:spacing w:before="0" w:after="0"/>
        <w:jc w:val="right"/>
        <w:rPr>
          <w:rFonts w:ascii="Times New Roman" w:hAnsi="Times New Roman"/>
          <w:sz w:val="20"/>
        </w:rPr>
      </w:pPr>
      <w:r>
        <w:rPr>
          <w:rFonts w:ascii="Times New Roman" w:hAnsi="Times New Roman"/>
          <w:sz w:val="20"/>
        </w:rPr>
        <w:t xml:space="preserve">6 </w:t>
      </w:r>
    </w:p>
    <w:p>
      <w:pPr>
        <w:pStyle w:val="TextBody"/>
        <w:spacing w:before="80" w:after="0"/>
        <w:jc w:val="right"/>
        <w:rPr>
          <w:rFonts w:ascii="Times New Roman" w:hAnsi="Times New Roman"/>
          <w:sz w:val="20"/>
        </w:rPr>
      </w:pPr>
      <w:r>
        <w:rPr>
          <w:rFonts w:ascii="Times New Roman" w:hAnsi="Times New Roman"/>
          <w:i/>
          <w:sz w:val="20"/>
        </w:rPr>
        <w:t>Auth Code: H70275751251</w:t>
      </w:r>
      <w:r>
        <w:rPr>
          <w:rFonts w:ascii="Times New Roman" w:hAnsi="Times New Roman"/>
          <w:sz w:val="20"/>
        </w:rPr>
        <w:t xml:space="preserve"> </w:t>
      </w:r>
    </w:p>
    <w:p>
      <w:pPr>
        <w:pStyle w:val="TextBody"/>
        <w:spacing w:before="0" w:after="0"/>
        <w:jc w:val="right"/>
        <w:rPr>
          <w:rFonts w:ascii="Times New Roman" w:hAnsi="Times New Roman"/>
          <w:sz w:val="20"/>
        </w:rPr>
      </w:pPr>
      <w:r>
        <w:rPr>
          <w:rFonts w:ascii="Times New Roman" w:hAnsi="Times New Roman"/>
          <w:i/>
          <w:sz w:val="20"/>
        </w:rPr>
        <w:t>www.verify.gov.ky</w:t>
      </w:r>
      <w:r>
        <w:rPr>
          <w:rFonts w:ascii="Times New Roman" w:hAnsi="Times New Roman"/>
          <w:sz w:val="20"/>
        </w:rPr>
        <w:t xml:space="preserve"> </w:t>
      </w:r>
      <w:r>
        <w:br w:type="page"/>
      </w:r>
    </w:p>
    <w:p>
      <w:pPr>
        <w:pStyle w:val="HorizontalLine"/>
        <w:pBdr>
          <w:bottom w:val="double" w:sz="6" w:space="0" w:color="808080"/>
        </w:pBdr>
        <w:rPr/>
      </w:pPr>
      <w:r>
        <w:rPr/>
      </w:r>
    </w:p>
    <w:p>
      <w:pPr>
        <w:pStyle w:val="TextBody"/>
        <w:spacing w:before="0" w:after="0"/>
        <w:jc w:val="right"/>
        <w:rPr/>
      </w:pPr>
      <w:r>
        <w:rPr/>
        <w:drawing>
          <wp:inline distT="0" distB="0" distL="0" distR="0">
            <wp:extent cx="914400" cy="91440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914400" cy="914400"/>
                    </a:xfrm>
                    <a:prstGeom prst="rect">
                      <a:avLst/>
                    </a:prstGeom>
                  </pic:spPr>
                </pic:pic>
              </a:graphicData>
            </a:graphic>
          </wp:inline>
        </w:drawing>
      </w:r>
      <w:r>
        <w:rPr/>
        <w:t xml:space="preserve">              </w:t>
      </w:r>
    </w:p>
    <w:p>
      <w:pPr>
        <w:pStyle w:val="TextBody"/>
        <w:spacing w:before="20" w:after="0"/>
        <w:jc w:val="right"/>
        <w:rPr>
          <w:rFonts w:ascii="Times New Roman" w:hAnsi="Times New Roman"/>
          <w:sz w:val="20"/>
        </w:rPr>
      </w:pPr>
      <w:r>
        <w:rPr>
          <w:rFonts w:ascii="Times New Roman" w:hAnsi="Times New Roman"/>
          <w:b/>
          <w:i/>
          <w:sz w:val="20"/>
        </w:rPr>
        <w:t>EXEMPTED</w:t>
      </w:r>
      <w:r>
        <w:rPr>
          <w:rFonts w:ascii="Times New Roman" w:hAnsi="Times New Roman"/>
          <w:sz w:val="20"/>
        </w:rPr>
        <w:t xml:space="preserve"> </w:t>
      </w:r>
      <w:r>
        <w:rPr>
          <w:rFonts w:ascii="Times New Roman" w:hAnsi="Times New Roman"/>
          <w:i/>
          <w:sz w:val="20"/>
        </w:rPr>
        <w:t>Company Registered and</w:t>
      </w:r>
      <w:r>
        <w:rPr>
          <w:rFonts w:ascii="Times New Roman" w:hAnsi="Times New Roman"/>
          <w:sz w:val="20"/>
        </w:rPr>
        <w:t xml:space="preserve"> </w:t>
      </w:r>
    </w:p>
    <w:p>
      <w:pPr>
        <w:pStyle w:val="TextBody"/>
        <w:spacing w:before="20" w:after="0"/>
        <w:jc w:val="right"/>
        <w:rPr>
          <w:rFonts w:ascii="Times New Roman" w:hAnsi="Times New Roman"/>
          <w:sz w:val="20"/>
        </w:rPr>
      </w:pPr>
      <w:r>
        <w:rPr>
          <w:rFonts w:ascii="Times New Roman" w:hAnsi="Times New Roman"/>
          <w:i/>
          <w:sz w:val="20"/>
        </w:rPr>
        <w:t>filed as No. 370146 On 13-Jan-2021</w:t>
      </w:r>
      <w:r>
        <w:rPr>
          <w:rFonts w:ascii="Times New Roman" w:hAnsi="Times New Roman"/>
          <w:sz w:val="20"/>
        </w:rPr>
        <w:t xml:space="preserve"> </w:t>
      </w:r>
    </w:p>
    <w:p>
      <w:pPr>
        <w:pStyle w:val="TextBody"/>
        <w:spacing w:before="0" w:after="0"/>
        <w:jc w:val="left"/>
        <w:rPr/>
      </w:pPr>
      <w:r>
        <w:rPr/>
        <w:t> </w:t>
      </w:r>
    </w:p>
    <w:p>
      <w:pPr>
        <w:pStyle w:val="TextBody"/>
        <w:spacing w:before="0" w:after="0"/>
        <w:jc w:val="right"/>
        <w:rPr/>
      </w:pPr>
      <w:r>
        <w:rPr/>
        <w:drawing>
          <wp:inline distT="0" distB="0" distL="0" distR="0">
            <wp:extent cx="447675" cy="36195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447675" cy="361950"/>
                    </a:xfrm>
                    <a:prstGeom prst="rect">
                      <a:avLst/>
                    </a:prstGeom>
                  </pic:spPr>
                </pic:pic>
              </a:graphicData>
            </a:graphic>
          </wp:inline>
        </w:drawing>
      </w:r>
      <w:r>
        <w:rPr/>
        <w:t xml:space="preserve">                                           </w:t>
      </w:r>
    </w:p>
    <w:p>
      <w:pPr>
        <w:pStyle w:val="TextBody"/>
        <w:spacing w:before="0" w:after="0"/>
        <w:jc w:val="right"/>
        <w:rPr>
          <w:rFonts w:ascii="Times New Roman" w:hAnsi="Times New Roman"/>
          <w:sz w:val="20"/>
        </w:rPr>
      </w:pPr>
      <w:r>
        <w:rPr>
          <w:rFonts w:ascii="Times New Roman" w:hAnsi="Times New Roman"/>
          <w:i/>
          <w:sz w:val="20"/>
        </w:rPr>
        <w:t>Acting Assistant Registrar</w:t>
      </w:r>
      <w:r>
        <w:rPr>
          <w:rFonts w:ascii="Times New Roman" w:hAnsi="Times New Roman"/>
          <w:sz w:val="20"/>
        </w:rPr>
        <w:t xml:space="preserv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9697"/>
      </w:tblGrid>
      <w:tr>
        <w:trPr/>
        <w:tc>
          <w:tcPr>
            <w:tcW w:w="508" w:type="dxa"/>
            <w:tcBorders/>
            <w:shd w:fill="auto" w:val="clear"/>
          </w:tcPr>
          <w:p>
            <w:pPr>
              <w:pStyle w:val="TableContents"/>
              <w:spacing w:before="0" w:after="283"/>
              <w:jc w:val="left"/>
              <w:rPr/>
            </w:pPr>
            <w:r>
              <w:rPr/>
              <w:t>9.2</w:t>
            </w:r>
          </w:p>
        </w:tc>
        <w:tc>
          <w:tcPr>
            <w:tcW w:w="96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Directors may determine to cancel a Treasury Share or transfer a Treasury Share on such terms as they think proper (including, without limitation, for nil consideration).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9695"/>
      </w:tblGrid>
      <w:tr>
        <w:trPr/>
        <w:tc>
          <w:tcPr>
            <w:tcW w:w="510" w:type="dxa"/>
            <w:tcBorders/>
            <w:shd w:fill="auto" w:val="clear"/>
          </w:tcPr>
          <w:p>
            <w:pPr>
              <w:pStyle w:val="TableContents"/>
              <w:spacing w:before="0" w:after="283"/>
              <w:jc w:val="left"/>
              <w:rPr>
                <w:b/>
              </w:rPr>
            </w:pPr>
            <w:r>
              <w:rPr>
                <w:b/>
              </w:rPr>
              <w:t>10</w:t>
            </w:r>
          </w:p>
        </w:tc>
        <w:tc>
          <w:tcPr>
            <w:tcW w:w="9695"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Variation of Rights of Shares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10.1</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at any time the share capital of the Company is divided into different classes of Shares, all or any of the rights attached to any class (unless otherwise provided by the terms of issue of the Shares of that class) may, whether or not the Company is being wound up, be varied without the consent of the holders of the issued Shares of that class where such variation is considered by the Directors not to have a material adverse effect upon such rights; otherwise, any such variation shall be made only with the consent in writing of the holders of not less than two thirds of the issued Shares of that class, or with the approval of a resolution passed by a majority of not less than two thirds of the votes cast at a separate meeting of the holders of the Shares of that class. For the avoidance of doubt, the Directors reserve the right, notwithstanding that any such variation may not have a material adverse effect, to obtain consent from the holders of Shares of the relevant class. To any such meeting all the provisions of the Articles relating to general meetings shall apply </w:t>
            </w:r>
            <w:r>
              <w:rPr>
                <w:rFonts w:ascii="Times New Roman" w:hAnsi="Times New Roman"/>
                <w:i/>
                <w:sz w:val="20"/>
              </w:rPr>
              <w:t>mutatis mutandis</w:t>
            </w:r>
            <w:r>
              <w:rPr>
                <w:rFonts w:ascii="Times New Roman" w:hAnsi="Times New Roman"/>
                <w:sz w:val="20"/>
              </w:rPr>
              <w:t xml:space="preserve">, except that the necessary quorum shall be one person holding or representing by proxy at least one third of the issued Shares of the class and that any holder of Shares of the class present in person or by proxy may demand a poll.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10.2</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For the purposes of a separate class meeting, the Directors may treat two or more or all the classes of Shares as forming one class of Shares if the Directors consider that such class of Shares would be affected in the same way by the proposals under consideration, but in any other case shall treat them as separate classes of Shares.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10.3</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rights conferred upon the holders of the Shares of any class issued with preferred or other rights shall not, unless otherwise expressly provided by the terms of issue of the Shares of that class, be deemed to be varied by the creation or issue of further Shares ranking pari passu therewith.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9695"/>
      </w:tblGrid>
      <w:tr>
        <w:trPr/>
        <w:tc>
          <w:tcPr>
            <w:tcW w:w="510" w:type="dxa"/>
            <w:tcBorders/>
            <w:shd w:fill="auto" w:val="clear"/>
          </w:tcPr>
          <w:p>
            <w:pPr>
              <w:pStyle w:val="TableContents"/>
              <w:spacing w:before="0" w:after="283"/>
              <w:jc w:val="left"/>
              <w:rPr>
                <w:b/>
              </w:rPr>
            </w:pPr>
            <w:r>
              <w:rPr>
                <w:b/>
              </w:rPr>
              <w:t>11</w:t>
            </w:r>
          </w:p>
        </w:tc>
        <w:tc>
          <w:tcPr>
            <w:tcW w:w="9695"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Commission on Sale of Shares </w:t>
            </w:r>
          </w:p>
        </w:tc>
      </w:tr>
    </w:tbl>
    <w:p>
      <w:pPr>
        <w:pStyle w:val="TextBody"/>
        <w:spacing w:before="120" w:after="0"/>
        <w:jc w:val="left"/>
        <w:rPr>
          <w:rFonts w:ascii="Times New Roman" w:hAnsi="Times New Roman"/>
          <w:sz w:val="20"/>
        </w:rPr>
      </w:pPr>
      <w:r>
        <w:rPr>
          <w:rFonts w:ascii="Times New Roman" w:hAnsi="Times New Roman"/>
          <w:sz w:val="20"/>
        </w:rPr>
        <w:t xml:space="preserve">The Company may, in so far as the Statute permits, pay a commission to any person in consideration of his subscribing or agreeing to subscribe (whether absolutely or conditionally) or procuring or agreeing to procure subscriptions (whether absolutely or conditionally) for any Shares. Such commissions may be satisfied by the payment of cash and/or the issue of fully or partly paid- up Shares. The Company may also on any issue of Shares pay such brokerage as may be lawful.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9695"/>
      </w:tblGrid>
      <w:tr>
        <w:trPr/>
        <w:tc>
          <w:tcPr>
            <w:tcW w:w="510" w:type="dxa"/>
            <w:tcBorders/>
            <w:shd w:fill="auto" w:val="clear"/>
          </w:tcPr>
          <w:p>
            <w:pPr>
              <w:pStyle w:val="TableContents"/>
              <w:spacing w:before="0" w:after="283"/>
              <w:jc w:val="left"/>
              <w:rPr>
                <w:b/>
              </w:rPr>
            </w:pPr>
            <w:r>
              <w:rPr>
                <w:b/>
              </w:rPr>
              <w:t>12</w:t>
            </w:r>
          </w:p>
        </w:tc>
        <w:tc>
          <w:tcPr>
            <w:tcW w:w="9695"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Non Recognition of Trusts </w:t>
            </w:r>
          </w:p>
        </w:tc>
      </w:tr>
    </w:tbl>
    <w:p>
      <w:pPr>
        <w:pStyle w:val="TextBody"/>
        <w:spacing w:before="120" w:after="0"/>
        <w:jc w:val="left"/>
        <w:rPr>
          <w:rFonts w:ascii="Times New Roman" w:hAnsi="Times New Roman"/>
          <w:sz w:val="20"/>
        </w:rPr>
      </w:pPr>
      <w:r>
        <w:rPr>
          <w:rFonts w:ascii="Times New Roman" w:hAnsi="Times New Roman"/>
          <w:sz w:val="20"/>
        </w:rPr>
        <w:t xml:space="preserve">The Company shall not be bound by or compelled to recognise in any way (even when notified) any equitable, contingent, future or partial interest in any Share, or (except only as is otherwise provided by the Articles or the Statute) any other rights in respect of any Share other than an absolute right to the entirety thereof in the holder. </w:t>
      </w:r>
    </w:p>
    <w:p>
      <w:pPr>
        <w:pStyle w:val="TextBody"/>
        <w:spacing w:before="0" w:after="0"/>
        <w:jc w:val="left"/>
        <w:rPr/>
      </w:pPr>
      <w:r>
        <w:rPr/>
        <w:t> </w:t>
      </w:r>
    </w:p>
    <w:p>
      <w:pPr>
        <w:pStyle w:val="TextBody"/>
        <w:spacing w:before="0" w:after="0"/>
        <w:jc w:val="right"/>
        <w:rPr>
          <w:rFonts w:ascii="Times New Roman" w:hAnsi="Times New Roman"/>
          <w:sz w:val="20"/>
        </w:rPr>
      </w:pPr>
      <w:r>
        <w:rPr>
          <w:rFonts w:ascii="Times New Roman" w:hAnsi="Times New Roman"/>
          <w:sz w:val="20"/>
        </w:rPr>
        <w:t xml:space="preserve">7 </w:t>
      </w:r>
    </w:p>
    <w:p>
      <w:pPr>
        <w:pStyle w:val="TextBody"/>
        <w:spacing w:before="80" w:after="0"/>
        <w:jc w:val="right"/>
        <w:rPr>
          <w:rFonts w:ascii="Times New Roman" w:hAnsi="Times New Roman"/>
          <w:sz w:val="20"/>
        </w:rPr>
      </w:pPr>
      <w:r>
        <w:rPr>
          <w:rFonts w:ascii="Times New Roman" w:hAnsi="Times New Roman"/>
          <w:i/>
          <w:sz w:val="20"/>
        </w:rPr>
        <w:t>Auth Code: H70275751251</w:t>
      </w:r>
      <w:r>
        <w:rPr>
          <w:rFonts w:ascii="Times New Roman" w:hAnsi="Times New Roman"/>
          <w:sz w:val="20"/>
        </w:rPr>
        <w:t xml:space="preserve"> </w:t>
      </w:r>
    </w:p>
    <w:p>
      <w:pPr>
        <w:pStyle w:val="TextBody"/>
        <w:spacing w:before="0" w:after="0"/>
        <w:jc w:val="right"/>
        <w:rPr>
          <w:rFonts w:ascii="Times New Roman" w:hAnsi="Times New Roman"/>
          <w:sz w:val="20"/>
        </w:rPr>
      </w:pPr>
      <w:r>
        <w:rPr>
          <w:rFonts w:ascii="Times New Roman" w:hAnsi="Times New Roman"/>
          <w:i/>
          <w:sz w:val="20"/>
        </w:rPr>
        <w:t>www.verify.gov.ky</w:t>
      </w:r>
      <w:r>
        <w:rPr>
          <w:rFonts w:ascii="Times New Roman" w:hAnsi="Times New Roman"/>
          <w:sz w:val="20"/>
        </w:rPr>
        <w:t xml:space="preserve"> </w:t>
      </w:r>
      <w:r>
        <w:br w:type="page"/>
      </w:r>
    </w:p>
    <w:p>
      <w:pPr>
        <w:pStyle w:val="HorizontalLine"/>
        <w:pBdr>
          <w:bottom w:val="double" w:sz="6" w:space="0" w:color="808080"/>
        </w:pBdr>
        <w:rPr/>
      </w:pPr>
      <w:r>
        <w:rPr/>
      </w:r>
    </w:p>
    <w:p>
      <w:pPr>
        <w:pStyle w:val="TextBody"/>
        <w:spacing w:before="0" w:after="0"/>
        <w:jc w:val="right"/>
        <w:rPr/>
      </w:pPr>
      <w:r>
        <w:rPr/>
        <w:drawing>
          <wp:inline distT="0" distB="0" distL="0" distR="0">
            <wp:extent cx="914400" cy="91440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914400" cy="914400"/>
                    </a:xfrm>
                    <a:prstGeom prst="rect">
                      <a:avLst/>
                    </a:prstGeom>
                  </pic:spPr>
                </pic:pic>
              </a:graphicData>
            </a:graphic>
          </wp:inline>
        </w:drawing>
      </w:r>
      <w:r>
        <w:rPr/>
        <w:t xml:space="preserve">              </w:t>
      </w:r>
    </w:p>
    <w:p>
      <w:pPr>
        <w:pStyle w:val="TextBody"/>
        <w:spacing w:before="20" w:after="0"/>
        <w:jc w:val="right"/>
        <w:rPr>
          <w:rFonts w:ascii="Times New Roman" w:hAnsi="Times New Roman"/>
          <w:sz w:val="20"/>
        </w:rPr>
      </w:pPr>
      <w:r>
        <w:rPr>
          <w:rFonts w:ascii="Times New Roman" w:hAnsi="Times New Roman"/>
          <w:b/>
          <w:i/>
          <w:sz w:val="20"/>
        </w:rPr>
        <w:t>EXEMPTED</w:t>
      </w:r>
      <w:r>
        <w:rPr>
          <w:rFonts w:ascii="Times New Roman" w:hAnsi="Times New Roman"/>
          <w:sz w:val="20"/>
        </w:rPr>
        <w:t xml:space="preserve"> </w:t>
      </w:r>
      <w:r>
        <w:rPr>
          <w:rFonts w:ascii="Times New Roman" w:hAnsi="Times New Roman"/>
          <w:i/>
          <w:sz w:val="20"/>
        </w:rPr>
        <w:t>Company Registered and</w:t>
      </w:r>
      <w:r>
        <w:rPr>
          <w:rFonts w:ascii="Times New Roman" w:hAnsi="Times New Roman"/>
          <w:sz w:val="20"/>
        </w:rPr>
        <w:t xml:space="preserve"> </w:t>
      </w:r>
    </w:p>
    <w:p>
      <w:pPr>
        <w:pStyle w:val="TextBody"/>
        <w:spacing w:before="20" w:after="0"/>
        <w:jc w:val="right"/>
        <w:rPr>
          <w:rFonts w:ascii="Times New Roman" w:hAnsi="Times New Roman"/>
          <w:sz w:val="20"/>
        </w:rPr>
      </w:pPr>
      <w:r>
        <w:rPr>
          <w:rFonts w:ascii="Times New Roman" w:hAnsi="Times New Roman"/>
          <w:i/>
          <w:sz w:val="20"/>
        </w:rPr>
        <w:t>filed as No. 370146 On 13-Jan-2021</w:t>
      </w:r>
      <w:r>
        <w:rPr>
          <w:rFonts w:ascii="Times New Roman" w:hAnsi="Times New Roman"/>
          <w:sz w:val="20"/>
        </w:rPr>
        <w:t xml:space="preserve"> </w:t>
      </w:r>
    </w:p>
    <w:p>
      <w:pPr>
        <w:pStyle w:val="TextBody"/>
        <w:spacing w:before="0" w:after="0"/>
        <w:jc w:val="left"/>
        <w:rPr/>
      </w:pPr>
      <w:r>
        <w:rPr/>
        <w:t> </w:t>
      </w:r>
    </w:p>
    <w:p>
      <w:pPr>
        <w:pStyle w:val="TextBody"/>
        <w:spacing w:before="0" w:after="0"/>
        <w:jc w:val="right"/>
        <w:rPr/>
      </w:pPr>
      <w:r>
        <w:rPr/>
        <w:drawing>
          <wp:inline distT="0" distB="0" distL="0" distR="0">
            <wp:extent cx="447675" cy="36195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447675" cy="361950"/>
                    </a:xfrm>
                    <a:prstGeom prst="rect">
                      <a:avLst/>
                    </a:prstGeom>
                  </pic:spPr>
                </pic:pic>
              </a:graphicData>
            </a:graphic>
          </wp:inline>
        </w:drawing>
      </w:r>
      <w:r>
        <w:rPr/>
        <w:t xml:space="preserve">                                           </w:t>
      </w:r>
    </w:p>
    <w:p>
      <w:pPr>
        <w:pStyle w:val="TextBody"/>
        <w:spacing w:before="0" w:after="0"/>
        <w:jc w:val="right"/>
        <w:rPr>
          <w:rFonts w:ascii="Times New Roman" w:hAnsi="Times New Roman"/>
          <w:sz w:val="20"/>
        </w:rPr>
      </w:pPr>
      <w:r>
        <w:rPr>
          <w:rFonts w:ascii="Times New Roman" w:hAnsi="Times New Roman"/>
          <w:i/>
          <w:sz w:val="20"/>
        </w:rPr>
        <w:t>Acting Assistant Registrar</w:t>
      </w:r>
      <w:r>
        <w:rPr>
          <w:rFonts w:ascii="Times New Roman" w:hAnsi="Times New Roman"/>
          <w:sz w:val="20"/>
        </w:rPr>
        <w:t xml:space="preserv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b/>
              </w:rPr>
            </w:pPr>
            <w:r>
              <w:rPr>
                <w:b/>
              </w:rPr>
              <w:t>13</w:t>
            </w:r>
          </w:p>
        </w:tc>
        <w:tc>
          <w:tcPr>
            <w:tcW w:w="9696"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Lien on Shares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13.1</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Company shall have a first and paramount lien on all Shares (whether fully paid-up or not) registered in the name of a Member (whether solely or jointly with others) for all debts, liabilities or engagements to or with the Company (whether presently payable or not) by such Member or his estate, either alone or jointly with any other person, whether a Member or not, but the Directors may at any time declare any Share to be wholly or in part exempt from the provisions of this Article. The registration of a transfer of any such Share shall operate as a waiver of the Companys lien thereon. The Companys lien on a Share shall also extend to any amount payable in respect of that Share.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9695"/>
      </w:tblGrid>
      <w:tr>
        <w:trPr/>
        <w:tc>
          <w:tcPr>
            <w:tcW w:w="510" w:type="dxa"/>
            <w:tcBorders/>
            <w:shd w:fill="auto" w:val="clear"/>
          </w:tcPr>
          <w:p>
            <w:pPr>
              <w:pStyle w:val="TableContents"/>
              <w:spacing w:before="0" w:after="283"/>
              <w:jc w:val="left"/>
              <w:rPr/>
            </w:pPr>
            <w:r>
              <w:rPr/>
              <w:t>13.2</w:t>
            </w:r>
          </w:p>
        </w:tc>
        <w:tc>
          <w:tcPr>
            <w:tcW w:w="969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Company may sell, in such manner as the Directors think fit, any Shares on which the Company has a lien, if a sum in respect of which the lien exists is presently payable, and is not paid within fourteen clear days after notice has been received or deemed to have been received by the holder of the Shares, or to the person entitled to it in consequence of the death or bankruptcy of the holder, demanding payment and stating that if the notice is not complied with the Shares may be sold.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13.3</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To give effect to any such sale the Directors may authorise any person to execute an instrument of transfer of the Shares sold to, or in accordance with the directions of, the purchaser. The purchaser or his nominee shall be registered as the holder of the Shares comprised in any such transfer, and he shall not be bound to see to the application of the purchase money, nor shall his title to the Shares be affected by any irregularity or invalidity in the sale or the exercise of the Companys power of sale under the Articles.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13.4</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net proceeds of such sale after payment of costs, shall be applied in payment of such part of the amount in respect of which the lien exists as is presently payable and any balance shall (subject to a like lien for sums not presently payable as existed upon the Shares before the sale) be paid to the person entitled to the Shares at the date of the sale.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b/>
              </w:rPr>
            </w:pPr>
            <w:r>
              <w:rPr>
                <w:b/>
              </w:rPr>
              <w:t>14</w:t>
            </w:r>
          </w:p>
        </w:tc>
        <w:tc>
          <w:tcPr>
            <w:tcW w:w="9696"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Call on Shares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14.1</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Subject to the terms of the allotment and issue of any Shares, the Directors may make calls upon the Members in respect of any monies unpaid on their Shares (whether in respect of par value or premium), and each Member shall (subject to receiving at least fourteen clear days notice specifying the time or times of payment) pay to the Company at the time or times so specified the amount called on the Shares. A call may be revoked or postponed, in whole or in part, as the Directors may determine. A call may be required to be paid by instalments. A person upon whom a call is made shall remain liable for calls made upon him notwithstanding the subsequent transfer of the Shares in respect of which the call was made.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14.2</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call shall be deemed to have been made at the time when the resolution of the Directors authorising such call was passed.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14.3</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joint holders of a Share shall be jointly and severally liable to pay all calls in respect thereof. </w:t>
            </w:r>
          </w:p>
        </w:tc>
      </w:tr>
    </w:tbl>
    <w:p>
      <w:pPr>
        <w:pStyle w:val="TextBody"/>
        <w:spacing w:before="0" w:after="0"/>
        <w:jc w:val="left"/>
        <w:rPr/>
      </w:pPr>
      <w:r>
        <w:rPr/>
        <w:t> </w:t>
      </w:r>
    </w:p>
    <w:p>
      <w:pPr>
        <w:pStyle w:val="TextBody"/>
        <w:spacing w:before="0" w:after="0"/>
        <w:jc w:val="right"/>
        <w:rPr>
          <w:rFonts w:ascii="Times New Roman" w:hAnsi="Times New Roman"/>
          <w:sz w:val="20"/>
        </w:rPr>
      </w:pPr>
      <w:r>
        <w:rPr>
          <w:rFonts w:ascii="Times New Roman" w:hAnsi="Times New Roman"/>
          <w:sz w:val="20"/>
        </w:rPr>
        <w:t xml:space="preserve">8 </w:t>
      </w:r>
    </w:p>
    <w:p>
      <w:pPr>
        <w:pStyle w:val="TextBody"/>
        <w:spacing w:before="80" w:after="0"/>
        <w:jc w:val="right"/>
        <w:rPr>
          <w:rFonts w:ascii="Times New Roman" w:hAnsi="Times New Roman"/>
          <w:sz w:val="20"/>
        </w:rPr>
      </w:pPr>
      <w:r>
        <w:rPr>
          <w:rFonts w:ascii="Times New Roman" w:hAnsi="Times New Roman"/>
          <w:i/>
          <w:sz w:val="20"/>
        </w:rPr>
        <w:t>Auth Code: H70275751251</w:t>
      </w:r>
      <w:r>
        <w:rPr>
          <w:rFonts w:ascii="Times New Roman" w:hAnsi="Times New Roman"/>
          <w:sz w:val="20"/>
        </w:rPr>
        <w:t xml:space="preserve"> </w:t>
      </w:r>
    </w:p>
    <w:p>
      <w:pPr>
        <w:pStyle w:val="TextBody"/>
        <w:spacing w:before="0" w:after="0"/>
        <w:jc w:val="right"/>
        <w:rPr>
          <w:rFonts w:ascii="Times New Roman" w:hAnsi="Times New Roman"/>
          <w:sz w:val="20"/>
        </w:rPr>
      </w:pPr>
      <w:r>
        <w:rPr>
          <w:rFonts w:ascii="Times New Roman" w:hAnsi="Times New Roman"/>
          <w:i/>
          <w:sz w:val="20"/>
        </w:rPr>
        <w:t>www.verify.gov.ky</w:t>
      </w:r>
      <w:r>
        <w:rPr>
          <w:rFonts w:ascii="Times New Roman" w:hAnsi="Times New Roman"/>
          <w:sz w:val="20"/>
        </w:rPr>
        <w:t xml:space="preserve"> </w:t>
      </w:r>
      <w:r>
        <w:br w:type="page"/>
      </w:r>
    </w:p>
    <w:p>
      <w:pPr>
        <w:pStyle w:val="HorizontalLine"/>
        <w:pBdr>
          <w:bottom w:val="double" w:sz="6" w:space="0" w:color="808080"/>
        </w:pBdr>
        <w:rPr/>
      </w:pPr>
      <w:r>
        <w:rPr/>
      </w:r>
    </w:p>
    <w:p>
      <w:pPr>
        <w:pStyle w:val="TextBody"/>
        <w:spacing w:before="0" w:after="0"/>
        <w:jc w:val="right"/>
        <w:rPr/>
      </w:pPr>
      <w:r>
        <w:rPr/>
        <w:drawing>
          <wp:inline distT="0" distB="0" distL="0" distR="0">
            <wp:extent cx="914400" cy="91440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914400" cy="914400"/>
                    </a:xfrm>
                    <a:prstGeom prst="rect">
                      <a:avLst/>
                    </a:prstGeom>
                  </pic:spPr>
                </pic:pic>
              </a:graphicData>
            </a:graphic>
          </wp:inline>
        </w:drawing>
      </w:r>
      <w:r>
        <w:rPr/>
        <w:t xml:space="preserve">              </w:t>
      </w:r>
    </w:p>
    <w:p>
      <w:pPr>
        <w:pStyle w:val="TextBody"/>
        <w:spacing w:before="20" w:after="0"/>
        <w:jc w:val="right"/>
        <w:rPr>
          <w:rFonts w:ascii="Times New Roman" w:hAnsi="Times New Roman"/>
          <w:sz w:val="20"/>
        </w:rPr>
      </w:pPr>
      <w:r>
        <w:rPr>
          <w:rFonts w:ascii="Times New Roman" w:hAnsi="Times New Roman"/>
          <w:b/>
          <w:i/>
          <w:sz w:val="20"/>
        </w:rPr>
        <w:t>EXEMPTED</w:t>
      </w:r>
      <w:r>
        <w:rPr>
          <w:rFonts w:ascii="Times New Roman" w:hAnsi="Times New Roman"/>
          <w:sz w:val="20"/>
        </w:rPr>
        <w:t xml:space="preserve"> </w:t>
      </w:r>
      <w:r>
        <w:rPr>
          <w:rFonts w:ascii="Times New Roman" w:hAnsi="Times New Roman"/>
          <w:i/>
          <w:sz w:val="20"/>
        </w:rPr>
        <w:t>Company Registered and</w:t>
      </w:r>
      <w:r>
        <w:rPr>
          <w:rFonts w:ascii="Times New Roman" w:hAnsi="Times New Roman"/>
          <w:sz w:val="20"/>
        </w:rPr>
        <w:t xml:space="preserve"> </w:t>
      </w:r>
    </w:p>
    <w:p>
      <w:pPr>
        <w:pStyle w:val="TextBody"/>
        <w:spacing w:before="20" w:after="0"/>
        <w:jc w:val="right"/>
        <w:rPr>
          <w:rFonts w:ascii="Times New Roman" w:hAnsi="Times New Roman"/>
          <w:sz w:val="20"/>
        </w:rPr>
      </w:pPr>
      <w:r>
        <w:rPr>
          <w:rFonts w:ascii="Times New Roman" w:hAnsi="Times New Roman"/>
          <w:i/>
          <w:sz w:val="20"/>
        </w:rPr>
        <w:t>filed as No. 370146 On 13-Jan-2021</w:t>
      </w:r>
      <w:r>
        <w:rPr>
          <w:rFonts w:ascii="Times New Roman" w:hAnsi="Times New Roman"/>
          <w:sz w:val="20"/>
        </w:rPr>
        <w:t xml:space="preserve"> </w:t>
      </w:r>
    </w:p>
    <w:p>
      <w:pPr>
        <w:pStyle w:val="TextBody"/>
        <w:spacing w:before="0" w:after="0"/>
        <w:jc w:val="left"/>
        <w:rPr/>
      </w:pPr>
      <w:r>
        <w:rPr/>
        <w:t> </w:t>
      </w:r>
    </w:p>
    <w:p>
      <w:pPr>
        <w:pStyle w:val="TextBody"/>
        <w:spacing w:before="0" w:after="0"/>
        <w:jc w:val="right"/>
        <w:rPr/>
      </w:pPr>
      <w:r>
        <w:rPr/>
        <w:drawing>
          <wp:inline distT="0" distB="0" distL="0" distR="0">
            <wp:extent cx="447675" cy="36195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447675" cy="361950"/>
                    </a:xfrm>
                    <a:prstGeom prst="rect">
                      <a:avLst/>
                    </a:prstGeom>
                  </pic:spPr>
                </pic:pic>
              </a:graphicData>
            </a:graphic>
          </wp:inline>
        </w:drawing>
      </w:r>
      <w:r>
        <w:rPr/>
        <w:t xml:space="preserve">                                           </w:t>
      </w:r>
    </w:p>
    <w:p>
      <w:pPr>
        <w:pStyle w:val="TextBody"/>
        <w:spacing w:before="0" w:after="0"/>
        <w:jc w:val="right"/>
        <w:rPr>
          <w:rFonts w:ascii="Times New Roman" w:hAnsi="Times New Roman"/>
          <w:sz w:val="20"/>
        </w:rPr>
      </w:pPr>
      <w:r>
        <w:rPr>
          <w:rFonts w:ascii="Times New Roman" w:hAnsi="Times New Roman"/>
          <w:i/>
          <w:sz w:val="20"/>
        </w:rPr>
        <w:t>Acting Assistant Registrar</w:t>
      </w:r>
      <w:r>
        <w:rPr>
          <w:rFonts w:ascii="Times New Roman" w:hAnsi="Times New Roman"/>
          <w:sz w:val="20"/>
        </w:rPr>
        <w:t xml:space="preserv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14.4</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a call remains unpaid after it has become due and payable, the person from whom it is due shall pay interest on the amount unpaid from the day it became due and payable until it is paid at such rate as the Directors may determine (and in addition all expenses that have been incurred by the Company by reason of such non-payment), but the Directors may waive payment of the interest or expenses wholly or in part.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14.5</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 amount payable in respect of a Share on issue or allotment or at any fixed date, whether on account of the par value of the Share or premium or otherwise, shall be deemed to be a call and if it is not paid all the provisions of the Articles shall apply as if that amount had become due and payable by virtue of a call.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14.6</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Directors may issue Shares with different terms as to the amount and times of payment of calls, or the interest to be paid.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14.7</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Directors may, if they think fit, receive an amount from any Member willing to advance all or any part of the monies uncalled and unpaid upon any Shares held by him, and may (until the amount would otherwise become payable) pay interest at such rate as may be agreed upon between the Directors and the Member paying such amount in advance.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14.8</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No such amount paid in advance of calls shall entitle the Member paying such amount to any portion of a Dividend or other distribution payable in respect of any period prior to the date upon which such amount would, but for such payment, become payable.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b/>
              </w:rPr>
            </w:pPr>
            <w:r>
              <w:rPr>
                <w:b/>
              </w:rPr>
              <w:t>15</w:t>
            </w:r>
          </w:p>
        </w:tc>
        <w:tc>
          <w:tcPr>
            <w:tcW w:w="9696"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Forfeiture of Shares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15.1</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a call or instalment of a call remains unpaid after it has become due and payable the Directors may give to the person from whom it is due not less than fourteen clear days notice requiring payment of the amount unpaid together with any interest which may have accrued and any expenses incurred by the Company by reason of such non-payment. The notice shall specify where payment is to be made and shall state that if the notice is not complied with the Shares in respect of which the call was made will be liable to be forfeited.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15.2</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the notice is not complied with, any Share in respect of which it was given may, before the payment required by the notice has been made, be forfeited by a resolution of the Directors. Such forfeiture shall include all Dividends, other distributions or other monies payable in respect of the forfeited Share and not paid before the forfeiture.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15.3</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forfeited Share may be sold, re-allotted or otherwise disposed of on such terms and in such manner as the Directors think fit and at any time before a sale, re-allotment or disposition the forfeiture may be cancelled on such terms as the Directors think fit. Where for the purposes of its disposal a forfeited Share is to be transferred to any person the Directors may authorise some person to execute an instrument of transfer of the Share in favour of that person.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15.4</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person any of whose Shares have been forfeited shall cease to be a Member in respect of them and shall surrender to the Company for cancellation the certificate for the Shares forfeited and shall </w:t>
            </w:r>
          </w:p>
        </w:tc>
      </w:tr>
    </w:tbl>
    <w:p>
      <w:pPr>
        <w:pStyle w:val="TextBody"/>
        <w:spacing w:before="0" w:after="0"/>
        <w:jc w:val="left"/>
        <w:rPr/>
      </w:pPr>
      <w:r>
        <w:rPr/>
        <w:t> </w:t>
      </w:r>
    </w:p>
    <w:p>
      <w:pPr>
        <w:pStyle w:val="TextBody"/>
        <w:spacing w:before="0" w:after="0"/>
        <w:jc w:val="right"/>
        <w:rPr>
          <w:rFonts w:ascii="Times New Roman" w:hAnsi="Times New Roman"/>
          <w:sz w:val="20"/>
        </w:rPr>
      </w:pPr>
      <w:r>
        <w:rPr>
          <w:rFonts w:ascii="Times New Roman" w:hAnsi="Times New Roman"/>
          <w:sz w:val="20"/>
        </w:rPr>
        <w:t xml:space="preserve">9 </w:t>
      </w:r>
    </w:p>
    <w:p>
      <w:pPr>
        <w:pStyle w:val="TextBody"/>
        <w:spacing w:before="80" w:after="0"/>
        <w:jc w:val="right"/>
        <w:rPr>
          <w:rFonts w:ascii="Times New Roman" w:hAnsi="Times New Roman"/>
          <w:sz w:val="20"/>
        </w:rPr>
      </w:pPr>
      <w:r>
        <w:rPr>
          <w:rFonts w:ascii="Times New Roman" w:hAnsi="Times New Roman"/>
          <w:i/>
          <w:sz w:val="20"/>
        </w:rPr>
        <w:t>Auth Code: H70275751251</w:t>
      </w:r>
      <w:r>
        <w:rPr>
          <w:rFonts w:ascii="Times New Roman" w:hAnsi="Times New Roman"/>
          <w:sz w:val="20"/>
        </w:rPr>
        <w:t xml:space="preserve"> </w:t>
      </w:r>
    </w:p>
    <w:p>
      <w:pPr>
        <w:pStyle w:val="TextBody"/>
        <w:spacing w:before="0" w:after="0"/>
        <w:jc w:val="right"/>
        <w:rPr>
          <w:rFonts w:ascii="Times New Roman" w:hAnsi="Times New Roman"/>
          <w:sz w:val="20"/>
        </w:rPr>
      </w:pPr>
      <w:r>
        <w:rPr>
          <w:rFonts w:ascii="Times New Roman" w:hAnsi="Times New Roman"/>
          <w:i/>
          <w:sz w:val="20"/>
        </w:rPr>
        <w:t>www.verify.gov.ky</w:t>
      </w:r>
      <w:r>
        <w:rPr>
          <w:rFonts w:ascii="Times New Roman" w:hAnsi="Times New Roman"/>
          <w:sz w:val="20"/>
        </w:rPr>
        <w:t xml:space="preserve"> </w:t>
      </w:r>
      <w:r>
        <w:br w:type="page"/>
      </w:r>
    </w:p>
    <w:p>
      <w:pPr>
        <w:pStyle w:val="HorizontalLine"/>
        <w:pBdr>
          <w:bottom w:val="double" w:sz="6" w:space="0" w:color="808080"/>
        </w:pBdr>
        <w:rPr/>
      </w:pPr>
      <w:r>
        <w:rPr/>
      </w:r>
    </w:p>
    <w:p>
      <w:pPr>
        <w:pStyle w:val="TextBody"/>
        <w:spacing w:before="0" w:after="0"/>
        <w:jc w:val="right"/>
        <w:rPr/>
      </w:pPr>
      <w:r>
        <w:rPr/>
        <w:drawing>
          <wp:inline distT="0" distB="0" distL="0" distR="0">
            <wp:extent cx="914400" cy="91440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914400" cy="914400"/>
                    </a:xfrm>
                    <a:prstGeom prst="rect">
                      <a:avLst/>
                    </a:prstGeom>
                  </pic:spPr>
                </pic:pic>
              </a:graphicData>
            </a:graphic>
          </wp:inline>
        </w:drawing>
      </w:r>
      <w:r>
        <w:rPr/>
        <w:t xml:space="preserve">              </w:t>
      </w:r>
    </w:p>
    <w:p>
      <w:pPr>
        <w:pStyle w:val="TextBody"/>
        <w:spacing w:before="20" w:after="0"/>
        <w:jc w:val="right"/>
        <w:rPr>
          <w:rFonts w:ascii="Times New Roman" w:hAnsi="Times New Roman"/>
          <w:sz w:val="20"/>
        </w:rPr>
      </w:pPr>
      <w:r>
        <w:rPr>
          <w:rFonts w:ascii="Times New Roman" w:hAnsi="Times New Roman"/>
          <w:b/>
          <w:i/>
          <w:sz w:val="20"/>
        </w:rPr>
        <w:t>EXEMPTED</w:t>
      </w:r>
      <w:r>
        <w:rPr>
          <w:rFonts w:ascii="Times New Roman" w:hAnsi="Times New Roman"/>
          <w:sz w:val="20"/>
        </w:rPr>
        <w:t xml:space="preserve"> </w:t>
      </w:r>
      <w:r>
        <w:rPr>
          <w:rFonts w:ascii="Times New Roman" w:hAnsi="Times New Roman"/>
          <w:i/>
          <w:sz w:val="20"/>
        </w:rPr>
        <w:t>Company Registered and</w:t>
      </w:r>
      <w:r>
        <w:rPr>
          <w:rFonts w:ascii="Times New Roman" w:hAnsi="Times New Roman"/>
          <w:sz w:val="20"/>
        </w:rPr>
        <w:t xml:space="preserve"> </w:t>
      </w:r>
    </w:p>
    <w:p>
      <w:pPr>
        <w:pStyle w:val="TextBody"/>
        <w:spacing w:before="20" w:after="0"/>
        <w:jc w:val="right"/>
        <w:rPr>
          <w:rFonts w:ascii="Times New Roman" w:hAnsi="Times New Roman"/>
          <w:sz w:val="20"/>
        </w:rPr>
      </w:pPr>
      <w:r>
        <w:rPr>
          <w:rFonts w:ascii="Times New Roman" w:hAnsi="Times New Roman"/>
          <w:i/>
          <w:sz w:val="20"/>
        </w:rPr>
        <w:t>filed as No. 370146 On 13-Jan-2021</w:t>
      </w:r>
      <w:r>
        <w:rPr>
          <w:rFonts w:ascii="Times New Roman" w:hAnsi="Times New Roman"/>
          <w:sz w:val="20"/>
        </w:rPr>
        <w:t xml:space="preserve"> </w:t>
      </w:r>
    </w:p>
    <w:p>
      <w:pPr>
        <w:pStyle w:val="TextBody"/>
        <w:spacing w:before="0" w:after="0"/>
        <w:jc w:val="left"/>
        <w:rPr/>
      </w:pPr>
      <w:r>
        <w:rPr/>
        <w:t> </w:t>
      </w:r>
    </w:p>
    <w:p>
      <w:pPr>
        <w:pStyle w:val="TextBody"/>
        <w:spacing w:before="0" w:after="0"/>
        <w:jc w:val="right"/>
        <w:rPr/>
      </w:pPr>
      <w:r>
        <w:rPr/>
        <w:drawing>
          <wp:inline distT="0" distB="0" distL="0" distR="0">
            <wp:extent cx="447675" cy="36195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447675" cy="361950"/>
                    </a:xfrm>
                    <a:prstGeom prst="rect">
                      <a:avLst/>
                    </a:prstGeom>
                  </pic:spPr>
                </pic:pic>
              </a:graphicData>
            </a:graphic>
          </wp:inline>
        </w:drawing>
      </w:r>
      <w:r>
        <w:rPr/>
        <w:t xml:space="preserve">                                           </w:t>
      </w:r>
    </w:p>
    <w:p>
      <w:pPr>
        <w:pStyle w:val="TextBody"/>
        <w:spacing w:before="0" w:after="0"/>
        <w:jc w:val="right"/>
        <w:rPr>
          <w:rFonts w:ascii="Times New Roman" w:hAnsi="Times New Roman"/>
          <w:sz w:val="20"/>
        </w:rPr>
      </w:pPr>
      <w:r>
        <w:rPr>
          <w:rFonts w:ascii="Times New Roman" w:hAnsi="Times New Roman"/>
          <w:i/>
          <w:sz w:val="20"/>
        </w:rPr>
        <w:t>Acting Assistant Registrar</w:t>
      </w:r>
      <w:r>
        <w:rPr>
          <w:rFonts w:ascii="Times New Roman" w:hAnsi="Times New Roman"/>
          <w:sz w:val="20"/>
        </w:rPr>
        <w:t xml:space="preserv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vAlign w:val="center"/>
          </w:tcPr>
          <w:p>
            <w:pPr>
              <w:pStyle w:val="TableContents"/>
              <w:spacing w:before="0" w:after="283"/>
              <w:rPr/>
            </w:pPr>
            <w:r>
              <w:rPr/>
              <w:t> </w:t>
            </w:r>
          </w:p>
        </w:tc>
        <w:tc>
          <w:tcPr>
            <w:tcW w:w="9696" w:type="dxa"/>
            <w:tcBorders/>
            <w:shd w:fill="auto" w:val="clear"/>
          </w:tcPr>
          <w:p>
            <w:pPr>
              <w:pStyle w:val="TableContents"/>
              <w:spacing w:before="0" w:after="283"/>
              <w:jc w:val="left"/>
              <w:rPr/>
            </w:pPr>
            <w:r>
              <w:rPr/>
              <w:t xml:space="preserve">remain liable to pay to the Company all monies which at the date of forfeiture were payable by him to the Company in respect of those Shares together with interest at such rate as the Directors may determine, but his liability shall cease if and when the Company shall have received payment in full of all monies due and payable by him in respect of those Shares.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9695"/>
      </w:tblGrid>
      <w:tr>
        <w:trPr/>
        <w:tc>
          <w:tcPr>
            <w:tcW w:w="510" w:type="dxa"/>
            <w:tcBorders/>
            <w:shd w:fill="auto" w:val="clear"/>
          </w:tcPr>
          <w:p>
            <w:pPr>
              <w:pStyle w:val="TableContents"/>
              <w:spacing w:before="0" w:after="283"/>
              <w:jc w:val="left"/>
              <w:rPr/>
            </w:pPr>
            <w:r>
              <w:rPr/>
              <w:t>15.5</w:t>
            </w:r>
          </w:p>
        </w:tc>
        <w:tc>
          <w:tcPr>
            <w:tcW w:w="969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certificate in writing under the hand of one Director or officer of the Company that a Share has been forfeited on a specified date shall be conclusive evidence of the facts stated in it as against all persons claiming to be entitled to the Share. The certificate shall (subject to the execution of an instrument of transfer) constitute a good title to the Share and the person to whom the Share is sold or otherwise disposed of shall not be bound to see to the application of the purchase money, if any, nor shall his title to the Share be affected by any irregularity or invalidity in the proceedings in reference to the forfeiture, sale or disposal of the Share.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15.6</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provisions of the Articles as to forfeiture shall apply in the case of non payment of any sum which, by the terms of issue of a Share, becomes payable at a fixed time, whether on account of the par value of the Share or by way of premium as if it had been payable by virtue of a call duly made and notified.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9697"/>
      </w:tblGrid>
      <w:tr>
        <w:trPr/>
        <w:tc>
          <w:tcPr>
            <w:tcW w:w="508" w:type="dxa"/>
            <w:tcBorders/>
            <w:shd w:fill="auto" w:val="clear"/>
          </w:tcPr>
          <w:p>
            <w:pPr>
              <w:pStyle w:val="TableContents"/>
              <w:spacing w:before="0" w:after="283"/>
              <w:jc w:val="left"/>
              <w:rPr>
                <w:b/>
              </w:rPr>
            </w:pPr>
            <w:r>
              <w:rPr>
                <w:b/>
              </w:rPr>
              <w:t>16</w:t>
            </w:r>
          </w:p>
        </w:tc>
        <w:tc>
          <w:tcPr>
            <w:tcW w:w="9697"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Transmission of Shares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16.1</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a Member dies the survivor or survivors (where he was a joint holder) or his legal personal representatives (where he was a sole holder), shall be the only persons recognised by the Company as having any title to his Shares. The estate of a deceased Member is not thereby released from any liability in respect of any Share, for which he was a joint or sole holder.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9695"/>
      </w:tblGrid>
      <w:tr>
        <w:trPr/>
        <w:tc>
          <w:tcPr>
            <w:tcW w:w="510" w:type="dxa"/>
            <w:tcBorders/>
            <w:shd w:fill="auto" w:val="clear"/>
          </w:tcPr>
          <w:p>
            <w:pPr>
              <w:pStyle w:val="TableContents"/>
              <w:spacing w:before="0" w:after="283"/>
              <w:jc w:val="left"/>
              <w:rPr/>
            </w:pPr>
            <w:r>
              <w:rPr/>
              <w:t>16.2</w:t>
            </w:r>
          </w:p>
        </w:tc>
        <w:tc>
          <w:tcPr>
            <w:tcW w:w="969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person becoming entitled to a Share in consequence of the death or bankruptcy or liquidation or dissolution of a Member (or in any other way than by transfer) may, upon such evidence being produced as may be required by the Directors, elect, by a notice in writing sent by him to the Company, either to become the holder of such Share or to have some person nominated by him registered as the holder of such Share. If he elects to have another person registered as the holder of such Share he shall sign an instrument of transfer of that Share to that person. The Directors shall, in either case, have the same right to decline or suspend registration as they would have had in the case of a transfer of the Share by the relevant Member before his death or bankruptcy or liquidation or dissolution, as the case may be.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16.3</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person becoming entitled to a Share by reason of the death or bankruptcy or liquidation or dissolution of a Member (or in any other case than by transfer) shall be entitled to the same Dividends, other distributions and other advantages to which he would be entitled if he were the holder of such Share. However, he shall not, before becoming a Member in respect of a Share, be entitled in respect of it to exercise any right conferred by membership in relation to general meetings of the Company and the Directors may at any time give notice requiring any such person to elect either to be registered himself or to have some person nominated by him be registered as the holder of the Share (but the Directors shall, in either case, have the same right to decline or suspend registration as they would have had in the case of a transfer of the Share by the relevant Member before his death or bankruptcy or liquidation or dissolution or any other case than by transfer, as </w:t>
            </w:r>
          </w:p>
        </w:tc>
      </w:tr>
    </w:tbl>
    <w:p>
      <w:pPr>
        <w:pStyle w:val="TextBody"/>
        <w:spacing w:before="0" w:after="0"/>
        <w:jc w:val="left"/>
        <w:rPr/>
      </w:pPr>
      <w:r>
        <w:rPr/>
        <w:t> </w:t>
      </w:r>
    </w:p>
    <w:p>
      <w:pPr>
        <w:pStyle w:val="TextBody"/>
        <w:spacing w:before="0" w:after="0"/>
        <w:jc w:val="right"/>
        <w:rPr>
          <w:rFonts w:ascii="Times New Roman" w:hAnsi="Times New Roman"/>
          <w:sz w:val="20"/>
        </w:rPr>
      </w:pPr>
      <w:r>
        <w:rPr>
          <w:rFonts w:ascii="Times New Roman" w:hAnsi="Times New Roman"/>
          <w:sz w:val="20"/>
        </w:rPr>
        <w:t xml:space="preserve">10 </w:t>
      </w:r>
    </w:p>
    <w:p>
      <w:pPr>
        <w:pStyle w:val="TextBody"/>
        <w:spacing w:before="80" w:after="0"/>
        <w:jc w:val="right"/>
        <w:rPr>
          <w:rFonts w:ascii="Times New Roman" w:hAnsi="Times New Roman"/>
          <w:sz w:val="20"/>
        </w:rPr>
      </w:pPr>
      <w:r>
        <w:rPr>
          <w:rFonts w:ascii="Times New Roman" w:hAnsi="Times New Roman"/>
          <w:i/>
          <w:sz w:val="20"/>
        </w:rPr>
        <w:t>Auth Code: H70275751251</w:t>
      </w:r>
      <w:r>
        <w:rPr>
          <w:rFonts w:ascii="Times New Roman" w:hAnsi="Times New Roman"/>
          <w:sz w:val="20"/>
        </w:rPr>
        <w:t xml:space="preserve"> </w:t>
      </w:r>
    </w:p>
    <w:p>
      <w:pPr>
        <w:pStyle w:val="TextBody"/>
        <w:spacing w:before="0" w:after="0"/>
        <w:jc w:val="right"/>
        <w:rPr>
          <w:rFonts w:ascii="Times New Roman" w:hAnsi="Times New Roman"/>
          <w:sz w:val="20"/>
        </w:rPr>
      </w:pPr>
      <w:r>
        <w:rPr>
          <w:rFonts w:ascii="Times New Roman" w:hAnsi="Times New Roman"/>
          <w:i/>
          <w:sz w:val="20"/>
        </w:rPr>
        <w:t>www.verify.gov.ky</w:t>
      </w:r>
      <w:r>
        <w:rPr>
          <w:rFonts w:ascii="Times New Roman" w:hAnsi="Times New Roman"/>
          <w:sz w:val="20"/>
        </w:rPr>
        <w:t xml:space="preserve"> </w:t>
      </w:r>
      <w:r>
        <w:br w:type="page"/>
      </w:r>
    </w:p>
    <w:p>
      <w:pPr>
        <w:pStyle w:val="HorizontalLine"/>
        <w:pBdr>
          <w:bottom w:val="double" w:sz="6" w:space="0" w:color="808080"/>
        </w:pBdr>
        <w:rPr/>
      </w:pPr>
      <w:r>
        <w:rPr/>
      </w:r>
    </w:p>
    <w:p>
      <w:pPr>
        <w:pStyle w:val="TextBody"/>
        <w:spacing w:before="0" w:after="0"/>
        <w:jc w:val="right"/>
        <w:rPr/>
      </w:pPr>
      <w:r>
        <w:rPr/>
        <w:drawing>
          <wp:inline distT="0" distB="0" distL="0" distR="0">
            <wp:extent cx="914400" cy="91440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914400" cy="914400"/>
                    </a:xfrm>
                    <a:prstGeom prst="rect">
                      <a:avLst/>
                    </a:prstGeom>
                  </pic:spPr>
                </pic:pic>
              </a:graphicData>
            </a:graphic>
          </wp:inline>
        </w:drawing>
      </w:r>
      <w:r>
        <w:rPr/>
        <w:t xml:space="preserve">              </w:t>
      </w:r>
    </w:p>
    <w:p>
      <w:pPr>
        <w:pStyle w:val="TextBody"/>
        <w:spacing w:before="20" w:after="0"/>
        <w:jc w:val="right"/>
        <w:rPr>
          <w:rFonts w:ascii="Times New Roman" w:hAnsi="Times New Roman"/>
          <w:sz w:val="20"/>
        </w:rPr>
      </w:pPr>
      <w:r>
        <w:rPr>
          <w:rFonts w:ascii="Times New Roman" w:hAnsi="Times New Roman"/>
          <w:b/>
          <w:i/>
          <w:sz w:val="20"/>
        </w:rPr>
        <w:t>EXEMPTED</w:t>
      </w:r>
      <w:r>
        <w:rPr>
          <w:rFonts w:ascii="Times New Roman" w:hAnsi="Times New Roman"/>
          <w:sz w:val="20"/>
        </w:rPr>
        <w:t xml:space="preserve"> </w:t>
      </w:r>
      <w:r>
        <w:rPr>
          <w:rFonts w:ascii="Times New Roman" w:hAnsi="Times New Roman"/>
          <w:i/>
          <w:sz w:val="20"/>
        </w:rPr>
        <w:t>Company Registered and</w:t>
      </w:r>
      <w:r>
        <w:rPr>
          <w:rFonts w:ascii="Times New Roman" w:hAnsi="Times New Roman"/>
          <w:sz w:val="20"/>
        </w:rPr>
        <w:t xml:space="preserve"> </w:t>
      </w:r>
    </w:p>
    <w:p>
      <w:pPr>
        <w:pStyle w:val="TextBody"/>
        <w:spacing w:before="20" w:after="0"/>
        <w:jc w:val="right"/>
        <w:rPr>
          <w:rFonts w:ascii="Times New Roman" w:hAnsi="Times New Roman"/>
          <w:sz w:val="20"/>
        </w:rPr>
      </w:pPr>
      <w:r>
        <w:rPr>
          <w:rFonts w:ascii="Times New Roman" w:hAnsi="Times New Roman"/>
          <w:i/>
          <w:sz w:val="20"/>
        </w:rPr>
        <w:t>filed as No. 370146 On 13-Jan-2021</w:t>
      </w:r>
      <w:r>
        <w:rPr>
          <w:rFonts w:ascii="Times New Roman" w:hAnsi="Times New Roman"/>
          <w:sz w:val="20"/>
        </w:rPr>
        <w:t xml:space="preserve"> </w:t>
      </w:r>
    </w:p>
    <w:p>
      <w:pPr>
        <w:pStyle w:val="TextBody"/>
        <w:spacing w:before="0" w:after="0"/>
        <w:jc w:val="left"/>
        <w:rPr/>
      </w:pPr>
      <w:r>
        <w:rPr/>
        <w:t> </w:t>
      </w:r>
    </w:p>
    <w:p>
      <w:pPr>
        <w:pStyle w:val="TextBody"/>
        <w:spacing w:before="0" w:after="0"/>
        <w:jc w:val="right"/>
        <w:rPr/>
      </w:pPr>
      <w:r>
        <w:rPr/>
        <w:drawing>
          <wp:inline distT="0" distB="0" distL="0" distR="0">
            <wp:extent cx="447675" cy="36195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447675" cy="361950"/>
                    </a:xfrm>
                    <a:prstGeom prst="rect">
                      <a:avLst/>
                    </a:prstGeom>
                  </pic:spPr>
                </pic:pic>
              </a:graphicData>
            </a:graphic>
          </wp:inline>
        </w:drawing>
      </w:r>
      <w:r>
        <w:rPr/>
        <w:t xml:space="preserve">                                           </w:t>
      </w:r>
    </w:p>
    <w:p>
      <w:pPr>
        <w:pStyle w:val="TextBody"/>
        <w:spacing w:before="0" w:after="0"/>
        <w:jc w:val="right"/>
        <w:rPr>
          <w:rFonts w:ascii="Times New Roman" w:hAnsi="Times New Roman"/>
          <w:sz w:val="20"/>
        </w:rPr>
      </w:pPr>
      <w:r>
        <w:rPr>
          <w:rFonts w:ascii="Times New Roman" w:hAnsi="Times New Roman"/>
          <w:i/>
          <w:sz w:val="20"/>
        </w:rPr>
        <w:t>Acting Assistant Registrar</w:t>
      </w:r>
      <w:r>
        <w:rPr>
          <w:rFonts w:ascii="Times New Roman" w:hAnsi="Times New Roman"/>
          <w:sz w:val="20"/>
        </w:rPr>
        <w:t xml:space="preserv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7"/>
        <w:gridCol w:w="9698"/>
      </w:tblGrid>
      <w:tr>
        <w:trPr/>
        <w:tc>
          <w:tcPr>
            <w:tcW w:w="507" w:type="dxa"/>
            <w:tcBorders/>
            <w:shd w:fill="auto" w:val="clear"/>
            <w:vAlign w:val="center"/>
          </w:tcPr>
          <w:p>
            <w:pPr>
              <w:pStyle w:val="TableContents"/>
              <w:spacing w:before="0" w:after="283"/>
              <w:rPr/>
            </w:pPr>
            <w:r>
              <w:rPr/>
              <w:t> </w:t>
            </w:r>
          </w:p>
        </w:tc>
        <w:tc>
          <w:tcPr>
            <w:tcW w:w="9698" w:type="dxa"/>
            <w:tcBorders/>
            <w:shd w:fill="auto" w:val="clear"/>
          </w:tcPr>
          <w:p>
            <w:pPr>
              <w:pStyle w:val="TableContents"/>
              <w:spacing w:before="0" w:after="283"/>
              <w:jc w:val="left"/>
              <w:rPr/>
            </w:pPr>
            <w:r>
              <w:rPr/>
              <w:t xml:space="preserve">the case may be). If the notice is not complied with within ninety days of being received or deemed to be received (as determined pursuant to the Articles) the Directors may thereafter withhold payment of all Dividends, other distributions, bonuses or other monies payable in respect of the Share until the requirements of the notice have been complied with.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b/>
              </w:rPr>
            </w:pPr>
            <w:r>
              <w:rPr>
                <w:b/>
              </w:rPr>
              <w:t>17</w:t>
            </w:r>
          </w:p>
        </w:tc>
        <w:tc>
          <w:tcPr>
            <w:tcW w:w="9696"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Class B Ordinary Share Conversion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17.1</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rights attaching to the Class A Shares and Class B Shares shall rank </w:t>
            </w:r>
            <w:r>
              <w:rPr>
                <w:rFonts w:ascii="Times New Roman" w:hAnsi="Times New Roman"/>
                <w:i/>
                <w:sz w:val="20"/>
              </w:rPr>
              <w:t xml:space="preserve">pari passu </w:t>
            </w:r>
            <w:r>
              <w:rPr>
                <w:rFonts w:ascii="Times New Roman" w:hAnsi="Times New Roman"/>
                <w:sz w:val="20"/>
              </w:rPr>
              <w:t xml:space="preserve">in all respects, and the Class A Shares and Class B Shares shall vote together as a single class on all matters (subject to the Variation of Rights of Shares Article) with the exception that the holder of a Class B Share shall have the conversion rights referred to in this Article.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17.2</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Class B Shares shall automatically convert into Class A Shares on a one-for-one basis (the </w:t>
            </w:r>
            <w:r>
              <w:rPr>
                <w:rFonts w:ascii="Times New Roman" w:hAnsi="Times New Roman"/>
                <w:b/>
                <w:sz w:val="20"/>
              </w:rPr>
              <w:t>Initial Conversion Ratio</w:t>
            </w:r>
            <w:r>
              <w:rPr>
                <w:rFonts w:ascii="Times New Roman" w:hAnsi="Times New Roman"/>
                <w:sz w:val="20"/>
              </w:rPr>
              <w:t xml:space="preserve">): (a) at any time and from time to time at the option of the holders thereof; and (b) automatically on the day of the closing of a Business Combination.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17.3</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Notwithstanding the Initial Conversion Ratio, in the case that additional Class A Shares or any other Equity-linked Securities, are issued, or deemed issued, by the Company in excess of the amounts offered in the IPO and related to the closing of a Business Combination, all Class B Shares in issue shall automatically convert into Class A Shares at the time of the closing of a Business Combination at a ratio for which the Class B Shares shall convert into Class A Shares will be adjusted (unless the holders of a majority of the Class B Shares in issue agree to waive such anti-dilution adjustment with respect to any such issuance or deemed issuance) so that the number of Class A Shares issuable upon conversion of all Class B Shares will equal, on an as-converted basis, in the aggregate, 20 per cent of the sum of all Class A Shares and Class B Shares in issue upon completion of the IPO plus all Class A Shares and Equity-linked Securities issued or deemed issued in connection with a Business Combination, excluding any Shares or Equity-linked Securities issued, or to be issued, to any seller in a Business Combination and any private placement warrants issued to the Sponsor or its Affiliates upon conversion of working capital loans made to the Company.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17.4</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Notwithstanding anything to the contrary contained herein, the foregoing adjustment to the Initial Conversion Ratio may be waived as to any particular issuance or deemed issuance of additional Class A Shares or Equity-linked Securities by the written consent or agreement of holders of a majority of the Class B Shares then in issue consenting or agreeing separately as a separate class in the manner provided in the Variation of Rights of Shares Article hereof.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17.5</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foregoing conversion ratio shall also be adjusted to account for any subdivision (by share subdivision, exchange, capitalisation, rights issue, reclassification, recapitalisation or otherwise) or combination (by share consolidation, exchange, reclassification, recapitalisation or otherwise) or similar reclassification or recapitalisation of the Class A Shares in issue into a greater or lesser number of shares occurring after the original filing of the Articles without a proportionate and corresponding subdivision, combination or similar reclassification or recapitalisation of the Class B Shares in issue. </w:t>
            </w:r>
          </w:p>
        </w:tc>
      </w:tr>
    </w:tbl>
    <w:p>
      <w:pPr>
        <w:pStyle w:val="TextBody"/>
        <w:spacing w:before="0" w:after="0"/>
        <w:jc w:val="left"/>
        <w:rPr/>
      </w:pPr>
      <w:r>
        <w:rPr/>
        <w:t> </w:t>
      </w:r>
    </w:p>
    <w:p>
      <w:pPr>
        <w:pStyle w:val="TextBody"/>
        <w:spacing w:before="0" w:after="0"/>
        <w:jc w:val="right"/>
        <w:rPr>
          <w:rFonts w:ascii="Times New Roman" w:hAnsi="Times New Roman"/>
          <w:sz w:val="20"/>
        </w:rPr>
      </w:pPr>
      <w:r>
        <w:rPr>
          <w:rFonts w:ascii="Times New Roman" w:hAnsi="Times New Roman"/>
          <w:sz w:val="20"/>
        </w:rPr>
        <w:t xml:space="preserve">11 </w:t>
      </w:r>
    </w:p>
    <w:p>
      <w:pPr>
        <w:pStyle w:val="TextBody"/>
        <w:spacing w:before="80" w:after="0"/>
        <w:jc w:val="right"/>
        <w:rPr>
          <w:rFonts w:ascii="Times New Roman" w:hAnsi="Times New Roman"/>
          <w:sz w:val="20"/>
        </w:rPr>
      </w:pPr>
      <w:r>
        <w:rPr>
          <w:rFonts w:ascii="Times New Roman" w:hAnsi="Times New Roman"/>
          <w:i/>
          <w:sz w:val="20"/>
        </w:rPr>
        <w:t>Auth Code: H70275751251</w:t>
      </w:r>
      <w:r>
        <w:rPr>
          <w:rFonts w:ascii="Times New Roman" w:hAnsi="Times New Roman"/>
          <w:sz w:val="20"/>
        </w:rPr>
        <w:t xml:space="preserve"> </w:t>
      </w:r>
    </w:p>
    <w:p>
      <w:pPr>
        <w:pStyle w:val="TextBody"/>
        <w:spacing w:before="0" w:after="0"/>
        <w:jc w:val="right"/>
        <w:rPr>
          <w:rFonts w:ascii="Times New Roman" w:hAnsi="Times New Roman"/>
          <w:sz w:val="20"/>
        </w:rPr>
      </w:pPr>
      <w:r>
        <w:rPr>
          <w:rFonts w:ascii="Times New Roman" w:hAnsi="Times New Roman"/>
          <w:i/>
          <w:sz w:val="20"/>
        </w:rPr>
        <w:t>www.verify.gov.ky</w:t>
      </w:r>
      <w:r>
        <w:rPr>
          <w:rFonts w:ascii="Times New Roman" w:hAnsi="Times New Roman"/>
          <w:sz w:val="20"/>
        </w:rPr>
        <w:t xml:space="preserve"> </w:t>
      </w:r>
      <w:r>
        <w:br w:type="page"/>
      </w:r>
    </w:p>
    <w:p>
      <w:pPr>
        <w:pStyle w:val="HorizontalLine"/>
        <w:pBdr>
          <w:bottom w:val="double" w:sz="6" w:space="0" w:color="808080"/>
        </w:pBdr>
        <w:rPr/>
      </w:pPr>
      <w:r>
        <w:rPr/>
      </w:r>
    </w:p>
    <w:p>
      <w:pPr>
        <w:pStyle w:val="TextBody"/>
        <w:spacing w:before="0" w:after="0"/>
        <w:jc w:val="right"/>
        <w:rPr/>
      </w:pPr>
      <w:r>
        <w:rPr/>
        <w:drawing>
          <wp:inline distT="0" distB="0" distL="0" distR="0">
            <wp:extent cx="914400" cy="91440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914400" cy="914400"/>
                    </a:xfrm>
                    <a:prstGeom prst="rect">
                      <a:avLst/>
                    </a:prstGeom>
                  </pic:spPr>
                </pic:pic>
              </a:graphicData>
            </a:graphic>
          </wp:inline>
        </w:drawing>
      </w:r>
      <w:r>
        <w:rPr/>
        <w:t xml:space="preserve">              </w:t>
      </w:r>
    </w:p>
    <w:p>
      <w:pPr>
        <w:pStyle w:val="TextBody"/>
        <w:spacing w:before="20" w:after="0"/>
        <w:jc w:val="right"/>
        <w:rPr>
          <w:rFonts w:ascii="Times New Roman" w:hAnsi="Times New Roman"/>
          <w:sz w:val="20"/>
        </w:rPr>
      </w:pPr>
      <w:r>
        <w:rPr>
          <w:rFonts w:ascii="Times New Roman" w:hAnsi="Times New Roman"/>
          <w:b/>
          <w:i/>
          <w:sz w:val="20"/>
        </w:rPr>
        <w:t>EXEMPTED</w:t>
      </w:r>
      <w:r>
        <w:rPr>
          <w:rFonts w:ascii="Times New Roman" w:hAnsi="Times New Roman"/>
          <w:sz w:val="20"/>
        </w:rPr>
        <w:t xml:space="preserve"> </w:t>
      </w:r>
      <w:r>
        <w:rPr>
          <w:rFonts w:ascii="Times New Roman" w:hAnsi="Times New Roman"/>
          <w:i/>
          <w:sz w:val="20"/>
        </w:rPr>
        <w:t>Company Registered and</w:t>
      </w:r>
      <w:r>
        <w:rPr>
          <w:rFonts w:ascii="Times New Roman" w:hAnsi="Times New Roman"/>
          <w:sz w:val="20"/>
        </w:rPr>
        <w:t xml:space="preserve"> </w:t>
      </w:r>
    </w:p>
    <w:p>
      <w:pPr>
        <w:pStyle w:val="TextBody"/>
        <w:spacing w:before="20" w:after="0"/>
        <w:jc w:val="right"/>
        <w:rPr>
          <w:rFonts w:ascii="Times New Roman" w:hAnsi="Times New Roman"/>
          <w:sz w:val="20"/>
        </w:rPr>
      </w:pPr>
      <w:r>
        <w:rPr>
          <w:rFonts w:ascii="Times New Roman" w:hAnsi="Times New Roman"/>
          <w:i/>
          <w:sz w:val="20"/>
        </w:rPr>
        <w:t>filed as No. 370146 On 13-Jan-2021</w:t>
      </w:r>
      <w:r>
        <w:rPr>
          <w:rFonts w:ascii="Times New Roman" w:hAnsi="Times New Roman"/>
          <w:sz w:val="20"/>
        </w:rPr>
        <w:t xml:space="preserve"> </w:t>
      </w:r>
    </w:p>
    <w:p>
      <w:pPr>
        <w:pStyle w:val="TextBody"/>
        <w:spacing w:before="0" w:after="0"/>
        <w:jc w:val="left"/>
        <w:rPr/>
      </w:pPr>
      <w:r>
        <w:rPr/>
        <w:t> </w:t>
      </w:r>
    </w:p>
    <w:p>
      <w:pPr>
        <w:pStyle w:val="TextBody"/>
        <w:spacing w:before="0" w:after="0"/>
        <w:jc w:val="right"/>
        <w:rPr/>
      </w:pPr>
      <w:r>
        <w:rPr/>
        <w:drawing>
          <wp:inline distT="0" distB="0" distL="0" distR="0">
            <wp:extent cx="447675" cy="36195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447675" cy="361950"/>
                    </a:xfrm>
                    <a:prstGeom prst="rect">
                      <a:avLst/>
                    </a:prstGeom>
                  </pic:spPr>
                </pic:pic>
              </a:graphicData>
            </a:graphic>
          </wp:inline>
        </w:drawing>
      </w:r>
      <w:r>
        <w:rPr/>
        <w:t xml:space="preserve">                                           </w:t>
      </w:r>
    </w:p>
    <w:p>
      <w:pPr>
        <w:pStyle w:val="TextBody"/>
        <w:spacing w:before="0" w:after="0"/>
        <w:jc w:val="right"/>
        <w:rPr>
          <w:rFonts w:ascii="Times New Roman" w:hAnsi="Times New Roman"/>
          <w:sz w:val="20"/>
        </w:rPr>
      </w:pPr>
      <w:r>
        <w:rPr>
          <w:rFonts w:ascii="Times New Roman" w:hAnsi="Times New Roman"/>
          <w:i/>
          <w:sz w:val="20"/>
        </w:rPr>
        <w:t>Acting Assistant Registrar</w:t>
      </w:r>
      <w:r>
        <w:rPr>
          <w:rFonts w:ascii="Times New Roman" w:hAnsi="Times New Roman"/>
          <w:sz w:val="20"/>
        </w:rPr>
        <w:t xml:space="preserv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17.6</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Each Class B Share shall convert into its pro rata number of Class A Shares pursuant to this Article. The pro rata share for each holder of Class B Shares will be determined as follows: each Class B Share shall convert into such number of Class A Shares as is equal to the product of 1 multiplied by a fraction, the numerator of which shall be the total number of Class A Shares into which all of the Class B Shares in issue shall be converted pursuant to this Article and the denominator of which shall be the total number of Class B Shares in issue at the time of conversion.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17.7</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References in this Article to </w:t>
            </w:r>
            <w:r>
              <w:rPr>
                <w:rFonts w:ascii="Times New Roman" w:hAnsi="Times New Roman"/>
                <w:b/>
                <w:sz w:val="20"/>
              </w:rPr>
              <w:t>converted</w:t>
            </w:r>
            <w:r>
              <w:rPr>
                <w:rFonts w:ascii="Times New Roman" w:hAnsi="Times New Roman"/>
                <w:sz w:val="20"/>
              </w:rPr>
              <w:t>, </w:t>
            </w:r>
            <w:r>
              <w:rPr>
                <w:rFonts w:ascii="Times New Roman" w:hAnsi="Times New Roman"/>
                <w:b/>
                <w:sz w:val="20"/>
              </w:rPr>
              <w:t>conversion</w:t>
            </w:r>
            <w:r>
              <w:rPr>
                <w:rFonts w:ascii="Times New Roman" w:hAnsi="Times New Roman"/>
                <w:sz w:val="20"/>
              </w:rPr>
              <w:t> or </w:t>
            </w:r>
            <w:r>
              <w:rPr>
                <w:rFonts w:ascii="Times New Roman" w:hAnsi="Times New Roman"/>
                <w:b/>
                <w:sz w:val="20"/>
              </w:rPr>
              <w:t>exchange</w:t>
            </w:r>
            <w:r>
              <w:rPr>
                <w:rFonts w:ascii="Times New Roman" w:hAnsi="Times New Roman"/>
                <w:sz w:val="20"/>
              </w:rPr>
              <w:t xml:space="preserve"> shall mean the compulsory redemption without notice of Class B Shares of any Member and, on behalf of such Members, automatic application of such redemption proceeds in paying for such new Class A Shares into which the Class B Shares have been converted or exchanged at a price per Class B Share necessary to give effect to a conversion or exchange calculated on the basis that the Class A Shares to be issued as part of the conversion or exchange will be issued at par. The Class A Shares to be issued on an exchange or conversion shall be registered in the name of such Member or in such name as the Member may direct.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17.8</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Notwithstanding anything to the contrary in this Article, in no event may any Class B Share convert into Class A Shares at a ratio that is less than one-for-one.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9697"/>
      </w:tblGrid>
      <w:tr>
        <w:trPr/>
        <w:tc>
          <w:tcPr>
            <w:tcW w:w="508" w:type="dxa"/>
            <w:tcBorders/>
            <w:shd w:fill="auto" w:val="clear"/>
          </w:tcPr>
          <w:p>
            <w:pPr>
              <w:pStyle w:val="TableContents"/>
              <w:spacing w:before="0" w:after="283"/>
              <w:jc w:val="left"/>
              <w:rPr>
                <w:b/>
              </w:rPr>
            </w:pPr>
            <w:r>
              <w:rPr>
                <w:b/>
              </w:rPr>
              <w:t>18</w:t>
            </w:r>
          </w:p>
        </w:tc>
        <w:tc>
          <w:tcPr>
            <w:tcW w:w="9697"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Amendments of Memorandum and Articles of Association and Alteration of Capital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18.1</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Company may by Ordinary Resolution: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612"/>
        <w:gridCol w:w="9085"/>
      </w:tblGrid>
      <w:tr>
        <w:trPr/>
        <w:tc>
          <w:tcPr>
            <w:tcW w:w="508" w:type="dxa"/>
            <w:tcBorders/>
            <w:shd w:fill="auto" w:val="clear"/>
            <w:vAlign w:val="center"/>
          </w:tcPr>
          <w:p>
            <w:pPr>
              <w:pStyle w:val="TableContents"/>
              <w:spacing w:before="0" w:after="283"/>
              <w:rPr/>
            </w:pPr>
            <w:r>
              <w:rPr/>
              <w:t> </w:t>
            </w:r>
          </w:p>
        </w:tc>
        <w:tc>
          <w:tcPr>
            <w:tcW w:w="612" w:type="dxa"/>
            <w:tcBorders/>
            <w:shd w:fill="auto" w:val="clear"/>
          </w:tcPr>
          <w:p>
            <w:pPr>
              <w:pStyle w:val="TableContents"/>
              <w:spacing w:before="0" w:after="283"/>
              <w:jc w:val="left"/>
              <w:rPr/>
            </w:pPr>
            <w:r>
              <w:rPr/>
              <w:t>(a)</w:t>
            </w:r>
          </w:p>
        </w:tc>
        <w:tc>
          <w:tcPr>
            <w:tcW w:w="908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increase its share capital by such sum as the Ordinary Resolution shall prescribe and with such rights, priorities and privileges annexed thereto, as the Company in general meeting may determine;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610"/>
        <w:gridCol w:w="9086"/>
      </w:tblGrid>
      <w:tr>
        <w:trPr/>
        <w:tc>
          <w:tcPr>
            <w:tcW w:w="509" w:type="dxa"/>
            <w:tcBorders/>
            <w:shd w:fill="auto" w:val="clear"/>
            <w:vAlign w:val="center"/>
          </w:tcPr>
          <w:p>
            <w:pPr>
              <w:pStyle w:val="TableContents"/>
              <w:spacing w:before="0" w:after="283"/>
              <w:rPr/>
            </w:pPr>
            <w:r>
              <w:rPr/>
              <w:t> </w:t>
            </w:r>
          </w:p>
        </w:tc>
        <w:tc>
          <w:tcPr>
            <w:tcW w:w="610" w:type="dxa"/>
            <w:tcBorders/>
            <w:shd w:fill="auto" w:val="clear"/>
          </w:tcPr>
          <w:p>
            <w:pPr>
              <w:pStyle w:val="TableContents"/>
              <w:spacing w:before="0" w:after="283"/>
              <w:jc w:val="left"/>
              <w:rPr/>
            </w:pPr>
            <w:r>
              <w:rPr/>
              <w:t>(b)</w:t>
            </w:r>
          </w:p>
        </w:tc>
        <w:tc>
          <w:tcPr>
            <w:tcW w:w="908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consolidate and divide all or any of its share capital into Shares of larger amount than its existing Shares;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609"/>
        <w:gridCol w:w="9086"/>
      </w:tblGrid>
      <w:tr>
        <w:trPr/>
        <w:tc>
          <w:tcPr>
            <w:tcW w:w="510" w:type="dxa"/>
            <w:tcBorders/>
            <w:shd w:fill="auto" w:val="clear"/>
            <w:vAlign w:val="center"/>
          </w:tcPr>
          <w:p>
            <w:pPr>
              <w:pStyle w:val="TableContents"/>
              <w:spacing w:before="0" w:after="283"/>
              <w:rPr/>
            </w:pPr>
            <w:r>
              <w:rPr/>
              <w:t> </w:t>
            </w:r>
          </w:p>
        </w:tc>
        <w:tc>
          <w:tcPr>
            <w:tcW w:w="609" w:type="dxa"/>
            <w:tcBorders/>
            <w:shd w:fill="auto" w:val="clear"/>
          </w:tcPr>
          <w:p>
            <w:pPr>
              <w:pStyle w:val="TableContents"/>
              <w:spacing w:before="0" w:after="283"/>
              <w:jc w:val="left"/>
              <w:rPr/>
            </w:pPr>
            <w:r>
              <w:rPr/>
              <w:t>(c)</w:t>
            </w:r>
          </w:p>
        </w:tc>
        <w:tc>
          <w:tcPr>
            <w:tcW w:w="908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convert all or any of its paid-up Shares into stock, and reconvert that stock into paid-up Shares of any denomination;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612"/>
        <w:gridCol w:w="9084"/>
      </w:tblGrid>
      <w:tr>
        <w:trPr/>
        <w:tc>
          <w:tcPr>
            <w:tcW w:w="509" w:type="dxa"/>
            <w:tcBorders/>
            <w:shd w:fill="auto" w:val="clear"/>
            <w:vAlign w:val="center"/>
          </w:tcPr>
          <w:p>
            <w:pPr>
              <w:pStyle w:val="TableContents"/>
              <w:spacing w:before="0" w:after="283"/>
              <w:rPr/>
            </w:pPr>
            <w:r>
              <w:rPr/>
              <w:t> </w:t>
            </w:r>
          </w:p>
        </w:tc>
        <w:tc>
          <w:tcPr>
            <w:tcW w:w="612" w:type="dxa"/>
            <w:tcBorders/>
            <w:shd w:fill="auto" w:val="clear"/>
          </w:tcPr>
          <w:p>
            <w:pPr>
              <w:pStyle w:val="TableContents"/>
              <w:spacing w:before="0" w:after="283"/>
              <w:jc w:val="left"/>
              <w:rPr/>
            </w:pPr>
            <w:r>
              <w:rPr/>
              <w:t>(d)</w:t>
            </w:r>
          </w:p>
        </w:tc>
        <w:tc>
          <w:tcPr>
            <w:tcW w:w="908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by subdivision of its existing Shares or any of them divide the whole or any part of its share capital into Shares of smaller amount than is fixed by the Memorandum or into Shares without par value;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612"/>
        <w:gridCol w:w="9085"/>
      </w:tblGrid>
      <w:tr>
        <w:trPr/>
        <w:tc>
          <w:tcPr>
            <w:tcW w:w="508" w:type="dxa"/>
            <w:tcBorders/>
            <w:shd w:fill="auto" w:val="clear"/>
            <w:vAlign w:val="center"/>
          </w:tcPr>
          <w:p>
            <w:pPr>
              <w:pStyle w:val="TableContents"/>
              <w:spacing w:before="0" w:after="283"/>
              <w:rPr/>
            </w:pPr>
            <w:r>
              <w:rPr/>
              <w:t> </w:t>
            </w:r>
          </w:p>
        </w:tc>
        <w:tc>
          <w:tcPr>
            <w:tcW w:w="612" w:type="dxa"/>
            <w:tcBorders/>
            <w:shd w:fill="auto" w:val="clear"/>
          </w:tcPr>
          <w:p>
            <w:pPr>
              <w:pStyle w:val="TableContents"/>
              <w:spacing w:before="0" w:after="283"/>
              <w:jc w:val="left"/>
              <w:rPr/>
            </w:pPr>
            <w:r>
              <w:rPr/>
              <w:t>(e)</w:t>
            </w:r>
          </w:p>
        </w:tc>
        <w:tc>
          <w:tcPr>
            <w:tcW w:w="908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cancel any Shares that at the date of the passing of the Ordinary Resolution have not been taken or agreed to be taken by any person and diminish the amount of its share capital by the amount of the Shares so cancelled.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18.2</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All new Shares created in accordance with the provisions of the preceding Article shall be subject to the same provisions of the Articles with reference to the payment of calls, liens, transfer, transmission, forfeiture and otherwise as the Shares in the original share capital. </w:t>
            </w:r>
          </w:p>
        </w:tc>
      </w:tr>
    </w:tbl>
    <w:p>
      <w:pPr>
        <w:pStyle w:val="TextBody"/>
        <w:spacing w:before="0" w:after="0"/>
        <w:jc w:val="left"/>
        <w:rPr/>
      </w:pPr>
      <w:r>
        <w:rPr/>
        <w:t> </w:t>
      </w:r>
    </w:p>
    <w:p>
      <w:pPr>
        <w:pStyle w:val="TextBody"/>
        <w:spacing w:before="0" w:after="0"/>
        <w:jc w:val="right"/>
        <w:rPr>
          <w:rFonts w:ascii="Times New Roman" w:hAnsi="Times New Roman"/>
          <w:sz w:val="20"/>
        </w:rPr>
      </w:pPr>
      <w:r>
        <w:rPr>
          <w:rFonts w:ascii="Times New Roman" w:hAnsi="Times New Roman"/>
          <w:sz w:val="20"/>
        </w:rPr>
        <w:t xml:space="preserve">12 </w:t>
      </w:r>
    </w:p>
    <w:p>
      <w:pPr>
        <w:pStyle w:val="TextBody"/>
        <w:spacing w:before="80" w:after="0"/>
        <w:jc w:val="right"/>
        <w:rPr>
          <w:rFonts w:ascii="Times New Roman" w:hAnsi="Times New Roman"/>
          <w:sz w:val="20"/>
        </w:rPr>
      </w:pPr>
      <w:r>
        <w:rPr>
          <w:rFonts w:ascii="Times New Roman" w:hAnsi="Times New Roman"/>
          <w:i/>
          <w:sz w:val="20"/>
        </w:rPr>
        <w:t>Auth Code: H70275751251</w:t>
      </w:r>
      <w:r>
        <w:rPr>
          <w:rFonts w:ascii="Times New Roman" w:hAnsi="Times New Roman"/>
          <w:sz w:val="20"/>
        </w:rPr>
        <w:t xml:space="preserve"> </w:t>
      </w:r>
    </w:p>
    <w:p>
      <w:pPr>
        <w:pStyle w:val="TextBody"/>
        <w:spacing w:before="0" w:after="0"/>
        <w:jc w:val="right"/>
        <w:rPr>
          <w:rFonts w:ascii="Times New Roman" w:hAnsi="Times New Roman"/>
          <w:sz w:val="20"/>
        </w:rPr>
      </w:pPr>
      <w:r>
        <w:rPr>
          <w:rFonts w:ascii="Times New Roman" w:hAnsi="Times New Roman"/>
          <w:i/>
          <w:sz w:val="20"/>
        </w:rPr>
        <w:t>www.verify.gov.ky</w:t>
      </w:r>
      <w:r>
        <w:rPr>
          <w:rFonts w:ascii="Times New Roman" w:hAnsi="Times New Roman"/>
          <w:sz w:val="20"/>
        </w:rPr>
        <w:t xml:space="preserve"> </w:t>
      </w:r>
      <w:r>
        <w:br w:type="page"/>
      </w:r>
    </w:p>
    <w:p>
      <w:pPr>
        <w:pStyle w:val="HorizontalLine"/>
        <w:pBdr>
          <w:bottom w:val="double" w:sz="6" w:space="0" w:color="808080"/>
        </w:pBdr>
        <w:rPr/>
      </w:pPr>
      <w:r>
        <w:rPr/>
      </w:r>
    </w:p>
    <w:p>
      <w:pPr>
        <w:pStyle w:val="TextBody"/>
        <w:spacing w:before="0" w:after="0"/>
        <w:jc w:val="right"/>
        <w:rPr/>
      </w:pPr>
      <w:r>
        <w:rPr/>
        <w:drawing>
          <wp:inline distT="0" distB="0" distL="0" distR="0">
            <wp:extent cx="914400" cy="91440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914400" cy="914400"/>
                    </a:xfrm>
                    <a:prstGeom prst="rect">
                      <a:avLst/>
                    </a:prstGeom>
                  </pic:spPr>
                </pic:pic>
              </a:graphicData>
            </a:graphic>
          </wp:inline>
        </w:drawing>
      </w:r>
      <w:r>
        <w:rPr/>
        <w:t xml:space="preserve">              </w:t>
      </w:r>
    </w:p>
    <w:p>
      <w:pPr>
        <w:pStyle w:val="TextBody"/>
        <w:spacing w:before="20" w:after="0"/>
        <w:jc w:val="right"/>
        <w:rPr>
          <w:rFonts w:ascii="Times New Roman" w:hAnsi="Times New Roman"/>
          <w:sz w:val="20"/>
        </w:rPr>
      </w:pPr>
      <w:r>
        <w:rPr>
          <w:rFonts w:ascii="Times New Roman" w:hAnsi="Times New Roman"/>
          <w:b/>
          <w:i/>
          <w:sz w:val="20"/>
        </w:rPr>
        <w:t>EXEMPTED</w:t>
      </w:r>
      <w:r>
        <w:rPr>
          <w:rFonts w:ascii="Times New Roman" w:hAnsi="Times New Roman"/>
          <w:sz w:val="20"/>
        </w:rPr>
        <w:t xml:space="preserve"> </w:t>
      </w:r>
      <w:r>
        <w:rPr>
          <w:rFonts w:ascii="Times New Roman" w:hAnsi="Times New Roman"/>
          <w:i/>
          <w:sz w:val="20"/>
        </w:rPr>
        <w:t>Company Registered and</w:t>
      </w:r>
      <w:r>
        <w:rPr>
          <w:rFonts w:ascii="Times New Roman" w:hAnsi="Times New Roman"/>
          <w:sz w:val="20"/>
        </w:rPr>
        <w:t xml:space="preserve"> </w:t>
      </w:r>
    </w:p>
    <w:p>
      <w:pPr>
        <w:pStyle w:val="TextBody"/>
        <w:spacing w:before="20" w:after="0"/>
        <w:jc w:val="right"/>
        <w:rPr>
          <w:rFonts w:ascii="Times New Roman" w:hAnsi="Times New Roman"/>
          <w:sz w:val="20"/>
        </w:rPr>
      </w:pPr>
      <w:r>
        <w:rPr>
          <w:rFonts w:ascii="Times New Roman" w:hAnsi="Times New Roman"/>
          <w:i/>
          <w:sz w:val="20"/>
        </w:rPr>
        <w:t>filed as No. 370146 On 13-Jan-2021</w:t>
      </w:r>
      <w:r>
        <w:rPr>
          <w:rFonts w:ascii="Times New Roman" w:hAnsi="Times New Roman"/>
          <w:sz w:val="20"/>
        </w:rPr>
        <w:t xml:space="preserve"> </w:t>
      </w:r>
    </w:p>
    <w:p>
      <w:pPr>
        <w:pStyle w:val="TextBody"/>
        <w:spacing w:before="0" w:after="0"/>
        <w:jc w:val="left"/>
        <w:rPr/>
      </w:pPr>
      <w:r>
        <w:rPr/>
        <w:t> </w:t>
      </w:r>
    </w:p>
    <w:p>
      <w:pPr>
        <w:pStyle w:val="TextBody"/>
        <w:spacing w:before="0" w:after="0"/>
        <w:jc w:val="right"/>
        <w:rPr/>
      </w:pPr>
      <w:r>
        <w:rPr/>
        <w:drawing>
          <wp:inline distT="0" distB="0" distL="0" distR="0">
            <wp:extent cx="447675" cy="361950"/>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447675" cy="361950"/>
                    </a:xfrm>
                    <a:prstGeom prst="rect">
                      <a:avLst/>
                    </a:prstGeom>
                  </pic:spPr>
                </pic:pic>
              </a:graphicData>
            </a:graphic>
          </wp:inline>
        </w:drawing>
      </w:r>
      <w:r>
        <w:rPr/>
        <w:t xml:space="preserve">                                           </w:t>
      </w:r>
    </w:p>
    <w:p>
      <w:pPr>
        <w:pStyle w:val="TextBody"/>
        <w:spacing w:before="0" w:after="0"/>
        <w:jc w:val="right"/>
        <w:rPr>
          <w:rFonts w:ascii="Times New Roman" w:hAnsi="Times New Roman"/>
          <w:sz w:val="20"/>
        </w:rPr>
      </w:pPr>
      <w:r>
        <w:rPr>
          <w:rFonts w:ascii="Times New Roman" w:hAnsi="Times New Roman"/>
          <w:i/>
          <w:sz w:val="20"/>
        </w:rPr>
        <w:t>Acting Assistant Registrar</w:t>
      </w:r>
      <w:r>
        <w:rPr>
          <w:rFonts w:ascii="Times New Roman" w:hAnsi="Times New Roman"/>
          <w:sz w:val="20"/>
        </w:rPr>
        <w:t xml:space="preserv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18.3</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Subject to the provisions of the Statute and the provisions of the Articles as regards the matters to be dealt with by Ordinary Resolution, the Company may by Special Resolution: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610"/>
        <w:gridCol w:w="9085"/>
      </w:tblGrid>
      <w:tr>
        <w:trPr/>
        <w:tc>
          <w:tcPr>
            <w:tcW w:w="510" w:type="dxa"/>
            <w:tcBorders/>
            <w:shd w:fill="auto" w:val="clear"/>
            <w:vAlign w:val="center"/>
          </w:tcPr>
          <w:p>
            <w:pPr>
              <w:pStyle w:val="TableContents"/>
              <w:spacing w:before="0" w:after="283"/>
              <w:rPr/>
            </w:pPr>
            <w:r>
              <w:rPr/>
              <w:t> </w:t>
            </w:r>
          </w:p>
        </w:tc>
        <w:tc>
          <w:tcPr>
            <w:tcW w:w="610" w:type="dxa"/>
            <w:tcBorders/>
            <w:shd w:fill="auto" w:val="clear"/>
          </w:tcPr>
          <w:p>
            <w:pPr>
              <w:pStyle w:val="TableContents"/>
              <w:spacing w:before="0" w:after="283"/>
              <w:jc w:val="left"/>
              <w:rPr/>
            </w:pPr>
            <w:r>
              <w:rPr/>
              <w:t>(a)</w:t>
            </w:r>
          </w:p>
        </w:tc>
        <w:tc>
          <w:tcPr>
            <w:tcW w:w="908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change its name;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612"/>
        <w:gridCol w:w="9083"/>
      </w:tblGrid>
      <w:tr>
        <w:trPr/>
        <w:tc>
          <w:tcPr>
            <w:tcW w:w="510" w:type="dxa"/>
            <w:tcBorders/>
            <w:shd w:fill="auto" w:val="clear"/>
            <w:vAlign w:val="center"/>
          </w:tcPr>
          <w:p>
            <w:pPr>
              <w:pStyle w:val="TableContents"/>
              <w:spacing w:before="0" w:after="283"/>
              <w:rPr/>
            </w:pPr>
            <w:r>
              <w:rPr/>
              <w:t> </w:t>
            </w:r>
          </w:p>
        </w:tc>
        <w:tc>
          <w:tcPr>
            <w:tcW w:w="612" w:type="dxa"/>
            <w:tcBorders/>
            <w:shd w:fill="auto" w:val="clear"/>
          </w:tcPr>
          <w:p>
            <w:pPr>
              <w:pStyle w:val="TableContents"/>
              <w:spacing w:before="0" w:after="283"/>
              <w:jc w:val="left"/>
              <w:rPr/>
            </w:pPr>
            <w:r>
              <w:rPr/>
              <w:t>(b)</w:t>
            </w:r>
          </w:p>
        </w:tc>
        <w:tc>
          <w:tcPr>
            <w:tcW w:w="908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alter or add to the Articles;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609"/>
        <w:gridCol w:w="9086"/>
      </w:tblGrid>
      <w:tr>
        <w:trPr/>
        <w:tc>
          <w:tcPr>
            <w:tcW w:w="510" w:type="dxa"/>
            <w:tcBorders/>
            <w:shd w:fill="auto" w:val="clear"/>
            <w:vAlign w:val="center"/>
          </w:tcPr>
          <w:p>
            <w:pPr>
              <w:pStyle w:val="TableContents"/>
              <w:spacing w:before="0" w:after="283"/>
              <w:rPr/>
            </w:pPr>
            <w:r>
              <w:rPr/>
              <w:t> </w:t>
            </w:r>
          </w:p>
        </w:tc>
        <w:tc>
          <w:tcPr>
            <w:tcW w:w="609" w:type="dxa"/>
            <w:tcBorders/>
            <w:shd w:fill="auto" w:val="clear"/>
          </w:tcPr>
          <w:p>
            <w:pPr>
              <w:pStyle w:val="TableContents"/>
              <w:spacing w:before="0" w:after="283"/>
              <w:jc w:val="left"/>
              <w:rPr/>
            </w:pPr>
            <w:r>
              <w:rPr/>
              <w:t>(c)</w:t>
            </w:r>
          </w:p>
        </w:tc>
        <w:tc>
          <w:tcPr>
            <w:tcW w:w="908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alter or add to the Memorandum with respect to any objects, powers or other matters specified therein;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612"/>
        <w:gridCol w:w="9084"/>
      </w:tblGrid>
      <w:tr>
        <w:trPr/>
        <w:tc>
          <w:tcPr>
            <w:tcW w:w="509" w:type="dxa"/>
            <w:tcBorders/>
            <w:shd w:fill="auto" w:val="clear"/>
            <w:vAlign w:val="center"/>
          </w:tcPr>
          <w:p>
            <w:pPr>
              <w:pStyle w:val="TableContents"/>
              <w:spacing w:before="0" w:after="283"/>
              <w:rPr/>
            </w:pPr>
            <w:r>
              <w:rPr/>
              <w:t> </w:t>
            </w:r>
          </w:p>
        </w:tc>
        <w:tc>
          <w:tcPr>
            <w:tcW w:w="612" w:type="dxa"/>
            <w:tcBorders/>
            <w:shd w:fill="auto" w:val="clear"/>
          </w:tcPr>
          <w:p>
            <w:pPr>
              <w:pStyle w:val="TableContents"/>
              <w:spacing w:before="0" w:after="283"/>
              <w:jc w:val="left"/>
              <w:rPr/>
            </w:pPr>
            <w:r>
              <w:rPr/>
              <w:t>(d)</w:t>
            </w:r>
          </w:p>
        </w:tc>
        <w:tc>
          <w:tcPr>
            <w:tcW w:w="908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reduce its share capital or any capital redemption reserve fund.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b/>
              </w:rPr>
            </w:pPr>
            <w:r>
              <w:rPr>
                <w:b/>
              </w:rPr>
              <w:t>19</w:t>
            </w:r>
          </w:p>
        </w:tc>
        <w:tc>
          <w:tcPr>
            <w:tcW w:w="9696"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Offices and Places of Business </w:t>
            </w:r>
          </w:p>
        </w:tc>
      </w:tr>
    </w:tbl>
    <w:p>
      <w:pPr>
        <w:pStyle w:val="TextBody"/>
        <w:spacing w:before="120" w:after="0"/>
        <w:jc w:val="left"/>
        <w:rPr>
          <w:rFonts w:ascii="Times New Roman" w:hAnsi="Times New Roman"/>
          <w:sz w:val="20"/>
        </w:rPr>
      </w:pPr>
      <w:r>
        <w:rPr>
          <w:rFonts w:ascii="Times New Roman" w:hAnsi="Times New Roman"/>
          <w:sz w:val="20"/>
        </w:rPr>
        <w:t xml:space="preserve">Subject to the provisions of the Statute, the Company may by resolution of the Directors change the location of its Registered Office. The Company may, in addition to its Registered Office, maintain such other offices or places of business as the Directors determine.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b/>
              </w:rPr>
            </w:pPr>
            <w:r>
              <w:rPr>
                <w:b/>
              </w:rPr>
              <w:t>20</w:t>
            </w:r>
          </w:p>
        </w:tc>
        <w:tc>
          <w:tcPr>
            <w:tcW w:w="9696"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General Meetings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20.1</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All general meetings other than annual general meetings shall be called extraordinary general meetings.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20.2</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Company may, but shall not (unless required by the Statute) be obliged to, in each year hold a general meeting as its annual general meeting, and shall specify the meeting as such in the notices calling it. Any annual general meeting shall be held at such time and place as the Directors shall appoint and if no other time and place is prescribed by them, it shall be held at the Registered Office on the second Wednesday in December of each year at ten oclock in the morning. At these meetings the report of the Directors (if any) shall be presented.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20.3</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Directors may call general meetings, and they shall on a Members requisition forthwith proceed to convene an extraordinary general meeting of the Company.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20.4</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Members requisition is a requisition of Members holding at the date of deposit of the requisition not less than ten per cent. in par value of the issued Shares which as at that date carry the right to vote at general meetings of the Company.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9695"/>
      </w:tblGrid>
      <w:tr>
        <w:trPr/>
        <w:tc>
          <w:tcPr>
            <w:tcW w:w="510" w:type="dxa"/>
            <w:tcBorders/>
            <w:shd w:fill="auto" w:val="clear"/>
          </w:tcPr>
          <w:p>
            <w:pPr>
              <w:pStyle w:val="TableContents"/>
              <w:spacing w:before="0" w:after="283"/>
              <w:jc w:val="left"/>
              <w:rPr/>
            </w:pPr>
            <w:r>
              <w:rPr/>
              <w:t>20.5</w:t>
            </w:r>
          </w:p>
        </w:tc>
        <w:tc>
          <w:tcPr>
            <w:tcW w:w="969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Members requisition must state the objects of the meeting and must be signed by the requisitionists and deposited at the Registered Office, and may consist of several documents in like form each signed by one or more requisitionists.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9695"/>
      </w:tblGrid>
      <w:tr>
        <w:trPr/>
        <w:tc>
          <w:tcPr>
            <w:tcW w:w="510" w:type="dxa"/>
            <w:tcBorders/>
            <w:shd w:fill="auto" w:val="clear"/>
          </w:tcPr>
          <w:p>
            <w:pPr>
              <w:pStyle w:val="TableContents"/>
              <w:spacing w:before="0" w:after="283"/>
              <w:jc w:val="left"/>
              <w:rPr/>
            </w:pPr>
            <w:r>
              <w:rPr/>
              <w:t>20.6</w:t>
            </w:r>
          </w:p>
        </w:tc>
        <w:tc>
          <w:tcPr>
            <w:tcW w:w="969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there are no Directors as at the date of the deposit of the Members requisition or if the Directors do not within twenty-one days from the date of the deposit of the Members requisition duly proceed to convene a general meeting to be held within a further twenty-one days, the requisitionists, or any of them representing more than one-half of the total voting rights of all of the requisitionists, may themselves convene a general meeting, but any meeting so convened shall be held no later than the day which falls three months after the expiration of the said twenty-one day period. </w:t>
            </w:r>
          </w:p>
        </w:tc>
      </w:tr>
    </w:tbl>
    <w:p>
      <w:pPr>
        <w:pStyle w:val="TextBody"/>
        <w:spacing w:before="0" w:after="0"/>
        <w:jc w:val="left"/>
        <w:rPr/>
      </w:pPr>
      <w:r>
        <w:rPr/>
        <w:t> </w:t>
      </w:r>
    </w:p>
    <w:p>
      <w:pPr>
        <w:pStyle w:val="TextBody"/>
        <w:spacing w:before="0" w:after="0"/>
        <w:jc w:val="right"/>
        <w:rPr>
          <w:rFonts w:ascii="Times New Roman" w:hAnsi="Times New Roman"/>
          <w:sz w:val="20"/>
        </w:rPr>
      </w:pPr>
      <w:r>
        <w:rPr>
          <w:rFonts w:ascii="Times New Roman" w:hAnsi="Times New Roman"/>
          <w:sz w:val="20"/>
        </w:rPr>
        <w:t xml:space="preserve">13 </w:t>
      </w:r>
    </w:p>
    <w:p>
      <w:pPr>
        <w:pStyle w:val="TextBody"/>
        <w:spacing w:before="80" w:after="0"/>
        <w:jc w:val="right"/>
        <w:rPr>
          <w:rFonts w:ascii="Times New Roman" w:hAnsi="Times New Roman"/>
          <w:sz w:val="20"/>
        </w:rPr>
      </w:pPr>
      <w:r>
        <w:rPr>
          <w:rFonts w:ascii="Times New Roman" w:hAnsi="Times New Roman"/>
          <w:i/>
          <w:sz w:val="20"/>
        </w:rPr>
        <w:t>Auth Code: H70275751251</w:t>
      </w:r>
      <w:r>
        <w:rPr>
          <w:rFonts w:ascii="Times New Roman" w:hAnsi="Times New Roman"/>
          <w:sz w:val="20"/>
        </w:rPr>
        <w:t xml:space="preserve"> </w:t>
      </w:r>
    </w:p>
    <w:p>
      <w:pPr>
        <w:pStyle w:val="TextBody"/>
        <w:spacing w:before="0" w:after="0"/>
        <w:jc w:val="right"/>
        <w:rPr>
          <w:rFonts w:ascii="Times New Roman" w:hAnsi="Times New Roman"/>
          <w:sz w:val="20"/>
        </w:rPr>
      </w:pPr>
      <w:r>
        <w:rPr>
          <w:rFonts w:ascii="Times New Roman" w:hAnsi="Times New Roman"/>
          <w:i/>
          <w:sz w:val="20"/>
        </w:rPr>
        <w:t>www.verify.gov.ky</w:t>
      </w:r>
      <w:r>
        <w:rPr>
          <w:rFonts w:ascii="Times New Roman" w:hAnsi="Times New Roman"/>
          <w:sz w:val="20"/>
        </w:rPr>
        <w:t xml:space="preserve"> </w:t>
      </w:r>
      <w:r>
        <w:br w:type="page"/>
      </w:r>
    </w:p>
    <w:p>
      <w:pPr>
        <w:pStyle w:val="HorizontalLine"/>
        <w:pBdr>
          <w:bottom w:val="double" w:sz="6" w:space="0" w:color="808080"/>
        </w:pBdr>
        <w:rPr/>
      </w:pPr>
      <w:r>
        <w:rPr/>
      </w:r>
    </w:p>
    <w:p>
      <w:pPr>
        <w:pStyle w:val="TextBody"/>
        <w:spacing w:before="0" w:after="0"/>
        <w:jc w:val="right"/>
        <w:rPr/>
      </w:pPr>
      <w:r>
        <w:rPr/>
        <w:drawing>
          <wp:inline distT="0" distB="0" distL="0" distR="0">
            <wp:extent cx="914400" cy="91440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914400" cy="914400"/>
                    </a:xfrm>
                    <a:prstGeom prst="rect">
                      <a:avLst/>
                    </a:prstGeom>
                  </pic:spPr>
                </pic:pic>
              </a:graphicData>
            </a:graphic>
          </wp:inline>
        </w:drawing>
      </w:r>
      <w:r>
        <w:rPr/>
        <w:t xml:space="preserve">              </w:t>
      </w:r>
    </w:p>
    <w:p>
      <w:pPr>
        <w:pStyle w:val="TextBody"/>
        <w:spacing w:before="20" w:after="0"/>
        <w:jc w:val="right"/>
        <w:rPr>
          <w:rFonts w:ascii="Times New Roman" w:hAnsi="Times New Roman"/>
          <w:sz w:val="20"/>
        </w:rPr>
      </w:pPr>
      <w:r>
        <w:rPr>
          <w:rFonts w:ascii="Times New Roman" w:hAnsi="Times New Roman"/>
          <w:b/>
          <w:i/>
          <w:sz w:val="20"/>
        </w:rPr>
        <w:t>EXEMPTED</w:t>
      </w:r>
      <w:r>
        <w:rPr>
          <w:rFonts w:ascii="Times New Roman" w:hAnsi="Times New Roman"/>
          <w:sz w:val="20"/>
        </w:rPr>
        <w:t xml:space="preserve"> </w:t>
      </w:r>
      <w:r>
        <w:rPr>
          <w:rFonts w:ascii="Times New Roman" w:hAnsi="Times New Roman"/>
          <w:i/>
          <w:sz w:val="20"/>
        </w:rPr>
        <w:t>Company Registered and</w:t>
      </w:r>
      <w:r>
        <w:rPr>
          <w:rFonts w:ascii="Times New Roman" w:hAnsi="Times New Roman"/>
          <w:sz w:val="20"/>
        </w:rPr>
        <w:t xml:space="preserve"> </w:t>
      </w:r>
    </w:p>
    <w:p>
      <w:pPr>
        <w:pStyle w:val="TextBody"/>
        <w:spacing w:before="20" w:after="0"/>
        <w:jc w:val="right"/>
        <w:rPr>
          <w:rFonts w:ascii="Times New Roman" w:hAnsi="Times New Roman"/>
          <w:sz w:val="20"/>
        </w:rPr>
      </w:pPr>
      <w:r>
        <w:rPr>
          <w:rFonts w:ascii="Times New Roman" w:hAnsi="Times New Roman"/>
          <w:i/>
          <w:sz w:val="20"/>
        </w:rPr>
        <w:t>filed as No. 370146 On 13-Jan-2021</w:t>
      </w:r>
      <w:r>
        <w:rPr>
          <w:rFonts w:ascii="Times New Roman" w:hAnsi="Times New Roman"/>
          <w:sz w:val="20"/>
        </w:rPr>
        <w:t xml:space="preserve"> </w:t>
      </w:r>
    </w:p>
    <w:p>
      <w:pPr>
        <w:pStyle w:val="TextBody"/>
        <w:spacing w:before="0" w:after="0"/>
        <w:jc w:val="left"/>
        <w:rPr/>
      </w:pPr>
      <w:r>
        <w:rPr/>
        <w:t> </w:t>
      </w:r>
    </w:p>
    <w:p>
      <w:pPr>
        <w:pStyle w:val="TextBody"/>
        <w:spacing w:before="0" w:after="0"/>
        <w:jc w:val="right"/>
        <w:rPr/>
      </w:pPr>
      <w:r>
        <w:rPr/>
        <w:drawing>
          <wp:inline distT="0" distB="0" distL="0" distR="0">
            <wp:extent cx="447675" cy="361950"/>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447675" cy="361950"/>
                    </a:xfrm>
                    <a:prstGeom prst="rect">
                      <a:avLst/>
                    </a:prstGeom>
                  </pic:spPr>
                </pic:pic>
              </a:graphicData>
            </a:graphic>
          </wp:inline>
        </w:drawing>
      </w:r>
      <w:r>
        <w:rPr/>
        <w:t xml:space="preserve">                                           </w:t>
      </w:r>
    </w:p>
    <w:p>
      <w:pPr>
        <w:pStyle w:val="TextBody"/>
        <w:spacing w:before="0" w:after="0"/>
        <w:jc w:val="right"/>
        <w:rPr>
          <w:rFonts w:ascii="Times New Roman" w:hAnsi="Times New Roman"/>
          <w:sz w:val="20"/>
        </w:rPr>
      </w:pPr>
      <w:r>
        <w:rPr>
          <w:rFonts w:ascii="Times New Roman" w:hAnsi="Times New Roman"/>
          <w:i/>
          <w:sz w:val="20"/>
        </w:rPr>
        <w:t>Acting Assistant Registrar</w:t>
      </w:r>
      <w:r>
        <w:rPr>
          <w:rFonts w:ascii="Times New Roman" w:hAnsi="Times New Roman"/>
          <w:sz w:val="20"/>
        </w:rPr>
        <w:t xml:space="preserv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20.7</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general meeting convened as aforesaid by requisitionists shall be convened in the same manner as nearly as possible as that in which general meetings are to be convened by Directors.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b/>
              </w:rPr>
            </w:pPr>
            <w:r>
              <w:rPr>
                <w:b/>
              </w:rPr>
              <w:t>21</w:t>
            </w:r>
          </w:p>
        </w:tc>
        <w:tc>
          <w:tcPr>
            <w:tcW w:w="9696"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Notice of General Meetings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21.1</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At least five clear days notice shall be given of any general meeting. Every notice shall specify the place, the day and the hour of the meeting and the general nature of the business to be conducted at the general meeting and shall be given in the manner hereinafter mentioned or in such other manner if any as may be prescribed by the Company, provided that a general meeting of the Company shall, whether or not the notice specified in this Article has been given and whether or not the provisions of the Articles regarding general meetings have been complied with, be deemed to have been duly convened if it is so agreed: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612"/>
        <w:gridCol w:w="9085"/>
      </w:tblGrid>
      <w:tr>
        <w:trPr/>
        <w:tc>
          <w:tcPr>
            <w:tcW w:w="508" w:type="dxa"/>
            <w:tcBorders/>
            <w:shd w:fill="auto" w:val="clear"/>
            <w:vAlign w:val="center"/>
          </w:tcPr>
          <w:p>
            <w:pPr>
              <w:pStyle w:val="TableContents"/>
              <w:spacing w:before="0" w:after="283"/>
              <w:rPr/>
            </w:pPr>
            <w:r>
              <w:rPr/>
              <w:t> </w:t>
            </w:r>
          </w:p>
        </w:tc>
        <w:tc>
          <w:tcPr>
            <w:tcW w:w="612" w:type="dxa"/>
            <w:tcBorders/>
            <w:shd w:fill="auto" w:val="clear"/>
          </w:tcPr>
          <w:p>
            <w:pPr>
              <w:pStyle w:val="TableContents"/>
              <w:spacing w:before="0" w:after="283"/>
              <w:jc w:val="left"/>
              <w:rPr/>
            </w:pPr>
            <w:r>
              <w:rPr/>
              <w:t>(a)</w:t>
            </w:r>
          </w:p>
        </w:tc>
        <w:tc>
          <w:tcPr>
            <w:tcW w:w="908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 the case of an annual general meeting, by all of the Members entitled to attend and vote thereat;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7"/>
        <w:gridCol w:w="612"/>
        <w:gridCol w:w="9086"/>
      </w:tblGrid>
      <w:tr>
        <w:trPr/>
        <w:tc>
          <w:tcPr>
            <w:tcW w:w="507" w:type="dxa"/>
            <w:tcBorders/>
            <w:shd w:fill="auto" w:val="clear"/>
            <w:vAlign w:val="center"/>
          </w:tcPr>
          <w:p>
            <w:pPr>
              <w:pStyle w:val="TableContents"/>
              <w:spacing w:before="0" w:after="283"/>
              <w:rPr/>
            </w:pPr>
            <w:r>
              <w:rPr/>
              <w:t> </w:t>
            </w:r>
          </w:p>
        </w:tc>
        <w:tc>
          <w:tcPr>
            <w:tcW w:w="612" w:type="dxa"/>
            <w:tcBorders/>
            <w:shd w:fill="auto" w:val="clear"/>
          </w:tcPr>
          <w:p>
            <w:pPr>
              <w:pStyle w:val="TableContents"/>
              <w:spacing w:before="0" w:after="283"/>
              <w:jc w:val="left"/>
              <w:rPr/>
            </w:pPr>
            <w:r>
              <w:rPr/>
              <w:t>(b)</w:t>
            </w:r>
          </w:p>
        </w:tc>
        <w:tc>
          <w:tcPr>
            <w:tcW w:w="908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 the case of an extraordinary general meeting, by a majority in number of the Members having a right to attend and vote at the meeting, together holding not less than ninety five per cent. in par value of the Shares giving that right.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9695"/>
      </w:tblGrid>
      <w:tr>
        <w:trPr/>
        <w:tc>
          <w:tcPr>
            <w:tcW w:w="510" w:type="dxa"/>
            <w:tcBorders/>
            <w:shd w:fill="auto" w:val="clear"/>
          </w:tcPr>
          <w:p>
            <w:pPr>
              <w:pStyle w:val="TableContents"/>
              <w:spacing w:before="0" w:after="283"/>
              <w:jc w:val="left"/>
              <w:rPr/>
            </w:pPr>
            <w:r>
              <w:rPr/>
              <w:t>21.2</w:t>
            </w:r>
          </w:p>
        </w:tc>
        <w:tc>
          <w:tcPr>
            <w:tcW w:w="969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accidental omission to give notice of a general meeting to, or the non receipt of notice of a general meeting by, any person entitled to receive such notice shall not invalidate the proceedings of that general meeting.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9695"/>
      </w:tblGrid>
      <w:tr>
        <w:trPr/>
        <w:tc>
          <w:tcPr>
            <w:tcW w:w="510" w:type="dxa"/>
            <w:tcBorders/>
            <w:shd w:fill="auto" w:val="clear"/>
          </w:tcPr>
          <w:p>
            <w:pPr>
              <w:pStyle w:val="TableContents"/>
              <w:spacing w:before="0" w:after="283"/>
              <w:jc w:val="left"/>
              <w:rPr>
                <w:b/>
              </w:rPr>
            </w:pPr>
            <w:r>
              <w:rPr>
                <w:b/>
              </w:rPr>
              <w:t>22</w:t>
            </w:r>
          </w:p>
        </w:tc>
        <w:tc>
          <w:tcPr>
            <w:tcW w:w="9695"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Proceedings at General Meetings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22.1</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No business shall be transacted at any general meeting unless a quorum is present. Two Members being individuals present in person or by proxy or if a corporation or other non-natural person by its duly authorised representative or proxy shall be a quorum unless the Company has only one Member entitled to vote at such general meeting in which case the quorum shall be that one Member present in person or by proxy or (in the case of a corporation or other non-natural person) by its duly authorised representative or proxy.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22.2</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person may participate at a general meeting by conference telephone or other communications equipment by means of which all the persons participating in the meeting can communicate with each other. Participation by a person in a general meeting in this manner is treated as presence in person at that meeting.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22.3</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resolution (including a Special Resolution) in writing (in one or more counterparts) signed by or on behalf of all of the Members for the time being entitled to receive notice of and to attend and vote at general meetings (or, being corporations or other non-natural persons, signed by their duly authorised representatives) shall be as valid and effective as if the resolution had been passed at a general meeting of the Company duly convened and held. </w:t>
            </w:r>
          </w:p>
        </w:tc>
      </w:tr>
    </w:tbl>
    <w:p>
      <w:pPr>
        <w:pStyle w:val="TextBody"/>
        <w:spacing w:before="0" w:after="0"/>
        <w:jc w:val="left"/>
        <w:rPr/>
      </w:pPr>
      <w:r>
        <w:rPr/>
        <w:t> </w:t>
      </w:r>
    </w:p>
    <w:p>
      <w:pPr>
        <w:pStyle w:val="TextBody"/>
        <w:spacing w:before="0" w:after="0"/>
        <w:jc w:val="right"/>
        <w:rPr>
          <w:rFonts w:ascii="Times New Roman" w:hAnsi="Times New Roman"/>
          <w:sz w:val="20"/>
        </w:rPr>
      </w:pPr>
      <w:r>
        <w:rPr>
          <w:rFonts w:ascii="Times New Roman" w:hAnsi="Times New Roman"/>
          <w:sz w:val="20"/>
        </w:rPr>
        <w:t xml:space="preserve">14 </w:t>
      </w:r>
    </w:p>
    <w:p>
      <w:pPr>
        <w:pStyle w:val="TextBody"/>
        <w:spacing w:before="80" w:after="0"/>
        <w:jc w:val="right"/>
        <w:rPr>
          <w:rFonts w:ascii="Times New Roman" w:hAnsi="Times New Roman"/>
          <w:sz w:val="20"/>
        </w:rPr>
      </w:pPr>
      <w:r>
        <w:rPr>
          <w:rFonts w:ascii="Times New Roman" w:hAnsi="Times New Roman"/>
          <w:i/>
          <w:sz w:val="20"/>
        </w:rPr>
        <w:t>Auth Code: H70275751251</w:t>
      </w:r>
      <w:r>
        <w:rPr>
          <w:rFonts w:ascii="Times New Roman" w:hAnsi="Times New Roman"/>
          <w:sz w:val="20"/>
        </w:rPr>
        <w:t xml:space="preserve"> </w:t>
      </w:r>
    </w:p>
    <w:p>
      <w:pPr>
        <w:pStyle w:val="TextBody"/>
        <w:spacing w:before="0" w:after="0"/>
        <w:jc w:val="right"/>
        <w:rPr>
          <w:rFonts w:ascii="Times New Roman" w:hAnsi="Times New Roman"/>
          <w:sz w:val="20"/>
        </w:rPr>
      </w:pPr>
      <w:r>
        <w:rPr>
          <w:rFonts w:ascii="Times New Roman" w:hAnsi="Times New Roman"/>
          <w:i/>
          <w:sz w:val="20"/>
        </w:rPr>
        <w:t>www.verify.gov.ky</w:t>
      </w:r>
      <w:r>
        <w:rPr>
          <w:rFonts w:ascii="Times New Roman" w:hAnsi="Times New Roman"/>
          <w:sz w:val="20"/>
        </w:rPr>
        <w:t xml:space="preserve"> </w:t>
      </w:r>
      <w:r>
        <w:br w:type="page"/>
      </w:r>
    </w:p>
    <w:p>
      <w:pPr>
        <w:pStyle w:val="HorizontalLine"/>
        <w:pBdr>
          <w:bottom w:val="double" w:sz="6" w:space="0" w:color="808080"/>
        </w:pBdr>
        <w:rPr/>
      </w:pPr>
      <w:r>
        <w:rPr/>
      </w:r>
    </w:p>
    <w:p>
      <w:pPr>
        <w:pStyle w:val="TextBody"/>
        <w:spacing w:before="0" w:after="0"/>
        <w:jc w:val="right"/>
        <w:rPr/>
      </w:pPr>
      <w:r>
        <w:rPr/>
        <w:drawing>
          <wp:inline distT="0" distB="0" distL="0" distR="0">
            <wp:extent cx="914400" cy="914400"/>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914400" cy="914400"/>
                    </a:xfrm>
                    <a:prstGeom prst="rect">
                      <a:avLst/>
                    </a:prstGeom>
                  </pic:spPr>
                </pic:pic>
              </a:graphicData>
            </a:graphic>
          </wp:inline>
        </w:drawing>
      </w:r>
      <w:r>
        <w:rPr/>
        <w:t xml:space="preserve">              </w:t>
      </w:r>
    </w:p>
    <w:p>
      <w:pPr>
        <w:pStyle w:val="TextBody"/>
        <w:spacing w:before="20" w:after="0"/>
        <w:jc w:val="right"/>
        <w:rPr>
          <w:rFonts w:ascii="Times New Roman" w:hAnsi="Times New Roman"/>
          <w:sz w:val="20"/>
        </w:rPr>
      </w:pPr>
      <w:r>
        <w:rPr>
          <w:rFonts w:ascii="Times New Roman" w:hAnsi="Times New Roman"/>
          <w:b/>
          <w:i/>
          <w:sz w:val="20"/>
        </w:rPr>
        <w:t>EXEMPTED</w:t>
      </w:r>
      <w:r>
        <w:rPr>
          <w:rFonts w:ascii="Times New Roman" w:hAnsi="Times New Roman"/>
          <w:sz w:val="20"/>
        </w:rPr>
        <w:t xml:space="preserve"> </w:t>
      </w:r>
      <w:r>
        <w:rPr>
          <w:rFonts w:ascii="Times New Roman" w:hAnsi="Times New Roman"/>
          <w:i/>
          <w:sz w:val="20"/>
        </w:rPr>
        <w:t>Company Registered and</w:t>
      </w:r>
      <w:r>
        <w:rPr>
          <w:rFonts w:ascii="Times New Roman" w:hAnsi="Times New Roman"/>
          <w:sz w:val="20"/>
        </w:rPr>
        <w:t xml:space="preserve"> </w:t>
      </w:r>
    </w:p>
    <w:p>
      <w:pPr>
        <w:pStyle w:val="TextBody"/>
        <w:spacing w:before="20" w:after="0"/>
        <w:jc w:val="right"/>
        <w:rPr>
          <w:rFonts w:ascii="Times New Roman" w:hAnsi="Times New Roman"/>
          <w:sz w:val="20"/>
        </w:rPr>
      </w:pPr>
      <w:r>
        <w:rPr>
          <w:rFonts w:ascii="Times New Roman" w:hAnsi="Times New Roman"/>
          <w:i/>
          <w:sz w:val="20"/>
        </w:rPr>
        <w:t>filed as No. 370146 On 13-Jan-2021</w:t>
      </w:r>
      <w:r>
        <w:rPr>
          <w:rFonts w:ascii="Times New Roman" w:hAnsi="Times New Roman"/>
          <w:sz w:val="20"/>
        </w:rPr>
        <w:t xml:space="preserve"> </w:t>
      </w:r>
    </w:p>
    <w:p>
      <w:pPr>
        <w:pStyle w:val="TextBody"/>
        <w:spacing w:before="0" w:after="0"/>
        <w:jc w:val="left"/>
        <w:rPr/>
      </w:pPr>
      <w:r>
        <w:rPr/>
        <w:t> </w:t>
      </w:r>
    </w:p>
    <w:p>
      <w:pPr>
        <w:pStyle w:val="TextBody"/>
        <w:spacing w:before="0" w:after="0"/>
        <w:jc w:val="right"/>
        <w:rPr/>
      </w:pPr>
      <w:r>
        <w:rPr/>
        <w:drawing>
          <wp:inline distT="0" distB="0" distL="0" distR="0">
            <wp:extent cx="447675" cy="361950"/>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447675" cy="361950"/>
                    </a:xfrm>
                    <a:prstGeom prst="rect">
                      <a:avLst/>
                    </a:prstGeom>
                  </pic:spPr>
                </pic:pic>
              </a:graphicData>
            </a:graphic>
          </wp:inline>
        </w:drawing>
      </w:r>
      <w:r>
        <w:rPr/>
        <w:t xml:space="preserve">                                           </w:t>
      </w:r>
    </w:p>
    <w:p>
      <w:pPr>
        <w:pStyle w:val="TextBody"/>
        <w:spacing w:before="0" w:after="0"/>
        <w:jc w:val="right"/>
        <w:rPr>
          <w:rFonts w:ascii="Times New Roman" w:hAnsi="Times New Roman"/>
          <w:sz w:val="20"/>
        </w:rPr>
      </w:pPr>
      <w:r>
        <w:rPr>
          <w:rFonts w:ascii="Times New Roman" w:hAnsi="Times New Roman"/>
          <w:i/>
          <w:sz w:val="20"/>
        </w:rPr>
        <w:t>Acting Assistant Registrar</w:t>
      </w:r>
      <w:r>
        <w:rPr>
          <w:rFonts w:ascii="Times New Roman" w:hAnsi="Times New Roman"/>
          <w:sz w:val="20"/>
        </w:rPr>
        <w:t xml:space="preserv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22.4</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a quorum is not present within half an hour from the time appointed for the meeting to commence or if during such a meeting a quorum ceases to be present, the meeting, if convened upon a Members requisition, shall be dissolved and in any other case it shall stand adjourned to the same day in the next week at the same time and/or place or to such other day, time and/or place as the Directors may determine, and if at the adjourned meeting a quorum is not present within half an hour from the time appointed for the meeting to commence, the Members present shall be a quorum.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22.5</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Directors may, at any time prior to the time appointed for the meeting to commence, appoint any person to act as chairman of a general meeting of the Company or, if the Directors do not make any such appointment, the chairman, if any, of the board of Directors shall preside as chairman at such general meeting. If there is no such chairman, or if he shall not be present within fifteen minutes after the time appointed for the meeting to commence, or is unwilling to act, the Directors present shall elect one of their number to be chairman of the meeting.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22.6</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no Director is willing to act as chairman or if no Director is present within fifteen minutes after the time appointed for the meeting to commence, the Members present shall choose one of their number to be chairman of the meeting.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22.7</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chairman may, with the consent of a meeting at which a quorum is present (and shall if so directed by the meeting) adjourn the meeting from time to time and from place to place, but no business shall be transacted at any adjourned meeting other than the business left unfinished at the meeting from which the adjournment took place.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22.8</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When a general meeting is adjourned for thirty days or more, notice of the adjourned meeting shall be given as in the case of an original meeting. Otherwise it shall not be necessary to give any such notice of an adjourned meeting.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22.9</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resolution put to the vote of the meeting shall be decided on a show of hands unless before, or on the declaration of the result of, the show of hands, the chairman demands a poll, or any other Member or Members collectively present in person or by proxy (or in the case of a corporation or other non-natural person, by its duly authorised representative or proxy) and holding at least ten per cent. in par value of the Shares giving a right to attend and vote at the meeting demand a poll.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61"/>
        <w:gridCol w:w="9644"/>
      </w:tblGrid>
      <w:tr>
        <w:trPr/>
        <w:tc>
          <w:tcPr>
            <w:tcW w:w="561" w:type="dxa"/>
            <w:tcBorders/>
            <w:shd w:fill="auto" w:val="clear"/>
          </w:tcPr>
          <w:p>
            <w:pPr>
              <w:pStyle w:val="TableContents"/>
              <w:spacing w:before="0" w:after="283"/>
              <w:jc w:val="left"/>
              <w:rPr/>
            </w:pPr>
            <w:r>
              <w:rPr/>
              <w:t>22.10</w:t>
            </w:r>
          </w:p>
        </w:tc>
        <w:tc>
          <w:tcPr>
            <w:tcW w:w="964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Unless a poll is duly demanded and the demand is not withdrawn a declaration by the chairman that a resolution has been carried or carried unanimously, or by a particular majority, or lost or not carried by a particular majority, an entry to that effect in the minutes of the proceedings of the meeting shall be conclusive evidence of that fact without proof of the number or proportion of the votes recorded in favour of or against such resolution.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66"/>
        <w:gridCol w:w="9639"/>
      </w:tblGrid>
      <w:tr>
        <w:trPr/>
        <w:tc>
          <w:tcPr>
            <w:tcW w:w="566" w:type="dxa"/>
            <w:tcBorders/>
            <w:shd w:fill="auto" w:val="clear"/>
          </w:tcPr>
          <w:p>
            <w:pPr>
              <w:pStyle w:val="TableContents"/>
              <w:spacing w:before="0" w:after="283"/>
              <w:jc w:val="left"/>
              <w:rPr/>
            </w:pPr>
            <w:r>
              <w:rPr/>
              <w:t>22.11</w:t>
            </w:r>
          </w:p>
        </w:tc>
        <w:tc>
          <w:tcPr>
            <w:tcW w:w="963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demand for a poll may be withdrawn. </w:t>
            </w:r>
          </w:p>
        </w:tc>
      </w:tr>
    </w:tbl>
    <w:p>
      <w:pPr>
        <w:pStyle w:val="TextBody"/>
        <w:spacing w:before="0" w:after="0"/>
        <w:jc w:val="left"/>
        <w:rPr/>
      </w:pPr>
      <w:r>
        <w:rPr/>
        <w:t> </w:t>
      </w:r>
    </w:p>
    <w:p>
      <w:pPr>
        <w:pStyle w:val="TextBody"/>
        <w:spacing w:before="0" w:after="0"/>
        <w:jc w:val="right"/>
        <w:rPr>
          <w:rFonts w:ascii="Times New Roman" w:hAnsi="Times New Roman"/>
          <w:sz w:val="20"/>
        </w:rPr>
      </w:pPr>
      <w:r>
        <w:rPr>
          <w:rFonts w:ascii="Times New Roman" w:hAnsi="Times New Roman"/>
          <w:sz w:val="20"/>
        </w:rPr>
        <w:t xml:space="preserve">15 </w:t>
      </w:r>
    </w:p>
    <w:p>
      <w:pPr>
        <w:pStyle w:val="TextBody"/>
        <w:spacing w:before="80" w:after="0"/>
        <w:jc w:val="right"/>
        <w:rPr>
          <w:rFonts w:ascii="Times New Roman" w:hAnsi="Times New Roman"/>
          <w:sz w:val="20"/>
        </w:rPr>
      </w:pPr>
      <w:r>
        <w:rPr>
          <w:rFonts w:ascii="Times New Roman" w:hAnsi="Times New Roman"/>
          <w:i/>
          <w:sz w:val="20"/>
        </w:rPr>
        <w:t>Auth Code: H70275751251</w:t>
      </w:r>
      <w:r>
        <w:rPr>
          <w:rFonts w:ascii="Times New Roman" w:hAnsi="Times New Roman"/>
          <w:sz w:val="20"/>
        </w:rPr>
        <w:t xml:space="preserve"> </w:t>
      </w:r>
    </w:p>
    <w:p>
      <w:pPr>
        <w:pStyle w:val="TextBody"/>
        <w:spacing w:before="0" w:after="0"/>
        <w:jc w:val="right"/>
        <w:rPr>
          <w:rFonts w:ascii="Times New Roman" w:hAnsi="Times New Roman"/>
          <w:sz w:val="20"/>
        </w:rPr>
      </w:pPr>
      <w:r>
        <w:rPr>
          <w:rFonts w:ascii="Times New Roman" w:hAnsi="Times New Roman"/>
          <w:i/>
          <w:sz w:val="20"/>
        </w:rPr>
        <w:t>www.verify.gov.ky</w:t>
      </w:r>
      <w:r>
        <w:rPr>
          <w:rFonts w:ascii="Times New Roman" w:hAnsi="Times New Roman"/>
          <w:sz w:val="20"/>
        </w:rPr>
        <w:t xml:space="preserve"> </w:t>
      </w:r>
      <w:r>
        <w:br w:type="page"/>
      </w:r>
    </w:p>
    <w:p>
      <w:pPr>
        <w:pStyle w:val="HorizontalLine"/>
        <w:pBdr>
          <w:bottom w:val="double" w:sz="6" w:space="0" w:color="808080"/>
        </w:pBdr>
        <w:rPr/>
      </w:pPr>
      <w:r>
        <w:rPr/>
      </w:r>
    </w:p>
    <w:p>
      <w:pPr>
        <w:pStyle w:val="TextBody"/>
        <w:spacing w:before="0" w:after="0"/>
        <w:jc w:val="right"/>
        <w:rPr/>
      </w:pPr>
      <w:r>
        <w:rPr/>
        <w:drawing>
          <wp:inline distT="0" distB="0" distL="0" distR="0">
            <wp:extent cx="914400" cy="914400"/>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914400" cy="914400"/>
                    </a:xfrm>
                    <a:prstGeom prst="rect">
                      <a:avLst/>
                    </a:prstGeom>
                  </pic:spPr>
                </pic:pic>
              </a:graphicData>
            </a:graphic>
          </wp:inline>
        </w:drawing>
      </w:r>
      <w:r>
        <w:rPr/>
        <w:t xml:space="preserve">              </w:t>
      </w:r>
    </w:p>
    <w:p>
      <w:pPr>
        <w:pStyle w:val="TextBody"/>
        <w:spacing w:before="20" w:after="0"/>
        <w:jc w:val="right"/>
        <w:rPr>
          <w:rFonts w:ascii="Times New Roman" w:hAnsi="Times New Roman"/>
          <w:sz w:val="20"/>
        </w:rPr>
      </w:pPr>
      <w:r>
        <w:rPr>
          <w:rFonts w:ascii="Times New Roman" w:hAnsi="Times New Roman"/>
          <w:b/>
          <w:i/>
          <w:sz w:val="20"/>
        </w:rPr>
        <w:t>EXEMPTED</w:t>
      </w:r>
      <w:r>
        <w:rPr>
          <w:rFonts w:ascii="Times New Roman" w:hAnsi="Times New Roman"/>
          <w:sz w:val="20"/>
        </w:rPr>
        <w:t xml:space="preserve"> </w:t>
      </w:r>
      <w:r>
        <w:rPr>
          <w:rFonts w:ascii="Times New Roman" w:hAnsi="Times New Roman"/>
          <w:i/>
          <w:sz w:val="20"/>
        </w:rPr>
        <w:t>Company Registered and</w:t>
      </w:r>
      <w:r>
        <w:rPr>
          <w:rFonts w:ascii="Times New Roman" w:hAnsi="Times New Roman"/>
          <w:sz w:val="20"/>
        </w:rPr>
        <w:t xml:space="preserve"> </w:t>
      </w:r>
    </w:p>
    <w:p>
      <w:pPr>
        <w:pStyle w:val="TextBody"/>
        <w:spacing w:before="20" w:after="0"/>
        <w:jc w:val="right"/>
        <w:rPr>
          <w:rFonts w:ascii="Times New Roman" w:hAnsi="Times New Roman"/>
          <w:sz w:val="20"/>
        </w:rPr>
      </w:pPr>
      <w:r>
        <w:rPr>
          <w:rFonts w:ascii="Times New Roman" w:hAnsi="Times New Roman"/>
          <w:i/>
          <w:sz w:val="20"/>
        </w:rPr>
        <w:t>filed as No. 370146 On 13-Jan-2021</w:t>
      </w:r>
      <w:r>
        <w:rPr>
          <w:rFonts w:ascii="Times New Roman" w:hAnsi="Times New Roman"/>
          <w:sz w:val="20"/>
        </w:rPr>
        <w:t xml:space="preserve"> </w:t>
      </w:r>
    </w:p>
    <w:p>
      <w:pPr>
        <w:pStyle w:val="TextBody"/>
        <w:spacing w:before="0" w:after="0"/>
        <w:jc w:val="left"/>
        <w:rPr/>
      </w:pPr>
      <w:r>
        <w:rPr/>
        <w:t> </w:t>
      </w:r>
    </w:p>
    <w:p>
      <w:pPr>
        <w:pStyle w:val="TextBody"/>
        <w:spacing w:before="0" w:after="0"/>
        <w:jc w:val="right"/>
        <w:rPr/>
      </w:pPr>
      <w:r>
        <w:rPr/>
        <w:drawing>
          <wp:inline distT="0" distB="0" distL="0" distR="0">
            <wp:extent cx="447675" cy="361950"/>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447675" cy="361950"/>
                    </a:xfrm>
                    <a:prstGeom prst="rect">
                      <a:avLst/>
                    </a:prstGeom>
                  </pic:spPr>
                </pic:pic>
              </a:graphicData>
            </a:graphic>
          </wp:inline>
        </w:drawing>
      </w:r>
      <w:r>
        <w:rPr/>
        <w:t xml:space="preserve">                                           </w:t>
      </w:r>
    </w:p>
    <w:p>
      <w:pPr>
        <w:pStyle w:val="TextBody"/>
        <w:spacing w:before="0" w:after="0"/>
        <w:jc w:val="right"/>
        <w:rPr>
          <w:rFonts w:ascii="Times New Roman" w:hAnsi="Times New Roman"/>
          <w:sz w:val="20"/>
        </w:rPr>
      </w:pPr>
      <w:r>
        <w:rPr>
          <w:rFonts w:ascii="Times New Roman" w:hAnsi="Times New Roman"/>
          <w:i/>
          <w:sz w:val="20"/>
        </w:rPr>
        <w:t>Acting Assistant Registrar</w:t>
      </w:r>
      <w:r>
        <w:rPr>
          <w:rFonts w:ascii="Times New Roman" w:hAnsi="Times New Roman"/>
          <w:sz w:val="20"/>
        </w:rPr>
        <w:t xml:space="preserv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85"/>
        <w:gridCol w:w="9620"/>
      </w:tblGrid>
      <w:tr>
        <w:trPr/>
        <w:tc>
          <w:tcPr>
            <w:tcW w:w="585" w:type="dxa"/>
            <w:tcBorders/>
            <w:shd w:fill="auto" w:val="clear"/>
          </w:tcPr>
          <w:p>
            <w:pPr>
              <w:pStyle w:val="TableContents"/>
              <w:spacing w:before="0" w:after="283"/>
              <w:jc w:val="left"/>
              <w:rPr/>
            </w:pPr>
            <w:r>
              <w:rPr/>
              <w:t>22.12</w:t>
            </w:r>
          </w:p>
        </w:tc>
        <w:tc>
          <w:tcPr>
            <w:tcW w:w="962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Except on a poll demanded on the election of a chairman or on a question of adjournment, a poll shall be taken as the chairman directs, and the result of the poll shall be deemed to be the resolution of the general meeting at which the poll was demanded.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72"/>
        <w:gridCol w:w="9633"/>
      </w:tblGrid>
      <w:tr>
        <w:trPr/>
        <w:tc>
          <w:tcPr>
            <w:tcW w:w="572" w:type="dxa"/>
            <w:tcBorders/>
            <w:shd w:fill="auto" w:val="clear"/>
          </w:tcPr>
          <w:p>
            <w:pPr>
              <w:pStyle w:val="TableContents"/>
              <w:spacing w:before="0" w:after="283"/>
              <w:jc w:val="left"/>
              <w:rPr/>
            </w:pPr>
            <w:r>
              <w:rPr/>
              <w:t>22.13</w:t>
            </w:r>
          </w:p>
        </w:tc>
        <w:tc>
          <w:tcPr>
            <w:tcW w:w="963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poll demanded on the election of a chairman or on a question of adjournment shall be taken forthwith. A poll demanded on any other question shall be taken at such date, time and place as the chairman of the general meeting directs, and any business other than that upon which a poll has been demanded or is contingent thereon may proceed pending the taking of the poll.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95"/>
        <w:gridCol w:w="9610"/>
      </w:tblGrid>
      <w:tr>
        <w:trPr/>
        <w:tc>
          <w:tcPr>
            <w:tcW w:w="595" w:type="dxa"/>
            <w:tcBorders/>
            <w:shd w:fill="auto" w:val="clear"/>
          </w:tcPr>
          <w:p>
            <w:pPr>
              <w:pStyle w:val="TableContents"/>
              <w:spacing w:before="0" w:after="283"/>
              <w:jc w:val="left"/>
              <w:rPr/>
            </w:pPr>
            <w:r>
              <w:rPr/>
              <w:t>22.14</w:t>
            </w:r>
          </w:p>
        </w:tc>
        <w:tc>
          <w:tcPr>
            <w:tcW w:w="961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 the case of an equality of votes, whether on a show of hands or on a poll, the chairman shall be entitled to a second or casting vote.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9697"/>
      </w:tblGrid>
      <w:tr>
        <w:trPr/>
        <w:tc>
          <w:tcPr>
            <w:tcW w:w="508" w:type="dxa"/>
            <w:tcBorders/>
            <w:shd w:fill="auto" w:val="clear"/>
          </w:tcPr>
          <w:p>
            <w:pPr>
              <w:pStyle w:val="TableContents"/>
              <w:spacing w:before="0" w:after="283"/>
              <w:jc w:val="left"/>
              <w:rPr>
                <w:b/>
              </w:rPr>
            </w:pPr>
            <w:r>
              <w:rPr>
                <w:b/>
              </w:rPr>
              <w:t>23</w:t>
            </w:r>
          </w:p>
        </w:tc>
        <w:tc>
          <w:tcPr>
            <w:tcW w:w="9697"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Votes of Members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23.1</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Subject to any rights or restrictions attached to any Shares, on a show of hands every Member who (being an individual) is present in person or by proxy or, if a corporation or other non-natural person is present by its duly authorised representative or by proxy, shall have one vote and on a poll every Member present in any such manner shall have one vote for every Share of which he is the holder.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23.2</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 the case of joint holders the vote of the senior holder who tenders a vote, whether in person or by proxy (or, in the case of a corporation or other non-natural person, by its duly authorised representative or proxy), shall be accepted to the exclusion of the votes of the other joint holders, and seniority shall be determined by the order in which the names of the holders stand in the Register of Members.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23.3</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Member of unsound mind, or in respect of whom an order has been made by any court, having jurisdiction in lunacy, may vote, whether on a show of hands or on a poll, by his committee, receiver, curator bonis, or other person on such Members behalf appointed by that court, and any such committee, receiver, curator bonis or other person may vote by proxy.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23.4</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No person shall be entitled to vote at any general meeting unless he is registered as a Member on the record date for such meeting nor unless all calls or other monies then payable by him in respect of Shares have been paid.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9695"/>
      </w:tblGrid>
      <w:tr>
        <w:trPr/>
        <w:tc>
          <w:tcPr>
            <w:tcW w:w="510" w:type="dxa"/>
            <w:tcBorders/>
            <w:shd w:fill="auto" w:val="clear"/>
          </w:tcPr>
          <w:p>
            <w:pPr>
              <w:pStyle w:val="TableContents"/>
              <w:spacing w:before="0" w:after="283"/>
              <w:jc w:val="left"/>
              <w:rPr/>
            </w:pPr>
            <w:r>
              <w:rPr/>
              <w:t>23.5</w:t>
            </w:r>
          </w:p>
        </w:tc>
        <w:tc>
          <w:tcPr>
            <w:tcW w:w="969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No objection shall be raised as to the qualification of any voter except at the general meeting or adjourned general meeting at which the vote objected to is given or tendered and every vote not disallowed at the meeting shall be valid. Any objection made in due time in accordance with this Article shall be referred to the chairman whose decision shall be final and conclusive.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23.6</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On a poll or on a show of hands votes may be cast either personally or by proxy (or in the case of a corporation or other non-natural person by its duly authorised representative or proxy). A Member may appoint more than one proxy or the same proxy under one or more instruments to attend and vote at a meeting. Where a Member appoints more than one proxy the instrument of proxy shall state which proxy is entitled to vote on a show of hands and shall specify the number of Shares in respect of which each proxy is entitled to exercise the related votes. </w:t>
            </w:r>
          </w:p>
        </w:tc>
      </w:tr>
    </w:tbl>
    <w:p>
      <w:pPr>
        <w:pStyle w:val="TextBody"/>
        <w:spacing w:before="0" w:after="0"/>
        <w:jc w:val="left"/>
        <w:rPr/>
      </w:pPr>
      <w:r>
        <w:rPr/>
        <w:t> </w:t>
      </w:r>
    </w:p>
    <w:p>
      <w:pPr>
        <w:pStyle w:val="TextBody"/>
        <w:spacing w:before="0" w:after="0"/>
        <w:jc w:val="right"/>
        <w:rPr>
          <w:rFonts w:ascii="Times New Roman" w:hAnsi="Times New Roman"/>
          <w:sz w:val="20"/>
        </w:rPr>
      </w:pPr>
      <w:r>
        <w:rPr>
          <w:rFonts w:ascii="Times New Roman" w:hAnsi="Times New Roman"/>
          <w:sz w:val="20"/>
        </w:rPr>
        <w:t xml:space="preserve">16 </w:t>
      </w:r>
    </w:p>
    <w:p>
      <w:pPr>
        <w:pStyle w:val="TextBody"/>
        <w:spacing w:before="80" w:after="0"/>
        <w:jc w:val="right"/>
        <w:rPr>
          <w:rFonts w:ascii="Times New Roman" w:hAnsi="Times New Roman"/>
          <w:sz w:val="20"/>
        </w:rPr>
      </w:pPr>
      <w:r>
        <w:rPr>
          <w:rFonts w:ascii="Times New Roman" w:hAnsi="Times New Roman"/>
          <w:i/>
          <w:sz w:val="20"/>
        </w:rPr>
        <w:t>Auth Code: H70275751251</w:t>
      </w:r>
      <w:r>
        <w:rPr>
          <w:rFonts w:ascii="Times New Roman" w:hAnsi="Times New Roman"/>
          <w:sz w:val="20"/>
        </w:rPr>
        <w:t xml:space="preserve"> </w:t>
      </w:r>
    </w:p>
    <w:p>
      <w:pPr>
        <w:pStyle w:val="TextBody"/>
        <w:spacing w:before="0" w:after="0"/>
        <w:jc w:val="right"/>
        <w:rPr>
          <w:rFonts w:ascii="Times New Roman" w:hAnsi="Times New Roman"/>
          <w:sz w:val="20"/>
        </w:rPr>
      </w:pPr>
      <w:r>
        <w:rPr>
          <w:rFonts w:ascii="Times New Roman" w:hAnsi="Times New Roman"/>
          <w:i/>
          <w:sz w:val="20"/>
        </w:rPr>
        <w:t>www.verify.gov.ky</w:t>
      </w:r>
      <w:r>
        <w:rPr>
          <w:rFonts w:ascii="Times New Roman" w:hAnsi="Times New Roman"/>
          <w:sz w:val="20"/>
        </w:rPr>
        <w:t xml:space="preserve"> </w:t>
      </w:r>
      <w:r>
        <w:br w:type="page"/>
      </w:r>
    </w:p>
    <w:p>
      <w:pPr>
        <w:pStyle w:val="HorizontalLine"/>
        <w:pBdr>
          <w:bottom w:val="double" w:sz="6" w:space="0" w:color="808080"/>
        </w:pBdr>
        <w:rPr/>
      </w:pPr>
      <w:r>
        <w:rPr/>
      </w:r>
    </w:p>
    <w:p>
      <w:pPr>
        <w:pStyle w:val="TextBody"/>
        <w:spacing w:before="0" w:after="0"/>
        <w:jc w:val="right"/>
        <w:rPr/>
      </w:pPr>
      <w:r>
        <w:rPr/>
        <w:drawing>
          <wp:inline distT="0" distB="0" distL="0" distR="0">
            <wp:extent cx="914400" cy="914400"/>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914400" cy="914400"/>
                    </a:xfrm>
                    <a:prstGeom prst="rect">
                      <a:avLst/>
                    </a:prstGeom>
                  </pic:spPr>
                </pic:pic>
              </a:graphicData>
            </a:graphic>
          </wp:inline>
        </w:drawing>
      </w:r>
      <w:r>
        <w:rPr/>
        <w:t xml:space="preserve">              </w:t>
      </w:r>
    </w:p>
    <w:p>
      <w:pPr>
        <w:pStyle w:val="TextBody"/>
        <w:spacing w:before="20" w:after="0"/>
        <w:jc w:val="right"/>
        <w:rPr>
          <w:rFonts w:ascii="Times New Roman" w:hAnsi="Times New Roman"/>
          <w:sz w:val="20"/>
        </w:rPr>
      </w:pPr>
      <w:r>
        <w:rPr>
          <w:rFonts w:ascii="Times New Roman" w:hAnsi="Times New Roman"/>
          <w:b/>
          <w:i/>
          <w:sz w:val="20"/>
        </w:rPr>
        <w:t>EXEMPTED</w:t>
      </w:r>
      <w:r>
        <w:rPr>
          <w:rFonts w:ascii="Times New Roman" w:hAnsi="Times New Roman"/>
          <w:sz w:val="20"/>
        </w:rPr>
        <w:t xml:space="preserve"> </w:t>
      </w:r>
      <w:r>
        <w:rPr>
          <w:rFonts w:ascii="Times New Roman" w:hAnsi="Times New Roman"/>
          <w:i/>
          <w:sz w:val="20"/>
        </w:rPr>
        <w:t>Company Registered and</w:t>
      </w:r>
      <w:r>
        <w:rPr>
          <w:rFonts w:ascii="Times New Roman" w:hAnsi="Times New Roman"/>
          <w:sz w:val="20"/>
        </w:rPr>
        <w:t xml:space="preserve"> </w:t>
      </w:r>
    </w:p>
    <w:p>
      <w:pPr>
        <w:pStyle w:val="TextBody"/>
        <w:spacing w:before="20" w:after="0"/>
        <w:jc w:val="right"/>
        <w:rPr>
          <w:rFonts w:ascii="Times New Roman" w:hAnsi="Times New Roman"/>
          <w:sz w:val="20"/>
        </w:rPr>
      </w:pPr>
      <w:r>
        <w:rPr>
          <w:rFonts w:ascii="Times New Roman" w:hAnsi="Times New Roman"/>
          <w:i/>
          <w:sz w:val="20"/>
        </w:rPr>
        <w:t>filed as No. 370146 On 13-Jan-2021</w:t>
      </w:r>
      <w:r>
        <w:rPr>
          <w:rFonts w:ascii="Times New Roman" w:hAnsi="Times New Roman"/>
          <w:sz w:val="20"/>
        </w:rPr>
        <w:t xml:space="preserve"> </w:t>
      </w:r>
    </w:p>
    <w:p>
      <w:pPr>
        <w:pStyle w:val="TextBody"/>
        <w:spacing w:before="0" w:after="0"/>
        <w:jc w:val="left"/>
        <w:rPr/>
      </w:pPr>
      <w:r>
        <w:rPr/>
        <w:t> </w:t>
      </w:r>
    </w:p>
    <w:p>
      <w:pPr>
        <w:pStyle w:val="TextBody"/>
        <w:spacing w:before="0" w:after="0"/>
        <w:jc w:val="right"/>
        <w:rPr/>
      </w:pPr>
      <w:r>
        <w:rPr/>
        <w:drawing>
          <wp:inline distT="0" distB="0" distL="0" distR="0">
            <wp:extent cx="447675" cy="361950"/>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447675" cy="361950"/>
                    </a:xfrm>
                    <a:prstGeom prst="rect">
                      <a:avLst/>
                    </a:prstGeom>
                  </pic:spPr>
                </pic:pic>
              </a:graphicData>
            </a:graphic>
          </wp:inline>
        </w:drawing>
      </w:r>
      <w:r>
        <w:rPr/>
        <w:t xml:space="preserve">                                           </w:t>
      </w:r>
    </w:p>
    <w:p>
      <w:pPr>
        <w:pStyle w:val="TextBody"/>
        <w:spacing w:before="0" w:after="0"/>
        <w:jc w:val="right"/>
        <w:rPr>
          <w:rFonts w:ascii="Times New Roman" w:hAnsi="Times New Roman"/>
          <w:sz w:val="20"/>
        </w:rPr>
      </w:pPr>
      <w:r>
        <w:rPr>
          <w:rFonts w:ascii="Times New Roman" w:hAnsi="Times New Roman"/>
          <w:i/>
          <w:sz w:val="20"/>
        </w:rPr>
        <w:t>Acting Assistant Registrar</w:t>
      </w:r>
      <w:r>
        <w:rPr>
          <w:rFonts w:ascii="Times New Roman" w:hAnsi="Times New Roman"/>
          <w:sz w:val="20"/>
        </w:rPr>
        <w:t xml:space="preserv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23.7</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On a poll, a Member holding more than one Share need not cast the votes in respect of his Shares in the same way on any resolution and therefore may vote a Share or some or all such Shares either for or against a resolution and/or abstain from voting a Share or some or all of the Shares and, subject to the terms of the instrument appointing him, a proxy appointed under one or more instruments may vote a Share or some or all of the Shares in respect of which he is appointed either for or against a resolution and/or abstain from voting a Share or some or all of the Shares in respect of which he is appointed.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9695"/>
      </w:tblGrid>
      <w:tr>
        <w:trPr/>
        <w:tc>
          <w:tcPr>
            <w:tcW w:w="510" w:type="dxa"/>
            <w:tcBorders/>
            <w:shd w:fill="auto" w:val="clear"/>
          </w:tcPr>
          <w:p>
            <w:pPr>
              <w:pStyle w:val="TableContents"/>
              <w:spacing w:before="0" w:after="283"/>
              <w:jc w:val="left"/>
              <w:rPr>
                <w:b/>
              </w:rPr>
            </w:pPr>
            <w:r>
              <w:rPr>
                <w:b/>
              </w:rPr>
              <w:t>24</w:t>
            </w:r>
          </w:p>
        </w:tc>
        <w:tc>
          <w:tcPr>
            <w:tcW w:w="9695"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Proxies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24.1</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instrument appointing a proxy shall be in writing and shall be executed under the hand of the appointor or of his attorney duly authorised in writing, or, if the appointor is a corporation or other non natural person, under the hand of its duly authorised representative. A proxy need not be a Member.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24.2</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Directors may, in the notice convening any meeting or adjourned meeting, or in an instrument of proxy sent out by the Company, specify the manner by which the instrument appointing a proxy shall be deposited and the place and the time (being not later than the time appointed for the commencement of the meeting or adjourned meeting to which the proxy relates) at which the instrument appointing a proxy shall be deposited. In the absence of any such direction from the Directors in the notice convening any meeting or adjourned meeting or in an instrument of proxy sent out by the Company, the instrument appointing a proxy shall be deposited physically at the Registered Office not less than 48 hours before the time appointed for the meeting or adjourned meeting to commence at which the person named in the instrument proposes to vote.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24.3</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chairman may in any event at his discretion declare that an instrument of proxy shall be deemed to have been duly deposited. An instrument of proxy that is not deposited in the manner permitted, or which has not been declared to have been duly deposited by the chairman, shall be invalid.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24.4</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instrument appointing a proxy may be in any usual or common form (or such other form as the Directors may approve) and may be expressed to be for a particular meeting or any adjournment thereof or generally until revoked. An instrument appointing a proxy shall be deemed to include the power to demand or join or concur in demanding a poll.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24.5</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Votes given in accordance with the terms of an instrument of proxy shall be valid notwithstanding the previous death or insanity of the principal or revocation of the proxy or of the authority under which the proxy was executed, or the transfer of the Share in respect of which the proxy is given unless notice in writing of such death, insanity, revocation or transfer was received by the Company at the Registered Office before the commencement of the general meeting, or adjourned meeting at which it is sought to use the proxy.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9697"/>
      </w:tblGrid>
      <w:tr>
        <w:trPr/>
        <w:tc>
          <w:tcPr>
            <w:tcW w:w="508" w:type="dxa"/>
            <w:tcBorders/>
            <w:shd w:fill="auto" w:val="clear"/>
          </w:tcPr>
          <w:p>
            <w:pPr>
              <w:pStyle w:val="TableContents"/>
              <w:spacing w:before="0" w:after="283"/>
              <w:jc w:val="left"/>
              <w:rPr>
                <w:b/>
              </w:rPr>
            </w:pPr>
            <w:r>
              <w:rPr>
                <w:b/>
              </w:rPr>
              <w:t>25</w:t>
            </w:r>
          </w:p>
        </w:tc>
        <w:tc>
          <w:tcPr>
            <w:tcW w:w="9697"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Corporate Members </w:t>
            </w:r>
          </w:p>
        </w:tc>
      </w:tr>
    </w:tbl>
    <w:p>
      <w:pPr>
        <w:pStyle w:val="TextBody"/>
        <w:spacing w:before="120" w:after="0"/>
        <w:jc w:val="left"/>
        <w:rPr>
          <w:rFonts w:ascii="Times New Roman" w:hAnsi="Times New Roman"/>
          <w:sz w:val="20"/>
        </w:rPr>
      </w:pPr>
      <w:r>
        <w:rPr>
          <w:rFonts w:ascii="Times New Roman" w:hAnsi="Times New Roman"/>
          <w:sz w:val="20"/>
        </w:rPr>
        <w:t xml:space="preserve">Any corporation or other non-natural person which is a Member may in accordance with its constitutional documents, or in the absence of such provision by resolution of its directors or other </w:t>
      </w:r>
    </w:p>
    <w:p>
      <w:pPr>
        <w:pStyle w:val="TextBody"/>
        <w:spacing w:before="0" w:after="0"/>
        <w:jc w:val="left"/>
        <w:rPr/>
      </w:pPr>
      <w:r>
        <w:rPr/>
        <w:t> </w:t>
      </w:r>
    </w:p>
    <w:p>
      <w:pPr>
        <w:pStyle w:val="TextBody"/>
        <w:spacing w:before="0" w:after="0"/>
        <w:jc w:val="right"/>
        <w:rPr>
          <w:rFonts w:ascii="Times New Roman" w:hAnsi="Times New Roman"/>
          <w:sz w:val="20"/>
        </w:rPr>
      </w:pPr>
      <w:r>
        <w:rPr>
          <w:rFonts w:ascii="Times New Roman" w:hAnsi="Times New Roman"/>
          <w:sz w:val="20"/>
        </w:rPr>
        <w:t xml:space="preserve">17 </w:t>
      </w:r>
    </w:p>
    <w:p>
      <w:pPr>
        <w:pStyle w:val="TextBody"/>
        <w:spacing w:before="80" w:after="0"/>
        <w:jc w:val="right"/>
        <w:rPr>
          <w:rFonts w:ascii="Times New Roman" w:hAnsi="Times New Roman"/>
          <w:sz w:val="20"/>
        </w:rPr>
      </w:pPr>
      <w:r>
        <w:rPr>
          <w:rFonts w:ascii="Times New Roman" w:hAnsi="Times New Roman"/>
          <w:i/>
          <w:sz w:val="20"/>
        </w:rPr>
        <w:t>Auth Code: H70275751251</w:t>
      </w:r>
      <w:r>
        <w:rPr>
          <w:rFonts w:ascii="Times New Roman" w:hAnsi="Times New Roman"/>
          <w:sz w:val="20"/>
        </w:rPr>
        <w:t xml:space="preserve"> </w:t>
      </w:r>
    </w:p>
    <w:p>
      <w:pPr>
        <w:pStyle w:val="TextBody"/>
        <w:spacing w:before="0" w:after="0"/>
        <w:jc w:val="right"/>
        <w:rPr>
          <w:rFonts w:ascii="Times New Roman" w:hAnsi="Times New Roman"/>
          <w:sz w:val="20"/>
        </w:rPr>
      </w:pPr>
      <w:r>
        <w:rPr>
          <w:rFonts w:ascii="Times New Roman" w:hAnsi="Times New Roman"/>
          <w:i/>
          <w:sz w:val="20"/>
        </w:rPr>
        <w:t>www.verify.gov.ky</w:t>
      </w:r>
      <w:r>
        <w:rPr>
          <w:rFonts w:ascii="Times New Roman" w:hAnsi="Times New Roman"/>
          <w:sz w:val="20"/>
        </w:rPr>
        <w:t xml:space="preserve"> </w:t>
      </w:r>
      <w:r>
        <w:br w:type="page"/>
      </w:r>
    </w:p>
    <w:p>
      <w:pPr>
        <w:pStyle w:val="HorizontalLine"/>
        <w:pBdr>
          <w:bottom w:val="double" w:sz="6" w:space="0" w:color="808080"/>
        </w:pBdr>
        <w:rPr/>
      </w:pPr>
      <w:r>
        <w:rPr/>
      </w:r>
    </w:p>
    <w:p>
      <w:pPr>
        <w:pStyle w:val="TextBody"/>
        <w:spacing w:before="0" w:after="0"/>
        <w:jc w:val="right"/>
        <w:rPr/>
      </w:pPr>
      <w:r>
        <w:rPr/>
        <w:drawing>
          <wp:inline distT="0" distB="0" distL="0" distR="0">
            <wp:extent cx="914400" cy="914400"/>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914400" cy="914400"/>
                    </a:xfrm>
                    <a:prstGeom prst="rect">
                      <a:avLst/>
                    </a:prstGeom>
                  </pic:spPr>
                </pic:pic>
              </a:graphicData>
            </a:graphic>
          </wp:inline>
        </w:drawing>
      </w:r>
      <w:r>
        <w:rPr/>
        <w:t xml:space="preserve">              </w:t>
      </w:r>
    </w:p>
    <w:p>
      <w:pPr>
        <w:pStyle w:val="TextBody"/>
        <w:spacing w:before="20" w:after="0"/>
        <w:jc w:val="right"/>
        <w:rPr>
          <w:rFonts w:ascii="Times New Roman" w:hAnsi="Times New Roman"/>
          <w:sz w:val="20"/>
        </w:rPr>
      </w:pPr>
      <w:r>
        <w:rPr>
          <w:rFonts w:ascii="Times New Roman" w:hAnsi="Times New Roman"/>
          <w:b/>
          <w:i/>
          <w:sz w:val="20"/>
        </w:rPr>
        <w:t>EXEMPTED</w:t>
      </w:r>
      <w:r>
        <w:rPr>
          <w:rFonts w:ascii="Times New Roman" w:hAnsi="Times New Roman"/>
          <w:sz w:val="20"/>
        </w:rPr>
        <w:t xml:space="preserve"> </w:t>
      </w:r>
      <w:r>
        <w:rPr>
          <w:rFonts w:ascii="Times New Roman" w:hAnsi="Times New Roman"/>
          <w:i/>
          <w:sz w:val="20"/>
        </w:rPr>
        <w:t>Company Registered and</w:t>
      </w:r>
      <w:r>
        <w:rPr>
          <w:rFonts w:ascii="Times New Roman" w:hAnsi="Times New Roman"/>
          <w:sz w:val="20"/>
        </w:rPr>
        <w:t xml:space="preserve"> </w:t>
      </w:r>
    </w:p>
    <w:p>
      <w:pPr>
        <w:pStyle w:val="TextBody"/>
        <w:spacing w:before="20" w:after="0"/>
        <w:jc w:val="right"/>
        <w:rPr>
          <w:rFonts w:ascii="Times New Roman" w:hAnsi="Times New Roman"/>
          <w:sz w:val="20"/>
        </w:rPr>
      </w:pPr>
      <w:r>
        <w:rPr>
          <w:rFonts w:ascii="Times New Roman" w:hAnsi="Times New Roman"/>
          <w:i/>
          <w:sz w:val="20"/>
        </w:rPr>
        <w:t>filed as No. 370146 On 13-Jan-2021</w:t>
      </w:r>
      <w:r>
        <w:rPr>
          <w:rFonts w:ascii="Times New Roman" w:hAnsi="Times New Roman"/>
          <w:sz w:val="20"/>
        </w:rPr>
        <w:t xml:space="preserve"> </w:t>
      </w:r>
    </w:p>
    <w:p>
      <w:pPr>
        <w:pStyle w:val="TextBody"/>
        <w:spacing w:before="0" w:after="0"/>
        <w:jc w:val="left"/>
        <w:rPr/>
      </w:pPr>
      <w:r>
        <w:rPr/>
        <w:t> </w:t>
      </w:r>
    </w:p>
    <w:p>
      <w:pPr>
        <w:pStyle w:val="TextBody"/>
        <w:spacing w:before="0" w:after="0"/>
        <w:jc w:val="right"/>
        <w:rPr/>
      </w:pPr>
      <w:r>
        <w:rPr/>
        <w:drawing>
          <wp:inline distT="0" distB="0" distL="0" distR="0">
            <wp:extent cx="447675" cy="361950"/>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447675" cy="361950"/>
                    </a:xfrm>
                    <a:prstGeom prst="rect">
                      <a:avLst/>
                    </a:prstGeom>
                  </pic:spPr>
                </pic:pic>
              </a:graphicData>
            </a:graphic>
          </wp:inline>
        </w:drawing>
      </w:r>
      <w:r>
        <w:rPr/>
        <w:t xml:space="preserve">                                           </w:t>
      </w:r>
    </w:p>
    <w:p>
      <w:pPr>
        <w:pStyle w:val="TextBody"/>
        <w:spacing w:before="0" w:after="0"/>
        <w:jc w:val="right"/>
        <w:rPr>
          <w:rFonts w:ascii="Times New Roman" w:hAnsi="Times New Roman"/>
          <w:sz w:val="20"/>
        </w:rPr>
      </w:pPr>
      <w:r>
        <w:rPr>
          <w:rFonts w:ascii="Times New Roman" w:hAnsi="Times New Roman"/>
          <w:i/>
          <w:sz w:val="20"/>
        </w:rPr>
        <w:t>Acting Assistant Registrar</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 w:hAnsi="Times New Roman"/>
          <w:sz w:val="20"/>
        </w:rPr>
        <w:t xml:space="preserve">governing body, authorise such person as it thinks fit to act as its representative at any meeting of the Company or of any class of Members, and the person so authorised shall be entitled to exercise the same powers on behalf of the corporation which he represents as the corporation could exercise if it were an individual Member.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b/>
              </w:rPr>
            </w:pPr>
            <w:r>
              <w:rPr>
                <w:b/>
              </w:rPr>
              <w:t>26</w:t>
            </w:r>
          </w:p>
        </w:tc>
        <w:tc>
          <w:tcPr>
            <w:tcW w:w="9696"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Shares that May Not be Voted </w:t>
            </w:r>
          </w:p>
        </w:tc>
      </w:tr>
    </w:tbl>
    <w:p>
      <w:pPr>
        <w:pStyle w:val="TextBody"/>
        <w:spacing w:before="120" w:after="0"/>
        <w:jc w:val="left"/>
        <w:rPr>
          <w:rFonts w:ascii="Times New Roman" w:hAnsi="Times New Roman"/>
          <w:sz w:val="20"/>
        </w:rPr>
      </w:pPr>
      <w:r>
        <w:rPr>
          <w:rFonts w:ascii="Times New Roman" w:hAnsi="Times New Roman"/>
          <w:sz w:val="20"/>
        </w:rPr>
        <w:t xml:space="preserve">Shares in the Company that are beneficially owned by the Company shall not be voted, directly or indirectly, at any meeting and shall not be counted in determining the total number of outstanding Shares at any given time.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9697"/>
      </w:tblGrid>
      <w:tr>
        <w:trPr/>
        <w:tc>
          <w:tcPr>
            <w:tcW w:w="508" w:type="dxa"/>
            <w:tcBorders/>
            <w:shd w:fill="auto" w:val="clear"/>
          </w:tcPr>
          <w:p>
            <w:pPr>
              <w:pStyle w:val="TableContents"/>
              <w:spacing w:before="0" w:after="283"/>
              <w:jc w:val="left"/>
              <w:rPr>
                <w:b/>
              </w:rPr>
            </w:pPr>
            <w:r>
              <w:rPr>
                <w:b/>
              </w:rPr>
              <w:t>27</w:t>
            </w:r>
          </w:p>
        </w:tc>
        <w:tc>
          <w:tcPr>
            <w:tcW w:w="9697"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Directors </w:t>
            </w:r>
          </w:p>
        </w:tc>
      </w:tr>
    </w:tbl>
    <w:p>
      <w:pPr>
        <w:pStyle w:val="TextBody"/>
        <w:spacing w:before="120" w:after="0"/>
        <w:jc w:val="left"/>
        <w:rPr>
          <w:rFonts w:ascii="Times New Roman" w:hAnsi="Times New Roman"/>
          <w:sz w:val="20"/>
        </w:rPr>
      </w:pPr>
      <w:r>
        <w:rPr>
          <w:rFonts w:ascii="Times New Roman" w:hAnsi="Times New Roman"/>
          <w:sz w:val="20"/>
        </w:rPr>
        <w:t xml:space="preserve">There shall be a board of Directors consisting of not less than one person (exclusive of alternate Directors) provided however that the Company may by Ordinary Resolution increase or reduce the limits in the number of Directors. The first Directors of the Company shall be determined in writing by, or appointed by a resolution of, the Subscriber.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9697"/>
      </w:tblGrid>
      <w:tr>
        <w:trPr/>
        <w:tc>
          <w:tcPr>
            <w:tcW w:w="508" w:type="dxa"/>
            <w:tcBorders/>
            <w:shd w:fill="auto" w:val="clear"/>
          </w:tcPr>
          <w:p>
            <w:pPr>
              <w:pStyle w:val="TableContents"/>
              <w:spacing w:before="0" w:after="283"/>
              <w:jc w:val="left"/>
              <w:rPr>
                <w:b/>
              </w:rPr>
            </w:pPr>
            <w:r>
              <w:rPr>
                <w:b/>
              </w:rPr>
              <w:t>28</w:t>
            </w:r>
          </w:p>
        </w:tc>
        <w:tc>
          <w:tcPr>
            <w:tcW w:w="9697"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Powers of Directors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28.1</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Subject to the provisions of the Statute, the Memorandum and the Articles and to any directions given by Special Resolution, the business of the Company shall be managed by the Directors who may exercise all the powers of the Company. No alteration of the Memorandum or Articles and no such direction shall invalidate any prior act of the Directors which would have been valid if that alteration had not been made or that direction had not been given. A duly convened meeting of Directors at which a quorum is present may exercise all powers exercisable by the Directors.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28.2</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All cheques, promissory notes, drafts, bills of exchange and other negotiable or transferable instruments and all receipts for monies paid to the Company shall be signed, drawn, accepted, endorsed or otherwise executed as the case may be in such manner as the Directors shall determine by resolution.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28.3</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Directors on behalf of the Company may pay a gratuity or pension or allowance on retirement to any Director who has held any other salaried office or place of profit with the Company or to his widow or dependants and may make contributions to any fund and pay premiums for the purchase or provision of any such gratuity, pension or allowance.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28.4</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Directors may exercise all the powers of the Company to borrow money and to mortgage or charge its undertaking, property and assets (present and future) and uncalled capital or any part thereof and to issue debentures, debenture stock, mortgages, bonds and other such securities whether outright or as security for any debt, liability or obligation of the Company or of any third party. </w:t>
            </w:r>
          </w:p>
        </w:tc>
      </w:tr>
    </w:tbl>
    <w:p>
      <w:pPr>
        <w:pStyle w:val="TextBody"/>
        <w:spacing w:before="0" w:after="0"/>
        <w:jc w:val="left"/>
        <w:rPr/>
      </w:pPr>
      <w:r>
        <w:rPr/>
        <w:t> </w:t>
      </w:r>
    </w:p>
    <w:p>
      <w:pPr>
        <w:pStyle w:val="TextBody"/>
        <w:spacing w:before="0" w:after="0"/>
        <w:jc w:val="right"/>
        <w:rPr>
          <w:rFonts w:ascii="Times New Roman" w:hAnsi="Times New Roman"/>
          <w:sz w:val="20"/>
        </w:rPr>
      </w:pPr>
      <w:r>
        <w:rPr>
          <w:rFonts w:ascii="Times New Roman" w:hAnsi="Times New Roman"/>
          <w:sz w:val="20"/>
        </w:rPr>
        <w:t xml:space="preserve">18 </w:t>
      </w:r>
    </w:p>
    <w:p>
      <w:pPr>
        <w:pStyle w:val="TextBody"/>
        <w:spacing w:before="80" w:after="0"/>
        <w:jc w:val="right"/>
        <w:rPr>
          <w:rFonts w:ascii="Times New Roman" w:hAnsi="Times New Roman"/>
          <w:sz w:val="20"/>
        </w:rPr>
      </w:pPr>
      <w:r>
        <w:rPr>
          <w:rFonts w:ascii="Times New Roman" w:hAnsi="Times New Roman"/>
          <w:i/>
          <w:sz w:val="20"/>
        </w:rPr>
        <w:t>Auth Code: H70275751251</w:t>
      </w:r>
      <w:r>
        <w:rPr>
          <w:rFonts w:ascii="Times New Roman" w:hAnsi="Times New Roman"/>
          <w:sz w:val="20"/>
        </w:rPr>
        <w:t xml:space="preserve"> </w:t>
      </w:r>
    </w:p>
    <w:p>
      <w:pPr>
        <w:pStyle w:val="TextBody"/>
        <w:spacing w:before="0" w:after="0"/>
        <w:jc w:val="right"/>
        <w:rPr>
          <w:rFonts w:ascii="Times New Roman" w:hAnsi="Times New Roman"/>
          <w:sz w:val="20"/>
        </w:rPr>
      </w:pPr>
      <w:r>
        <w:rPr>
          <w:rFonts w:ascii="Times New Roman" w:hAnsi="Times New Roman"/>
          <w:i/>
          <w:sz w:val="20"/>
        </w:rPr>
        <w:t>www.verify.gov.ky</w:t>
      </w:r>
      <w:r>
        <w:rPr>
          <w:rFonts w:ascii="Times New Roman" w:hAnsi="Times New Roman"/>
          <w:sz w:val="20"/>
        </w:rPr>
        <w:t xml:space="preserve"> </w:t>
      </w:r>
      <w:r>
        <w:br w:type="page"/>
      </w:r>
    </w:p>
    <w:p>
      <w:pPr>
        <w:pStyle w:val="HorizontalLine"/>
        <w:pBdr>
          <w:bottom w:val="double" w:sz="6" w:space="0" w:color="808080"/>
        </w:pBdr>
        <w:rPr/>
      </w:pPr>
      <w:r>
        <w:rPr/>
      </w:r>
    </w:p>
    <w:p>
      <w:pPr>
        <w:pStyle w:val="TextBody"/>
        <w:spacing w:before="0" w:after="0"/>
        <w:jc w:val="right"/>
        <w:rPr/>
      </w:pPr>
      <w:r>
        <w:rPr/>
        <w:drawing>
          <wp:inline distT="0" distB="0" distL="0" distR="0">
            <wp:extent cx="914400" cy="914400"/>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914400" cy="914400"/>
                    </a:xfrm>
                    <a:prstGeom prst="rect">
                      <a:avLst/>
                    </a:prstGeom>
                  </pic:spPr>
                </pic:pic>
              </a:graphicData>
            </a:graphic>
          </wp:inline>
        </w:drawing>
      </w:r>
      <w:r>
        <w:rPr/>
        <w:t xml:space="preserve">              </w:t>
      </w:r>
    </w:p>
    <w:p>
      <w:pPr>
        <w:pStyle w:val="TextBody"/>
        <w:spacing w:before="20" w:after="0"/>
        <w:jc w:val="right"/>
        <w:rPr>
          <w:rFonts w:ascii="Times New Roman" w:hAnsi="Times New Roman"/>
          <w:sz w:val="20"/>
        </w:rPr>
      </w:pPr>
      <w:r>
        <w:rPr>
          <w:rFonts w:ascii="Times New Roman" w:hAnsi="Times New Roman"/>
          <w:b/>
          <w:i/>
          <w:sz w:val="20"/>
        </w:rPr>
        <w:t>EXEMPTED</w:t>
      </w:r>
      <w:r>
        <w:rPr>
          <w:rFonts w:ascii="Times New Roman" w:hAnsi="Times New Roman"/>
          <w:sz w:val="20"/>
        </w:rPr>
        <w:t xml:space="preserve"> </w:t>
      </w:r>
      <w:r>
        <w:rPr>
          <w:rFonts w:ascii="Times New Roman" w:hAnsi="Times New Roman"/>
          <w:i/>
          <w:sz w:val="20"/>
        </w:rPr>
        <w:t>Company Registered and</w:t>
      </w:r>
      <w:r>
        <w:rPr>
          <w:rFonts w:ascii="Times New Roman" w:hAnsi="Times New Roman"/>
          <w:sz w:val="20"/>
        </w:rPr>
        <w:t xml:space="preserve"> </w:t>
      </w:r>
    </w:p>
    <w:p>
      <w:pPr>
        <w:pStyle w:val="TextBody"/>
        <w:spacing w:before="20" w:after="0"/>
        <w:jc w:val="right"/>
        <w:rPr>
          <w:rFonts w:ascii="Times New Roman" w:hAnsi="Times New Roman"/>
          <w:sz w:val="20"/>
        </w:rPr>
      </w:pPr>
      <w:r>
        <w:rPr>
          <w:rFonts w:ascii="Times New Roman" w:hAnsi="Times New Roman"/>
          <w:i/>
          <w:sz w:val="20"/>
        </w:rPr>
        <w:t>filed as No. 370146 On 13-Jan-2021</w:t>
      </w:r>
      <w:r>
        <w:rPr>
          <w:rFonts w:ascii="Times New Roman" w:hAnsi="Times New Roman"/>
          <w:sz w:val="20"/>
        </w:rPr>
        <w:t xml:space="preserve"> </w:t>
      </w:r>
    </w:p>
    <w:p>
      <w:pPr>
        <w:pStyle w:val="TextBody"/>
        <w:spacing w:before="0" w:after="0"/>
        <w:jc w:val="left"/>
        <w:rPr/>
      </w:pPr>
      <w:r>
        <w:rPr/>
        <w:t> </w:t>
      </w:r>
    </w:p>
    <w:p>
      <w:pPr>
        <w:pStyle w:val="TextBody"/>
        <w:spacing w:before="0" w:after="0"/>
        <w:jc w:val="right"/>
        <w:rPr/>
      </w:pPr>
      <w:r>
        <w:rPr/>
        <w:drawing>
          <wp:inline distT="0" distB="0" distL="0" distR="0">
            <wp:extent cx="447675" cy="361950"/>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447675" cy="361950"/>
                    </a:xfrm>
                    <a:prstGeom prst="rect">
                      <a:avLst/>
                    </a:prstGeom>
                  </pic:spPr>
                </pic:pic>
              </a:graphicData>
            </a:graphic>
          </wp:inline>
        </w:drawing>
      </w:r>
      <w:r>
        <w:rPr/>
        <w:t xml:space="preserve">                                           </w:t>
      </w:r>
    </w:p>
    <w:p>
      <w:pPr>
        <w:pStyle w:val="TextBody"/>
        <w:spacing w:before="0" w:after="0"/>
        <w:jc w:val="right"/>
        <w:rPr>
          <w:rFonts w:ascii="Times New Roman" w:hAnsi="Times New Roman"/>
          <w:sz w:val="20"/>
        </w:rPr>
      </w:pPr>
      <w:r>
        <w:rPr>
          <w:rFonts w:ascii="Times New Roman" w:hAnsi="Times New Roman"/>
          <w:i/>
          <w:sz w:val="20"/>
        </w:rPr>
        <w:t>Acting Assistant Registrar</w:t>
      </w:r>
      <w:r>
        <w:rPr>
          <w:rFonts w:ascii="Times New Roman" w:hAnsi="Times New Roman"/>
          <w:sz w:val="20"/>
        </w:rPr>
        <w:t xml:space="preserv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b/>
              </w:rPr>
            </w:pPr>
            <w:r>
              <w:rPr>
                <w:b/>
              </w:rPr>
              <w:t>29</w:t>
            </w:r>
          </w:p>
        </w:tc>
        <w:tc>
          <w:tcPr>
            <w:tcW w:w="9696"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Appointment and Removal of Directors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29.1</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Company may by Ordinary Resolution appoint any person to be a Director or may by Ordinary Resolution remove any Director.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29.2</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Directors may appoint any person to be a Director, either to fill a vacancy or as an additional Director provided that the appointment does not cause the number of Directors to exceed any number fixed by or in accordance with the Articles as the maximum number of Directors.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b/>
              </w:rPr>
            </w:pPr>
            <w:r>
              <w:rPr>
                <w:b/>
              </w:rPr>
              <w:t>30</w:t>
            </w:r>
          </w:p>
        </w:tc>
        <w:tc>
          <w:tcPr>
            <w:tcW w:w="9696"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Vacation of Office of Director </w:t>
            </w:r>
          </w:p>
        </w:tc>
      </w:tr>
    </w:tbl>
    <w:p>
      <w:pPr>
        <w:pStyle w:val="TextBody"/>
        <w:spacing w:before="120" w:after="0"/>
        <w:jc w:val="left"/>
        <w:rPr>
          <w:rFonts w:ascii="Times New Roman" w:hAnsi="Times New Roman"/>
          <w:sz w:val="20"/>
        </w:rPr>
      </w:pPr>
      <w:r>
        <w:rPr>
          <w:rFonts w:ascii="Times New Roman" w:hAnsi="Times New Roman"/>
          <w:sz w:val="20"/>
        </w:rPr>
        <w:t xml:space="preserve">The office of a Director shall be vacated if: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7"/>
        <w:gridCol w:w="611"/>
        <w:gridCol w:w="9087"/>
      </w:tblGrid>
      <w:tr>
        <w:trPr/>
        <w:tc>
          <w:tcPr>
            <w:tcW w:w="507" w:type="dxa"/>
            <w:tcBorders/>
            <w:shd w:fill="auto" w:val="clear"/>
            <w:vAlign w:val="center"/>
          </w:tcPr>
          <w:p>
            <w:pPr>
              <w:pStyle w:val="TableContents"/>
              <w:spacing w:before="0" w:after="283"/>
              <w:rPr/>
            </w:pPr>
            <w:r>
              <w:rPr/>
              <w:t> </w:t>
            </w:r>
          </w:p>
        </w:tc>
        <w:tc>
          <w:tcPr>
            <w:tcW w:w="611" w:type="dxa"/>
            <w:tcBorders/>
            <w:shd w:fill="auto" w:val="clear"/>
          </w:tcPr>
          <w:p>
            <w:pPr>
              <w:pStyle w:val="TableContents"/>
              <w:spacing w:before="0" w:after="283"/>
              <w:jc w:val="left"/>
              <w:rPr/>
            </w:pPr>
            <w:r>
              <w:rPr/>
              <w:t>(a)</w:t>
            </w:r>
          </w:p>
        </w:tc>
        <w:tc>
          <w:tcPr>
            <w:tcW w:w="90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Director gives notice in writing to the Company that he resigns the office of Director;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610"/>
        <w:gridCol w:w="9086"/>
      </w:tblGrid>
      <w:tr>
        <w:trPr/>
        <w:tc>
          <w:tcPr>
            <w:tcW w:w="509" w:type="dxa"/>
            <w:tcBorders/>
            <w:shd w:fill="auto" w:val="clear"/>
            <w:vAlign w:val="center"/>
          </w:tcPr>
          <w:p>
            <w:pPr>
              <w:pStyle w:val="TableContents"/>
              <w:spacing w:before="0" w:after="283"/>
              <w:rPr/>
            </w:pPr>
            <w:r>
              <w:rPr/>
              <w:t> </w:t>
            </w:r>
          </w:p>
        </w:tc>
        <w:tc>
          <w:tcPr>
            <w:tcW w:w="610" w:type="dxa"/>
            <w:tcBorders/>
            <w:shd w:fill="auto" w:val="clear"/>
          </w:tcPr>
          <w:p>
            <w:pPr>
              <w:pStyle w:val="TableContents"/>
              <w:spacing w:before="0" w:after="283"/>
              <w:jc w:val="left"/>
              <w:rPr/>
            </w:pPr>
            <w:r>
              <w:rPr/>
              <w:t>(b)</w:t>
            </w:r>
          </w:p>
        </w:tc>
        <w:tc>
          <w:tcPr>
            <w:tcW w:w="908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Director absents himself (for the avoidance of doubt, without being represented by proxy or an alternate Director appointed by him) from three consecutive meetings of the board of Directors without special leave of absence from the Directors, and the Directors pass a resolution that he has by reason of such absence vacated office;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612"/>
        <w:gridCol w:w="9085"/>
      </w:tblGrid>
      <w:tr>
        <w:trPr/>
        <w:tc>
          <w:tcPr>
            <w:tcW w:w="508" w:type="dxa"/>
            <w:tcBorders/>
            <w:shd w:fill="auto" w:val="clear"/>
            <w:vAlign w:val="center"/>
          </w:tcPr>
          <w:p>
            <w:pPr>
              <w:pStyle w:val="TableContents"/>
              <w:spacing w:before="0" w:after="283"/>
              <w:rPr/>
            </w:pPr>
            <w:r>
              <w:rPr/>
              <w:t> </w:t>
            </w:r>
          </w:p>
        </w:tc>
        <w:tc>
          <w:tcPr>
            <w:tcW w:w="612" w:type="dxa"/>
            <w:tcBorders/>
            <w:shd w:fill="auto" w:val="clear"/>
          </w:tcPr>
          <w:p>
            <w:pPr>
              <w:pStyle w:val="TableContents"/>
              <w:spacing w:before="0" w:after="283"/>
              <w:jc w:val="left"/>
              <w:rPr/>
            </w:pPr>
            <w:r>
              <w:rPr/>
              <w:t>(c)</w:t>
            </w:r>
          </w:p>
        </w:tc>
        <w:tc>
          <w:tcPr>
            <w:tcW w:w="908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Director dies, becomes bankrupt or makes any arrangement or composition with his creditors generally;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612"/>
        <w:gridCol w:w="9084"/>
      </w:tblGrid>
      <w:tr>
        <w:trPr/>
        <w:tc>
          <w:tcPr>
            <w:tcW w:w="509" w:type="dxa"/>
            <w:tcBorders/>
            <w:shd w:fill="auto" w:val="clear"/>
            <w:vAlign w:val="center"/>
          </w:tcPr>
          <w:p>
            <w:pPr>
              <w:pStyle w:val="TableContents"/>
              <w:spacing w:before="0" w:after="283"/>
              <w:rPr/>
            </w:pPr>
            <w:r>
              <w:rPr/>
              <w:t> </w:t>
            </w:r>
          </w:p>
        </w:tc>
        <w:tc>
          <w:tcPr>
            <w:tcW w:w="612" w:type="dxa"/>
            <w:tcBorders/>
            <w:shd w:fill="auto" w:val="clear"/>
          </w:tcPr>
          <w:p>
            <w:pPr>
              <w:pStyle w:val="TableContents"/>
              <w:spacing w:before="0" w:after="283"/>
              <w:jc w:val="left"/>
              <w:rPr/>
            </w:pPr>
            <w:r>
              <w:rPr/>
              <w:t>(d)</w:t>
            </w:r>
          </w:p>
        </w:tc>
        <w:tc>
          <w:tcPr>
            <w:tcW w:w="908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Director is found to be or becomes of unsound mind;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610"/>
        <w:gridCol w:w="9087"/>
      </w:tblGrid>
      <w:tr>
        <w:trPr/>
        <w:tc>
          <w:tcPr>
            <w:tcW w:w="508" w:type="dxa"/>
            <w:tcBorders/>
            <w:shd w:fill="auto" w:val="clear"/>
            <w:vAlign w:val="center"/>
          </w:tcPr>
          <w:p>
            <w:pPr>
              <w:pStyle w:val="TableContents"/>
              <w:spacing w:before="0" w:after="283"/>
              <w:rPr/>
            </w:pPr>
            <w:r>
              <w:rPr/>
              <w:t> </w:t>
            </w:r>
          </w:p>
        </w:tc>
        <w:tc>
          <w:tcPr>
            <w:tcW w:w="610" w:type="dxa"/>
            <w:tcBorders/>
            <w:shd w:fill="auto" w:val="clear"/>
          </w:tcPr>
          <w:p>
            <w:pPr>
              <w:pStyle w:val="TableContents"/>
              <w:spacing w:before="0" w:after="283"/>
              <w:jc w:val="left"/>
              <w:rPr/>
            </w:pPr>
            <w:r>
              <w:rPr/>
              <w:t>(e)</w:t>
            </w:r>
          </w:p>
        </w:tc>
        <w:tc>
          <w:tcPr>
            <w:tcW w:w="90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all of the other Directors (being not less than two in number) determine that he should be removed as a Director, either by a resolution passed by all of the other Directors at a meeting of the Directors duly convened and held in accordance with the Articles or by a resolution in writing signed by all of the other Directors.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9695"/>
      </w:tblGrid>
      <w:tr>
        <w:trPr/>
        <w:tc>
          <w:tcPr>
            <w:tcW w:w="510" w:type="dxa"/>
            <w:tcBorders/>
            <w:shd w:fill="auto" w:val="clear"/>
          </w:tcPr>
          <w:p>
            <w:pPr>
              <w:pStyle w:val="TableContents"/>
              <w:spacing w:before="0" w:after="283"/>
              <w:jc w:val="left"/>
              <w:rPr>
                <w:b/>
              </w:rPr>
            </w:pPr>
            <w:r>
              <w:rPr>
                <w:b/>
              </w:rPr>
              <w:t>31</w:t>
            </w:r>
          </w:p>
        </w:tc>
        <w:tc>
          <w:tcPr>
            <w:tcW w:w="9695"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Proceedings of Directors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31.1</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quorum for the transaction of the business of the Directors may be fixed by the Directors, and unless so fixed shall be two if there are two or more Directors, and shall be one if there is only one Director. A person who holds office as an alternate Director shall, if his appointor is not present, be counted in the quorum. A Director who also acts as an alternate Director shall, if his appointor is not present, count twice towards the quorum.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9695"/>
      </w:tblGrid>
      <w:tr>
        <w:trPr/>
        <w:tc>
          <w:tcPr>
            <w:tcW w:w="510" w:type="dxa"/>
            <w:tcBorders/>
            <w:shd w:fill="auto" w:val="clear"/>
          </w:tcPr>
          <w:p>
            <w:pPr>
              <w:pStyle w:val="TableContents"/>
              <w:spacing w:before="0" w:after="283"/>
              <w:jc w:val="left"/>
              <w:rPr/>
            </w:pPr>
            <w:r>
              <w:rPr/>
              <w:t>31.2</w:t>
            </w:r>
          </w:p>
        </w:tc>
        <w:tc>
          <w:tcPr>
            <w:tcW w:w="969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Subject to the provisions of the Articles, the Directors may regulate their proceedings as they think fit. Questions arising at any meeting shall be decided by a majority of votes. In the case of an equality of votes, the chairman shall have a second or casting vote. A Director who is also an alternate Director shall be entitled in the absence of his appointor to a separate vote on behalf of his appointor in addition to his own vote.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31.3</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person may participate in a meeting of the Directors or any committee of Directors by conference telephone or other communications equipment by means of which all the persons participating in </w:t>
            </w:r>
          </w:p>
        </w:tc>
      </w:tr>
    </w:tbl>
    <w:p>
      <w:pPr>
        <w:pStyle w:val="TextBody"/>
        <w:spacing w:before="0" w:after="0"/>
        <w:jc w:val="left"/>
        <w:rPr/>
      </w:pPr>
      <w:r>
        <w:rPr/>
        <w:t> </w:t>
      </w:r>
    </w:p>
    <w:p>
      <w:pPr>
        <w:pStyle w:val="TextBody"/>
        <w:spacing w:before="0" w:after="0"/>
        <w:jc w:val="right"/>
        <w:rPr>
          <w:rFonts w:ascii="Times New Roman" w:hAnsi="Times New Roman"/>
          <w:sz w:val="20"/>
        </w:rPr>
      </w:pPr>
      <w:r>
        <w:rPr>
          <w:rFonts w:ascii="Times New Roman" w:hAnsi="Times New Roman"/>
          <w:sz w:val="20"/>
        </w:rPr>
        <w:t xml:space="preserve">19 </w:t>
      </w:r>
    </w:p>
    <w:p>
      <w:pPr>
        <w:pStyle w:val="TextBody"/>
        <w:spacing w:before="80" w:after="0"/>
        <w:jc w:val="right"/>
        <w:rPr>
          <w:rFonts w:ascii="Times New Roman" w:hAnsi="Times New Roman"/>
          <w:sz w:val="20"/>
        </w:rPr>
      </w:pPr>
      <w:r>
        <w:rPr>
          <w:rFonts w:ascii="Times New Roman" w:hAnsi="Times New Roman"/>
          <w:i/>
          <w:sz w:val="20"/>
        </w:rPr>
        <w:t>Auth Code: H70275751251</w:t>
      </w:r>
      <w:r>
        <w:rPr>
          <w:rFonts w:ascii="Times New Roman" w:hAnsi="Times New Roman"/>
          <w:sz w:val="20"/>
        </w:rPr>
        <w:t xml:space="preserve"> </w:t>
      </w:r>
    </w:p>
    <w:p>
      <w:pPr>
        <w:pStyle w:val="TextBody"/>
        <w:spacing w:before="0" w:after="0"/>
        <w:jc w:val="right"/>
        <w:rPr>
          <w:rFonts w:ascii="Times New Roman" w:hAnsi="Times New Roman"/>
          <w:sz w:val="20"/>
        </w:rPr>
      </w:pPr>
      <w:r>
        <w:rPr>
          <w:rFonts w:ascii="Times New Roman" w:hAnsi="Times New Roman"/>
          <w:i/>
          <w:sz w:val="20"/>
        </w:rPr>
        <w:t>www.verify.gov.ky</w:t>
      </w:r>
      <w:r>
        <w:rPr>
          <w:rFonts w:ascii="Times New Roman" w:hAnsi="Times New Roman"/>
          <w:sz w:val="20"/>
        </w:rPr>
        <w:t xml:space="preserve"> </w:t>
      </w:r>
      <w:r>
        <w:br w:type="page"/>
      </w:r>
    </w:p>
    <w:p>
      <w:pPr>
        <w:pStyle w:val="HorizontalLine"/>
        <w:pBdr>
          <w:bottom w:val="double" w:sz="6" w:space="0" w:color="808080"/>
        </w:pBdr>
        <w:rPr/>
      </w:pPr>
      <w:r>
        <w:rPr/>
      </w:r>
    </w:p>
    <w:p>
      <w:pPr>
        <w:pStyle w:val="TextBody"/>
        <w:spacing w:before="0" w:after="0"/>
        <w:jc w:val="right"/>
        <w:rPr/>
      </w:pPr>
      <w:r>
        <w:rPr/>
        <w:drawing>
          <wp:inline distT="0" distB="0" distL="0" distR="0">
            <wp:extent cx="914400" cy="914400"/>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47"/>
                    <a:stretch>
                      <a:fillRect/>
                    </a:stretch>
                  </pic:blipFill>
                  <pic:spPr bwMode="auto">
                    <a:xfrm>
                      <a:off x="0" y="0"/>
                      <a:ext cx="914400" cy="914400"/>
                    </a:xfrm>
                    <a:prstGeom prst="rect">
                      <a:avLst/>
                    </a:prstGeom>
                  </pic:spPr>
                </pic:pic>
              </a:graphicData>
            </a:graphic>
          </wp:inline>
        </w:drawing>
      </w:r>
      <w:r>
        <w:rPr/>
        <w:t xml:space="preserve">              </w:t>
      </w:r>
    </w:p>
    <w:p>
      <w:pPr>
        <w:pStyle w:val="TextBody"/>
        <w:spacing w:before="20" w:after="0"/>
        <w:jc w:val="right"/>
        <w:rPr>
          <w:rFonts w:ascii="Times New Roman" w:hAnsi="Times New Roman"/>
          <w:sz w:val="20"/>
        </w:rPr>
      </w:pPr>
      <w:r>
        <w:rPr>
          <w:rFonts w:ascii="Times New Roman" w:hAnsi="Times New Roman"/>
          <w:b/>
          <w:i/>
          <w:sz w:val="20"/>
        </w:rPr>
        <w:t>EXEMPTED</w:t>
      </w:r>
      <w:r>
        <w:rPr>
          <w:rFonts w:ascii="Times New Roman" w:hAnsi="Times New Roman"/>
          <w:sz w:val="20"/>
        </w:rPr>
        <w:t xml:space="preserve"> </w:t>
      </w:r>
      <w:r>
        <w:rPr>
          <w:rFonts w:ascii="Times New Roman" w:hAnsi="Times New Roman"/>
          <w:i/>
          <w:sz w:val="20"/>
        </w:rPr>
        <w:t>Company Registered and</w:t>
      </w:r>
      <w:r>
        <w:rPr>
          <w:rFonts w:ascii="Times New Roman" w:hAnsi="Times New Roman"/>
          <w:sz w:val="20"/>
        </w:rPr>
        <w:t xml:space="preserve"> </w:t>
      </w:r>
    </w:p>
    <w:p>
      <w:pPr>
        <w:pStyle w:val="TextBody"/>
        <w:spacing w:before="20" w:after="0"/>
        <w:jc w:val="right"/>
        <w:rPr>
          <w:rFonts w:ascii="Times New Roman" w:hAnsi="Times New Roman"/>
          <w:sz w:val="20"/>
        </w:rPr>
      </w:pPr>
      <w:r>
        <w:rPr>
          <w:rFonts w:ascii="Times New Roman" w:hAnsi="Times New Roman"/>
          <w:i/>
          <w:sz w:val="20"/>
        </w:rPr>
        <w:t>filed as No. 370146 On 13-Jan-2021</w:t>
      </w:r>
      <w:r>
        <w:rPr>
          <w:rFonts w:ascii="Times New Roman" w:hAnsi="Times New Roman"/>
          <w:sz w:val="20"/>
        </w:rPr>
        <w:t xml:space="preserve"> </w:t>
      </w:r>
    </w:p>
    <w:p>
      <w:pPr>
        <w:pStyle w:val="TextBody"/>
        <w:spacing w:before="0" w:after="0"/>
        <w:jc w:val="left"/>
        <w:rPr/>
      </w:pPr>
      <w:r>
        <w:rPr/>
        <w:t> </w:t>
      </w:r>
    </w:p>
    <w:p>
      <w:pPr>
        <w:pStyle w:val="TextBody"/>
        <w:spacing w:before="0" w:after="0"/>
        <w:jc w:val="right"/>
        <w:rPr/>
      </w:pPr>
      <w:r>
        <w:rPr/>
        <w:drawing>
          <wp:inline distT="0" distB="0" distL="0" distR="0">
            <wp:extent cx="447675" cy="361950"/>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48"/>
                    <a:stretch>
                      <a:fillRect/>
                    </a:stretch>
                  </pic:blipFill>
                  <pic:spPr bwMode="auto">
                    <a:xfrm>
                      <a:off x="0" y="0"/>
                      <a:ext cx="447675" cy="361950"/>
                    </a:xfrm>
                    <a:prstGeom prst="rect">
                      <a:avLst/>
                    </a:prstGeom>
                  </pic:spPr>
                </pic:pic>
              </a:graphicData>
            </a:graphic>
          </wp:inline>
        </w:drawing>
      </w:r>
      <w:r>
        <w:rPr/>
        <w:t xml:space="preserve">                                           </w:t>
      </w:r>
    </w:p>
    <w:p>
      <w:pPr>
        <w:pStyle w:val="TextBody"/>
        <w:spacing w:before="0" w:after="0"/>
        <w:jc w:val="right"/>
        <w:rPr>
          <w:rFonts w:ascii="Times New Roman" w:hAnsi="Times New Roman"/>
          <w:sz w:val="20"/>
        </w:rPr>
      </w:pPr>
      <w:r>
        <w:rPr>
          <w:rFonts w:ascii="Times New Roman" w:hAnsi="Times New Roman"/>
          <w:i/>
          <w:sz w:val="20"/>
        </w:rPr>
        <w:t>Acting Assistant Registrar</w:t>
      </w:r>
      <w:r>
        <w:rPr>
          <w:rFonts w:ascii="Times New Roman" w:hAnsi="Times New Roman"/>
          <w:sz w:val="20"/>
        </w:rPr>
        <w:t xml:space="preserv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5"/>
        <w:gridCol w:w="9700"/>
      </w:tblGrid>
      <w:tr>
        <w:trPr/>
        <w:tc>
          <w:tcPr>
            <w:tcW w:w="505" w:type="dxa"/>
            <w:tcBorders/>
            <w:shd w:fill="auto" w:val="clear"/>
            <w:vAlign w:val="center"/>
          </w:tcPr>
          <w:p>
            <w:pPr>
              <w:pStyle w:val="TableContents"/>
              <w:spacing w:before="0" w:after="283"/>
              <w:rPr/>
            </w:pPr>
            <w:r>
              <w:rPr/>
              <w:t> </w:t>
            </w:r>
          </w:p>
        </w:tc>
        <w:tc>
          <w:tcPr>
            <w:tcW w:w="9700" w:type="dxa"/>
            <w:tcBorders/>
            <w:shd w:fill="auto" w:val="clear"/>
          </w:tcPr>
          <w:p>
            <w:pPr>
              <w:pStyle w:val="TableContents"/>
              <w:spacing w:before="0" w:after="283"/>
              <w:jc w:val="left"/>
              <w:rPr/>
            </w:pPr>
            <w:r>
              <w:rPr/>
              <w:t xml:space="preserve">the meeting can communicate with each other at the same time. Participation by a person in a meeting in this manner is treated as presence in person at that meeting. Unless otherwise determined by the Directors the meeting shall be deemed to be held at the place where the chairman is located at the start of the meeting.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31.4</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resolution in writing (in one or more counterparts) signed by all the Directors or all the members of a committee of the Directors or, in the case of a resolution in writing relating to the removal of any Director or the vacation of office by any Director, all of the Directors other than the Director who is the subject of such resolution (an alternate Director being entitled to sign such a resolution on behalf of his appointor and if such alternate Director is also a Director, being entitled to sign such resolution both on behalf of his appointer and in his capacity as a Director) shall be as valid and effectual as if it had been passed at a meeting of the Directors, or committee of Directors as the case may be, duly convened and held.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31.5</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Director or alternate Director may, or other officer of the Company on the direction of a Director or alternate Director shall, call a meeting of the Directors by at least two days notice in writing to every Director and alternate Director which notice shall set forth the general nature of the business to be considered unless notice is waived by all the Directors (or their alternates) either at, before or after the meeting is held. To any such notice of a meeting of the Directors all the provisions of the Articles relating to the giving of notices by the Company to the Members shall apply </w:t>
            </w:r>
            <w:r>
              <w:rPr>
                <w:rFonts w:ascii="Times New Roman" w:hAnsi="Times New Roman"/>
                <w:i/>
                <w:sz w:val="20"/>
              </w:rPr>
              <w:t>mutatis mutandis.</w:t>
            </w:r>
            <w:r>
              <w:rPr>
                <w:rFonts w:ascii="Times New Roman" w:hAnsi="Times New Roman"/>
                <w:sz w:val="20"/>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31.6</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continuing Directors (or a sole continuing Director, as the case may be) may act notwithstanding any vacancy in their body, but if and so long as their number is reduced below the number fixed by or pursuant to the Articles as the necessary quorum of Directors the continuing Directors or Director may act for the purpose of increasing the number of Directors to be equal to such fixed number, or of summoning a general meeting of the Company, but for no other purpose.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31.7</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Directors may elect a chairman of their board and determine the period for which he is to hold office; but if no such chairman is elected, or if at any meeting the chairman is not present within five minutes after the time appointed for the meeting to commence, the Directors present may choose one of their number to be chairman of the meeting.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31.8</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All acts done by any meeting of the Directors or of a committee of the Directors (including any person acting as an alternate Director) shall, notwithstanding that it is afterwards discovered that there was some defect in the appointment of any Director or alternate Director, and/or that they or any of them were disqualified, and/or had vacated their office and/or were not entitled to vote, be as valid as if every such person had been duly appointed and/or not disqualified to be a Director or alternate Director and/or had not vacated their office and/or had been entitled to vote, as the case may be.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31.9</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Director but not an alternate Director may be represented at any meetings of the board of Directors by a proxy appointed in writing by him. The proxy shall count towards the quorum and the vote of the proxy shall for all purposes be deemed to be that of the appointing Director. </w:t>
            </w:r>
          </w:p>
        </w:tc>
      </w:tr>
    </w:tbl>
    <w:p>
      <w:pPr>
        <w:pStyle w:val="TextBody"/>
        <w:spacing w:before="0" w:after="0"/>
        <w:jc w:val="left"/>
        <w:rPr/>
      </w:pPr>
      <w:r>
        <w:rPr/>
        <w:t> </w:t>
      </w:r>
    </w:p>
    <w:p>
      <w:pPr>
        <w:pStyle w:val="TextBody"/>
        <w:spacing w:before="0" w:after="0"/>
        <w:jc w:val="right"/>
        <w:rPr>
          <w:rFonts w:ascii="Times New Roman" w:hAnsi="Times New Roman"/>
          <w:sz w:val="20"/>
        </w:rPr>
      </w:pPr>
      <w:r>
        <w:rPr>
          <w:rFonts w:ascii="Times New Roman" w:hAnsi="Times New Roman"/>
          <w:sz w:val="20"/>
        </w:rPr>
        <w:t xml:space="preserve">20 </w:t>
      </w:r>
    </w:p>
    <w:p>
      <w:pPr>
        <w:pStyle w:val="TextBody"/>
        <w:spacing w:before="80" w:after="0"/>
        <w:jc w:val="right"/>
        <w:rPr>
          <w:rFonts w:ascii="Times New Roman" w:hAnsi="Times New Roman"/>
          <w:sz w:val="20"/>
        </w:rPr>
      </w:pPr>
      <w:r>
        <w:rPr>
          <w:rFonts w:ascii="Times New Roman" w:hAnsi="Times New Roman"/>
          <w:i/>
          <w:sz w:val="20"/>
        </w:rPr>
        <w:t>Auth Code: H70275751251</w:t>
      </w:r>
      <w:r>
        <w:rPr>
          <w:rFonts w:ascii="Times New Roman" w:hAnsi="Times New Roman"/>
          <w:sz w:val="20"/>
        </w:rPr>
        <w:t xml:space="preserve"> </w:t>
      </w:r>
    </w:p>
    <w:p>
      <w:pPr>
        <w:pStyle w:val="TextBody"/>
        <w:spacing w:before="0" w:after="0"/>
        <w:jc w:val="right"/>
        <w:rPr>
          <w:rFonts w:ascii="Times New Roman" w:hAnsi="Times New Roman"/>
          <w:sz w:val="20"/>
        </w:rPr>
      </w:pPr>
      <w:r>
        <w:rPr>
          <w:rFonts w:ascii="Times New Roman" w:hAnsi="Times New Roman"/>
          <w:i/>
          <w:sz w:val="20"/>
        </w:rPr>
        <w:t>www.verify.gov.ky</w:t>
      </w:r>
      <w:r>
        <w:rPr>
          <w:rFonts w:ascii="Times New Roman" w:hAnsi="Times New Roman"/>
          <w:sz w:val="20"/>
        </w:rPr>
        <w:t xml:space="preserve"> </w:t>
      </w:r>
      <w:r>
        <w:br w:type="page"/>
      </w:r>
    </w:p>
    <w:p>
      <w:pPr>
        <w:pStyle w:val="HorizontalLine"/>
        <w:pBdr>
          <w:bottom w:val="double" w:sz="6" w:space="0" w:color="808080"/>
        </w:pBdr>
        <w:rPr/>
      </w:pPr>
      <w:r>
        <w:rPr/>
      </w:r>
    </w:p>
    <w:p>
      <w:pPr>
        <w:pStyle w:val="TextBody"/>
        <w:spacing w:before="0" w:after="0"/>
        <w:jc w:val="right"/>
        <w:rPr/>
      </w:pPr>
      <w:r>
        <w:rPr/>
        <w:drawing>
          <wp:inline distT="0" distB="0" distL="0" distR="0">
            <wp:extent cx="914400" cy="914400"/>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49"/>
                    <a:stretch>
                      <a:fillRect/>
                    </a:stretch>
                  </pic:blipFill>
                  <pic:spPr bwMode="auto">
                    <a:xfrm>
                      <a:off x="0" y="0"/>
                      <a:ext cx="914400" cy="914400"/>
                    </a:xfrm>
                    <a:prstGeom prst="rect">
                      <a:avLst/>
                    </a:prstGeom>
                  </pic:spPr>
                </pic:pic>
              </a:graphicData>
            </a:graphic>
          </wp:inline>
        </w:drawing>
      </w:r>
      <w:r>
        <w:rPr/>
        <w:t xml:space="preserve">              </w:t>
      </w:r>
    </w:p>
    <w:p>
      <w:pPr>
        <w:pStyle w:val="TextBody"/>
        <w:spacing w:before="20" w:after="0"/>
        <w:jc w:val="right"/>
        <w:rPr>
          <w:rFonts w:ascii="Times New Roman" w:hAnsi="Times New Roman"/>
          <w:sz w:val="20"/>
        </w:rPr>
      </w:pPr>
      <w:r>
        <w:rPr>
          <w:rFonts w:ascii="Times New Roman" w:hAnsi="Times New Roman"/>
          <w:b/>
          <w:i/>
          <w:sz w:val="20"/>
        </w:rPr>
        <w:t>EXEMPTED</w:t>
      </w:r>
      <w:r>
        <w:rPr>
          <w:rFonts w:ascii="Times New Roman" w:hAnsi="Times New Roman"/>
          <w:sz w:val="20"/>
        </w:rPr>
        <w:t xml:space="preserve"> </w:t>
      </w:r>
      <w:r>
        <w:rPr>
          <w:rFonts w:ascii="Times New Roman" w:hAnsi="Times New Roman"/>
          <w:i/>
          <w:sz w:val="20"/>
        </w:rPr>
        <w:t>Company Registered and</w:t>
      </w:r>
      <w:r>
        <w:rPr>
          <w:rFonts w:ascii="Times New Roman" w:hAnsi="Times New Roman"/>
          <w:sz w:val="20"/>
        </w:rPr>
        <w:t xml:space="preserve"> </w:t>
      </w:r>
    </w:p>
    <w:p>
      <w:pPr>
        <w:pStyle w:val="TextBody"/>
        <w:spacing w:before="20" w:after="0"/>
        <w:jc w:val="right"/>
        <w:rPr>
          <w:rFonts w:ascii="Times New Roman" w:hAnsi="Times New Roman"/>
          <w:sz w:val="20"/>
        </w:rPr>
      </w:pPr>
      <w:r>
        <w:rPr>
          <w:rFonts w:ascii="Times New Roman" w:hAnsi="Times New Roman"/>
          <w:i/>
          <w:sz w:val="20"/>
        </w:rPr>
        <w:t>filed as No. 370146 On 13-Jan-2021</w:t>
      </w:r>
      <w:r>
        <w:rPr>
          <w:rFonts w:ascii="Times New Roman" w:hAnsi="Times New Roman"/>
          <w:sz w:val="20"/>
        </w:rPr>
        <w:t xml:space="preserve"> </w:t>
      </w:r>
    </w:p>
    <w:p>
      <w:pPr>
        <w:pStyle w:val="TextBody"/>
        <w:spacing w:before="0" w:after="0"/>
        <w:jc w:val="left"/>
        <w:rPr/>
      </w:pPr>
      <w:r>
        <w:rPr/>
        <w:t> </w:t>
      </w:r>
    </w:p>
    <w:p>
      <w:pPr>
        <w:pStyle w:val="TextBody"/>
        <w:spacing w:before="0" w:after="0"/>
        <w:jc w:val="right"/>
        <w:rPr/>
      </w:pPr>
      <w:r>
        <w:rPr/>
        <w:drawing>
          <wp:inline distT="0" distB="0" distL="0" distR="0">
            <wp:extent cx="447675" cy="361950"/>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50"/>
                    <a:stretch>
                      <a:fillRect/>
                    </a:stretch>
                  </pic:blipFill>
                  <pic:spPr bwMode="auto">
                    <a:xfrm>
                      <a:off x="0" y="0"/>
                      <a:ext cx="447675" cy="361950"/>
                    </a:xfrm>
                    <a:prstGeom prst="rect">
                      <a:avLst/>
                    </a:prstGeom>
                  </pic:spPr>
                </pic:pic>
              </a:graphicData>
            </a:graphic>
          </wp:inline>
        </w:drawing>
      </w:r>
      <w:r>
        <w:rPr/>
        <w:t xml:space="preserve">                                           </w:t>
      </w:r>
    </w:p>
    <w:p>
      <w:pPr>
        <w:pStyle w:val="TextBody"/>
        <w:spacing w:before="0" w:after="0"/>
        <w:jc w:val="right"/>
        <w:rPr>
          <w:rFonts w:ascii="Times New Roman" w:hAnsi="Times New Roman"/>
          <w:sz w:val="20"/>
        </w:rPr>
      </w:pPr>
      <w:r>
        <w:rPr>
          <w:rFonts w:ascii="Times New Roman" w:hAnsi="Times New Roman"/>
          <w:i/>
          <w:sz w:val="20"/>
        </w:rPr>
        <w:t>Acting Assistant Registrar</w:t>
      </w:r>
      <w:r>
        <w:rPr>
          <w:rFonts w:ascii="Times New Roman" w:hAnsi="Times New Roman"/>
          <w:sz w:val="20"/>
        </w:rPr>
        <w:t xml:space="preserv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b/>
              </w:rPr>
            </w:pPr>
            <w:r>
              <w:rPr>
                <w:b/>
              </w:rPr>
              <w:t>32</w:t>
            </w:r>
          </w:p>
        </w:tc>
        <w:tc>
          <w:tcPr>
            <w:tcW w:w="9696"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Presumption of Assent </w:t>
            </w:r>
          </w:p>
        </w:tc>
      </w:tr>
    </w:tbl>
    <w:p>
      <w:pPr>
        <w:pStyle w:val="TextBody"/>
        <w:spacing w:before="120" w:after="0"/>
        <w:jc w:val="left"/>
        <w:rPr>
          <w:rFonts w:ascii="Times New Roman" w:hAnsi="Times New Roman"/>
          <w:sz w:val="20"/>
        </w:rPr>
      </w:pPr>
      <w:r>
        <w:rPr>
          <w:rFonts w:ascii="Times New Roman" w:hAnsi="Times New Roman"/>
          <w:sz w:val="20"/>
        </w:rPr>
        <w:t xml:space="preserve">A Director or alternate Director who is present at a meeting of the board of Directors at which action on any Company matter is taken shall be presumed to have assented to the action taken unless his dissent shall be entered in the minutes of the meeting or unless he shall file his written dissent from such action with the person acting as the chairman or secretary of the meeting before the adjournment thereof or shall forward such dissent by registered post to such person immediately after the adjournment of the meeting. Such right to dissent shall not apply to a Director or alternate Director who voted in favour of such action.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b/>
              </w:rPr>
            </w:pPr>
            <w:r>
              <w:rPr>
                <w:b/>
              </w:rPr>
              <w:t>33</w:t>
            </w:r>
          </w:p>
        </w:tc>
        <w:tc>
          <w:tcPr>
            <w:tcW w:w="9696"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Directors Interests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33.1</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Director or alternate Director may hold any other office or place of profit under the Company (other than the office of Auditor) in conjunction with his office of Director for such period and on such terms as to remuneration and otherwise as the Directors may determine.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33.2</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Director or alternate Director may act by himself or by, through or on behalf of his firm in a professional capacity for the Company and he or his firm shall be entitled to remuneration for professional services as if he were not a Director or alternate Director.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33.3</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Director or alternate Director may be or become a director or other officer of or otherwise interested in any company promoted by the Company or in which the Company may be interested as a shareholder, a contracting party or otherwise, and no such Director or alternate Director shall be accountable to the Company for any remuneration or other benefits received by him as a director or officer of, or from his interest in, such other company.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33.4</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No person shall be disqualified from the office of Director or alternate Director or prevented by such office from contracting with the Company, either as vendor, purchaser or otherwise, nor shall any such contract or any contract or transaction entered into by or on behalf of the Company in which any Director or alternate Director shall be in any way interested be or be liable to be avoided, nor shall any Director or alternate Director so contracting or being so interested be liable to account to the Company for any profit realised by or arising in connection with any such contract or transaction by reason of such Director or alternate Director holding office or of the fiduciary relationship thereby established. A Director (or his alternate Director in his absence) shall be at liberty to vote in respect of any contract or transaction in which he is interested provided that the nature of the interest of any Director or alternate Director in any such contract or transaction shall be disclosed by him at or prior to its consideration and any vote thereon.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9695"/>
      </w:tblGrid>
      <w:tr>
        <w:trPr/>
        <w:tc>
          <w:tcPr>
            <w:tcW w:w="510" w:type="dxa"/>
            <w:tcBorders/>
            <w:shd w:fill="auto" w:val="clear"/>
          </w:tcPr>
          <w:p>
            <w:pPr>
              <w:pStyle w:val="TableContents"/>
              <w:spacing w:before="0" w:after="283"/>
              <w:jc w:val="left"/>
              <w:rPr/>
            </w:pPr>
            <w:r>
              <w:rPr/>
              <w:t>33.5</w:t>
            </w:r>
          </w:p>
        </w:tc>
        <w:tc>
          <w:tcPr>
            <w:tcW w:w="969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general notice that a Director or alternate Director is a shareholder, director, officer or employee of any specified firm or company and is to be regarded as interested in any transaction with such firm or company shall be sufficient disclosure for the purposes of voting on a resolution in respect of a contract or transaction in which he has an interest, and after such general notice it shall not be necessary to give special notice relating to any particular transaction. </w:t>
            </w:r>
          </w:p>
        </w:tc>
      </w:tr>
    </w:tbl>
    <w:p>
      <w:pPr>
        <w:pStyle w:val="TextBody"/>
        <w:spacing w:before="0" w:after="0"/>
        <w:jc w:val="left"/>
        <w:rPr/>
      </w:pPr>
      <w:r>
        <w:rPr/>
        <w:t> </w:t>
      </w:r>
    </w:p>
    <w:p>
      <w:pPr>
        <w:pStyle w:val="TextBody"/>
        <w:spacing w:before="0" w:after="0"/>
        <w:jc w:val="right"/>
        <w:rPr>
          <w:rFonts w:ascii="Times New Roman" w:hAnsi="Times New Roman"/>
          <w:sz w:val="20"/>
        </w:rPr>
      </w:pPr>
      <w:r>
        <w:rPr>
          <w:rFonts w:ascii="Times New Roman" w:hAnsi="Times New Roman"/>
          <w:sz w:val="20"/>
        </w:rPr>
        <w:t xml:space="preserve">21 </w:t>
      </w:r>
    </w:p>
    <w:p>
      <w:pPr>
        <w:pStyle w:val="TextBody"/>
        <w:spacing w:before="80" w:after="0"/>
        <w:jc w:val="right"/>
        <w:rPr>
          <w:rFonts w:ascii="Times New Roman" w:hAnsi="Times New Roman"/>
          <w:sz w:val="20"/>
        </w:rPr>
      </w:pPr>
      <w:r>
        <w:rPr>
          <w:rFonts w:ascii="Times New Roman" w:hAnsi="Times New Roman"/>
          <w:i/>
          <w:sz w:val="20"/>
        </w:rPr>
        <w:t>Auth Code: H70275751251</w:t>
      </w:r>
      <w:r>
        <w:rPr>
          <w:rFonts w:ascii="Times New Roman" w:hAnsi="Times New Roman"/>
          <w:sz w:val="20"/>
        </w:rPr>
        <w:t xml:space="preserve"> </w:t>
      </w:r>
    </w:p>
    <w:p>
      <w:pPr>
        <w:pStyle w:val="TextBody"/>
        <w:spacing w:before="0" w:after="0"/>
        <w:jc w:val="right"/>
        <w:rPr>
          <w:rFonts w:ascii="Times New Roman" w:hAnsi="Times New Roman"/>
          <w:sz w:val="20"/>
        </w:rPr>
      </w:pPr>
      <w:r>
        <w:rPr>
          <w:rFonts w:ascii="Times New Roman" w:hAnsi="Times New Roman"/>
          <w:i/>
          <w:sz w:val="20"/>
        </w:rPr>
        <w:t>www.verify.gov.ky</w:t>
      </w:r>
      <w:r>
        <w:rPr>
          <w:rFonts w:ascii="Times New Roman" w:hAnsi="Times New Roman"/>
          <w:sz w:val="20"/>
        </w:rPr>
        <w:t xml:space="preserve"> </w:t>
      </w:r>
      <w:r>
        <w:br w:type="page"/>
      </w:r>
    </w:p>
    <w:p>
      <w:pPr>
        <w:pStyle w:val="HorizontalLine"/>
        <w:pBdr>
          <w:bottom w:val="double" w:sz="6" w:space="0" w:color="808080"/>
        </w:pBdr>
        <w:rPr/>
      </w:pPr>
      <w:r>
        <w:rPr/>
      </w:r>
    </w:p>
    <w:p>
      <w:pPr>
        <w:pStyle w:val="TextBody"/>
        <w:spacing w:before="0" w:after="0"/>
        <w:jc w:val="right"/>
        <w:rPr/>
      </w:pPr>
      <w:r>
        <w:rPr/>
        <w:drawing>
          <wp:inline distT="0" distB="0" distL="0" distR="0">
            <wp:extent cx="914400" cy="914400"/>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51"/>
                    <a:stretch>
                      <a:fillRect/>
                    </a:stretch>
                  </pic:blipFill>
                  <pic:spPr bwMode="auto">
                    <a:xfrm>
                      <a:off x="0" y="0"/>
                      <a:ext cx="914400" cy="914400"/>
                    </a:xfrm>
                    <a:prstGeom prst="rect">
                      <a:avLst/>
                    </a:prstGeom>
                  </pic:spPr>
                </pic:pic>
              </a:graphicData>
            </a:graphic>
          </wp:inline>
        </w:drawing>
      </w:r>
      <w:r>
        <w:rPr/>
        <w:t xml:space="preserve">              </w:t>
      </w:r>
    </w:p>
    <w:p>
      <w:pPr>
        <w:pStyle w:val="TextBody"/>
        <w:spacing w:before="20" w:after="0"/>
        <w:jc w:val="right"/>
        <w:rPr>
          <w:rFonts w:ascii="Times New Roman" w:hAnsi="Times New Roman"/>
          <w:sz w:val="20"/>
        </w:rPr>
      </w:pPr>
      <w:r>
        <w:rPr>
          <w:rFonts w:ascii="Times New Roman" w:hAnsi="Times New Roman"/>
          <w:b/>
          <w:i/>
          <w:sz w:val="20"/>
        </w:rPr>
        <w:t>EXEMPTED</w:t>
      </w:r>
      <w:r>
        <w:rPr>
          <w:rFonts w:ascii="Times New Roman" w:hAnsi="Times New Roman"/>
          <w:sz w:val="20"/>
        </w:rPr>
        <w:t xml:space="preserve"> </w:t>
      </w:r>
      <w:r>
        <w:rPr>
          <w:rFonts w:ascii="Times New Roman" w:hAnsi="Times New Roman"/>
          <w:i/>
          <w:sz w:val="20"/>
        </w:rPr>
        <w:t>Company Registered and</w:t>
      </w:r>
      <w:r>
        <w:rPr>
          <w:rFonts w:ascii="Times New Roman" w:hAnsi="Times New Roman"/>
          <w:sz w:val="20"/>
        </w:rPr>
        <w:t xml:space="preserve"> </w:t>
      </w:r>
    </w:p>
    <w:p>
      <w:pPr>
        <w:pStyle w:val="TextBody"/>
        <w:spacing w:before="20" w:after="0"/>
        <w:jc w:val="right"/>
        <w:rPr>
          <w:rFonts w:ascii="Times New Roman" w:hAnsi="Times New Roman"/>
          <w:sz w:val="20"/>
        </w:rPr>
      </w:pPr>
      <w:r>
        <w:rPr>
          <w:rFonts w:ascii="Times New Roman" w:hAnsi="Times New Roman"/>
          <w:i/>
          <w:sz w:val="20"/>
        </w:rPr>
        <w:t>filed as No. 370146 On 13-Jan-2021</w:t>
      </w:r>
      <w:r>
        <w:rPr>
          <w:rFonts w:ascii="Times New Roman" w:hAnsi="Times New Roman"/>
          <w:sz w:val="20"/>
        </w:rPr>
        <w:t xml:space="preserve"> </w:t>
      </w:r>
    </w:p>
    <w:p>
      <w:pPr>
        <w:pStyle w:val="TextBody"/>
        <w:spacing w:before="0" w:after="0"/>
        <w:jc w:val="left"/>
        <w:rPr/>
      </w:pPr>
      <w:r>
        <w:rPr/>
        <w:t> </w:t>
      </w:r>
    </w:p>
    <w:p>
      <w:pPr>
        <w:pStyle w:val="TextBody"/>
        <w:spacing w:before="0" w:after="0"/>
        <w:jc w:val="right"/>
        <w:rPr/>
      </w:pPr>
      <w:r>
        <w:rPr/>
        <w:drawing>
          <wp:inline distT="0" distB="0" distL="0" distR="0">
            <wp:extent cx="447675" cy="361950"/>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embed="rId52"/>
                    <a:stretch>
                      <a:fillRect/>
                    </a:stretch>
                  </pic:blipFill>
                  <pic:spPr bwMode="auto">
                    <a:xfrm>
                      <a:off x="0" y="0"/>
                      <a:ext cx="447675" cy="361950"/>
                    </a:xfrm>
                    <a:prstGeom prst="rect">
                      <a:avLst/>
                    </a:prstGeom>
                  </pic:spPr>
                </pic:pic>
              </a:graphicData>
            </a:graphic>
          </wp:inline>
        </w:drawing>
      </w:r>
      <w:r>
        <w:rPr/>
        <w:t xml:space="preserve">                                           </w:t>
      </w:r>
    </w:p>
    <w:p>
      <w:pPr>
        <w:pStyle w:val="TextBody"/>
        <w:spacing w:before="0" w:after="0"/>
        <w:jc w:val="right"/>
        <w:rPr>
          <w:rFonts w:ascii="Times New Roman" w:hAnsi="Times New Roman"/>
          <w:sz w:val="20"/>
        </w:rPr>
      </w:pPr>
      <w:r>
        <w:rPr>
          <w:rFonts w:ascii="Times New Roman" w:hAnsi="Times New Roman"/>
          <w:i/>
          <w:sz w:val="20"/>
        </w:rPr>
        <w:t>Acting Assistant Registrar</w:t>
      </w:r>
      <w:r>
        <w:rPr>
          <w:rFonts w:ascii="Times New Roman" w:hAnsi="Times New Roman"/>
          <w:sz w:val="20"/>
        </w:rPr>
        <w:t xml:space="preserv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b/>
              </w:rPr>
            </w:pPr>
            <w:r>
              <w:rPr>
                <w:b/>
              </w:rPr>
              <w:t>34</w:t>
            </w:r>
          </w:p>
        </w:tc>
        <w:tc>
          <w:tcPr>
            <w:tcW w:w="9696"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Minutes </w:t>
            </w:r>
          </w:p>
        </w:tc>
      </w:tr>
    </w:tbl>
    <w:p>
      <w:pPr>
        <w:pStyle w:val="TextBody"/>
        <w:spacing w:before="120" w:after="0"/>
        <w:jc w:val="left"/>
        <w:rPr>
          <w:rFonts w:ascii="Times New Roman" w:hAnsi="Times New Roman"/>
          <w:sz w:val="20"/>
        </w:rPr>
      </w:pPr>
      <w:r>
        <w:rPr>
          <w:rFonts w:ascii="Times New Roman" w:hAnsi="Times New Roman"/>
          <w:sz w:val="20"/>
        </w:rPr>
        <w:t xml:space="preserve">The Directors shall cause minutes to be made in books kept for the purpose of recording all appointments of officers made by the Directors, all proceedings at meetings of the Company or the holders of any class of Shares and of the Directors, and of committees of the Directors, including the names of the Directors or alternate Directors present at each meeting.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b/>
              </w:rPr>
            </w:pPr>
            <w:r>
              <w:rPr>
                <w:b/>
              </w:rPr>
              <w:t>35</w:t>
            </w:r>
          </w:p>
        </w:tc>
        <w:tc>
          <w:tcPr>
            <w:tcW w:w="9696"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Delegation of Directors Powers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35.1</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Directors may delegate any of their powers, authorities and discretions, including the power to sub-delegate, to any committee consisting of one or more Directors. They may also delegate to any managing director or any Director holding any other executive office such of their powers, authorities and discretions as they consider desirable to be exercised by him provided that an alternate Director may not act as managing director and the appointment of a managing director shall be revoked forthwith if he ceases to be a Director. Any such delegation may be made subject to any conditions the Directors may impose and either collaterally with or to the exclusion of their own powers and any such delegation may be revoked or altered by the Directors. Subject to any such conditions, the proceedings of a committee of Directors shall be governed by the Articles regulating the proceedings of Directors, so far as they are capable of applying.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35.2</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Directors may establish any committees, local boards or agencies or appoint any person to be a manager or agent for managing the affairs of the Company and may appoint any person to be a member of such committees, local boards or agencies. Any such appointment may be made subject to any conditions the Directors may impose, and either collaterally with or to the exclusion of their own powers and any such appointment may be revoked or altered by the Directors. Subject to any such conditions, the proceedings of any such committee, local board or agency shall be governed by the Articles regulating the proceedings of Directors, so far as they are capable of applying.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35.3</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Directors may by power of attorney or otherwise appoint any person to be the agent of the Company on such conditions as the Directors may determine, provided that the delegation is not to the exclusion of their own powers and may be revoked by the Directors at any time.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35.4</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Directors may by power of attorney or otherwise appoint any company, firm, person or body of persons, whether nominated directly or indirectly by the Directors, to be the attorney or authorised signatory of the Company for such purpose and with such powers, authorities and discretions (not exceeding those vested in or exercisable by the Directors under the Articles) and for such period and subject to such conditions as they may think fit, and any such powers of attorney or other appointment may contain such provisions for the protection and convenience of persons dealing with any such attorneys or authorised signatories as the Directors may think fit and may also authorise any such attorney or authorised signatory to delegate all or any of the powers, authorities and discretions vested in him.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35.5</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Directors may appoint such officers of the Company (including, for the avoidance of doubt and without limitation, any secretary) as they consider necessary on such terms, at such remuneration and to perform such duties, and subject to such provisions as to disqualification and removal as </w:t>
            </w:r>
          </w:p>
        </w:tc>
      </w:tr>
    </w:tbl>
    <w:p>
      <w:pPr>
        <w:pStyle w:val="TextBody"/>
        <w:spacing w:before="0" w:after="0"/>
        <w:jc w:val="left"/>
        <w:rPr/>
      </w:pPr>
      <w:r>
        <w:rPr/>
        <w:t> </w:t>
      </w:r>
    </w:p>
    <w:p>
      <w:pPr>
        <w:pStyle w:val="TextBody"/>
        <w:spacing w:before="0" w:after="0"/>
        <w:jc w:val="right"/>
        <w:rPr>
          <w:rFonts w:ascii="Times New Roman" w:hAnsi="Times New Roman"/>
          <w:sz w:val="20"/>
        </w:rPr>
      </w:pPr>
      <w:r>
        <w:rPr>
          <w:rFonts w:ascii="Times New Roman" w:hAnsi="Times New Roman"/>
          <w:sz w:val="20"/>
        </w:rPr>
        <w:t xml:space="preserve">22 </w:t>
      </w:r>
    </w:p>
    <w:p>
      <w:pPr>
        <w:pStyle w:val="TextBody"/>
        <w:spacing w:before="80" w:after="0"/>
        <w:jc w:val="right"/>
        <w:rPr>
          <w:rFonts w:ascii="Times New Roman" w:hAnsi="Times New Roman"/>
          <w:sz w:val="20"/>
        </w:rPr>
      </w:pPr>
      <w:r>
        <w:rPr>
          <w:rFonts w:ascii="Times New Roman" w:hAnsi="Times New Roman"/>
          <w:i/>
          <w:sz w:val="20"/>
        </w:rPr>
        <w:t>Auth Code: H70275751251</w:t>
      </w:r>
      <w:r>
        <w:rPr>
          <w:rFonts w:ascii="Times New Roman" w:hAnsi="Times New Roman"/>
          <w:sz w:val="20"/>
        </w:rPr>
        <w:t xml:space="preserve"> </w:t>
      </w:r>
    </w:p>
    <w:p>
      <w:pPr>
        <w:pStyle w:val="TextBody"/>
        <w:spacing w:before="0" w:after="0"/>
        <w:jc w:val="right"/>
        <w:rPr>
          <w:rFonts w:ascii="Times New Roman" w:hAnsi="Times New Roman"/>
          <w:sz w:val="20"/>
        </w:rPr>
      </w:pPr>
      <w:r>
        <w:rPr>
          <w:rFonts w:ascii="Times New Roman" w:hAnsi="Times New Roman"/>
          <w:i/>
          <w:sz w:val="20"/>
        </w:rPr>
        <w:t>www.verify.gov.ky</w:t>
      </w:r>
      <w:r>
        <w:rPr>
          <w:rFonts w:ascii="Times New Roman" w:hAnsi="Times New Roman"/>
          <w:sz w:val="20"/>
        </w:rPr>
        <w:t xml:space="preserve"> </w:t>
      </w:r>
      <w:r>
        <w:br w:type="page"/>
      </w:r>
    </w:p>
    <w:p>
      <w:pPr>
        <w:pStyle w:val="HorizontalLine"/>
        <w:pBdr>
          <w:bottom w:val="double" w:sz="6" w:space="0" w:color="808080"/>
        </w:pBdr>
        <w:rPr/>
      </w:pPr>
      <w:r>
        <w:rPr/>
      </w:r>
    </w:p>
    <w:p>
      <w:pPr>
        <w:pStyle w:val="TextBody"/>
        <w:spacing w:before="0" w:after="0"/>
        <w:jc w:val="right"/>
        <w:rPr/>
      </w:pPr>
      <w:r>
        <w:rPr/>
        <w:drawing>
          <wp:inline distT="0" distB="0" distL="0" distR="0">
            <wp:extent cx="914400" cy="914400"/>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embed="rId53"/>
                    <a:stretch>
                      <a:fillRect/>
                    </a:stretch>
                  </pic:blipFill>
                  <pic:spPr bwMode="auto">
                    <a:xfrm>
                      <a:off x="0" y="0"/>
                      <a:ext cx="914400" cy="914400"/>
                    </a:xfrm>
                    <a:prstGeom prst="rect">
                      <a:avLst/>
                    </a:prstGeom>
                  </pic:spPr>
                </pic:pic>
              </a:graphicData>
            </a:graphic>
          </wp:inline>
        </w:drawing>
      </w:r>
      <w:r>
        <w:rPr/>
        <w:t xml:space="preserve">              </w:t>
      </w:r>
    </w:p>
    <w:p>
      <w:pPr>
        <w:pStyle w:val="TextBody"/>
        <w:spacing w:before="20" w:after="0"/>
        <w:jc w:val="right"/>
        <w:rPr>
          <w:rFonts w:ascii="Times New Roman" w:hAnsi="Times New Roman"/>
          <w:sz w:val="20"/>
        </w:rPr>
      </w:pPr>
      <w:r>
        <w:rPr>
          <w:rFonts w:ascii="Times New Roman" w:hAnsi="Times New Roman"/>
          <w:b/>
          <w:i/>
          <w:sz w:val="20"/>
        </w:rPr>
        <w:t>EXEMPTED</w:t>
      </w:r>
      <w:r>
        <w:rPr>
          <w:rFonts w:ascii="Times New Roman" w:hAnsi="Times New Roman"/>
          <w:sz w:val="20"/>
        </w:rPr>
        <w:t xml:space="preserve"> </w:t>
      </w:r>
      <w:r>
        <w:rPr>
          <w:rFonts w:ascii="Times New Roman" w:hAnsi="Times New Roman"/>
          <w:i/>
          <w:sz w:val="20"/>
        </w:rPr>
        <w:t>Company Registered and</w:t>
      </w:r>
      <w:r>
        <w:rPr>
          <w:rFonts w:ascii="Times New Roman" w:hAnsi="Times New Roman"/>
          <w:sz w:val="20"/>
        </w:rPr>
        <w:t xml:space="preserve"> </w:t>
      </w:r>
    </w:p>
    <w:p>
      <w:pPr>
        <w:pStyle w:val="TextBody"/>
        <w:spacing w:before="20" w:after="0"/>
        <w:jc w:val="right"/>
        <w:rPr>
          <w:rFonts w:ascii="Times New Roman" w:hAnsi="Times New Roman"/>
          <w:sz w:val="20"/>
        </w:rPr>
      </w:pPr>
      <w:r>
        <w:rPr>
          <w:rFonts w:ascii="Times New Roman" w:hAnsi="Times New Roman"/>
          <w:i/>
          <w:sz w:val="20"/>
        </w:rPr>
        <w:t>filed as No. 370146 On 13-Jan-2021</w:t>
      </w:r>
      <w:r>
        <w:rPr>
          <w:rFonts w:ascii="Times New Roman" w:hAnsi="Times New Roman"/>
          <w:sz w:val="20"/>
        </w:rPr>
        <w:t xml:space="preserve"> </w:t>
      </w:r>
    </w:p>
    <w:p>
      <w:pPr>
        <w:pStyle w:val="TextBody"/>
        <w:spacing w:before="0" w:after="0"/>
        <w:jc w:val="left"/>
        <w:rPr/>
      </w:pPr>
      <w:r>
        <w:rPr/>
        <w:t> </w:t>
      </w:r>
    </w:p>
    <w:p>
      <w:pPr>
        <w:pStyle w:val="TextBody"/>
        <w:spacing w:before="0" w:after="0"/>
        <w:jc w:val="right"/>
        <w:rPr/>
      </w:pPr>
      <w:r>
        <w:rPr/>
        <w:drawing>
          <wp:inline distT="0" distB="0" distL="0" distR="0">
            <wp:extent cx="447675" cy="361950"/>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embed="rId54"/>
                    <a:stretch>
                      <a:fillRect/>
                    </a:stretch>
                  </pic:blipFill>
                  <pic:spPr bwMode="auto">
                    <a:xfrm>
                      <a:off x="0" y="0"/>
                      <a:ext cx="447675" cy="361950"/>
                    </a:xfrm>
                    <a:prstGeom prst="rect">
                      <a:avLst/>
                    </a:prstGeom>
                  </pic:spPr>
                </pic:pic>
              </a:graphicData>
            </a:graphic>
          </wp:inline>
        </w:drawing>
      </w:r>
      <w:r>
        <w:rPr/>
        <w:t xml:space="preserve">                                           </w:t>
      </w:r>
    </w:p>
    <w:p>
      <w:pPr>
        <w:pStyle w:val="TextBody"/>
        <w:spacing w:before="0" w:after="0"/>
        <w:jc w:val="right"/>
        <w:rPr>
          <w:rFonts w:ascii="Times New Roman" w:hAnsi="Times New Roman"/>
          <w:sz w:val="20"/>
        </w:rPr>
      </w:pPr>
      <w:r>
        <w:rPr>
          <w:rFonts w:ascii="Times New Roman" w:hAnsi="Times New Roman"/>
          <w:i/>
          <w:sz w:val="20"/>
        </w:rPr>
        <w:t>Acting Assistant Registrar</w:t>
      </w:r>
      <w:r>
        <w:rPr>
          <w:rFonts w:ascii="Times New Roman" w:hAnsi="Times New Roman"/>
          <w:sz w:val="20"/>
        </w:rPr>
        <w:t xml:space="preserv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vAlign w:val="center"/>
          </w:tcPr>
          <w:p>
            <w:pPr>
              <w:pStyle w:val="TableContents"/>
              <w:spacing w:before="0" w:after="283"/>
              <w:rPr/>
            </w:pPr>
            <w:r>
              <w:rPr/>
              <w:t> </w:t>
            </w:r>
          </w:p>
        </w:tc>
        <w:tc>
          <w:tcPr>
            <w:tcW w:w="9696" w:type="dxa"/>
            <w:tcBorders/>
            <w:shd w:fill="auto" w:val="clear"/>
          </w:tcPr>
          <w:p>
            <w:pPr>
              <w:pStyle w:val="TableContents"/>
              <w:spacing w:before="0" w:after="283"/>
              <w:jc w:val="left"/>
              <w:rPr/>
            </w:pPr>
            <w:r>
              <w:rPr/>
              <w:t xml:space="preserve">the Directors may think fit. Unless otherwise specified in the terms of his appointment an officer of the Company may be removed by resolution of the Directors or Members. An officer of the Company may vacate his office at any time if he gives notice in writing to the Company that he resigns his office.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9697"/>
      </w:tblGrid>
      <w:tr>
        <w:trPr/>
        <w:tc>
          <w:tcPr>
            <w:tcW w:w="508" w:type="dxa"/>
            <w:tcBorders/>
            <w:shd w:fill="auto" w:val="clear"/>
          </w:tcPr>
          <w:p>
            <w:pPr>
              <w:pStyle w:val="TableContents"/>
              <w:spacing w:before="0" w:after="283"/>
              <w:jc w:val="left"/>
              <w:rPr>
                <w:b/>
              </w:rPr>
            </w:pPr>
            <w:r>
              <w:rPr>
                <w:b/>
              </w:rPr>
              <w:t>36</w:t>
            </w:r>
          </w:p>
        </w:tc>
        <w:tc>
          <w:tcPr>
            <w:tcW w:w="9697"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Alternate Directors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36.1</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Director (but not an alternate Director) may by writing appoint any other Director, or any other person willing to act, to be an alternate Director and by writing may remove from office an alternate Director so appointed by him.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36.2</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 alternate Director shall be entitled to receive notice of all meetings of Directors and of all meetings of committees of Directors of which his appointor is a member, to attend and vote at every such meeting at which the Director appointing him is not personally present, to sign any written resolution of the Directors, and generally to perform all the functions of his appointor as a Director in his absence.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36.3</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 alternate Director shall cease to be an alternate Director if his appointor ceases to be a Director.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36.4</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appointment or removal of an alternate Director shall be by notice to the Company signed by the Director making or revoking the appointment or in any other manner approved by the Directors.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36.5</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Subject to the provisions of the Articles, an alternate Director shall be deemed for all purposes to be a Director and shall alone be responsible for his own acts and defaults and shall not be deemed to be the agent of the Director appointing him.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9697"/>
      </w:tblGrid>
      <w:tr>
        <w:trPr/>
        <w:tc>
          <w:tcPr>
            <w:tcW w:w="508" w:type="dxa"/>
            <w:tcBorders/>
            <w:shd w:fill="auto" w:val="clear"/>
          </w:tcPr>
          <w:p>
            <w:pPr>
              <w:pStyle w:val="TableContents"/>
              <w:spacing w:before="0" w:after="283"/>
              <w:jc w:val="left"/>
              <w:rPr>
                <w:b/>
              </w:rPr>
            </w:pPr>
            <w:r>
              <w:rPr>
                <w:b/>
              </w:rPr>
              <w:t>37</w:t>
            </w:r>
          </w:p>
        </w:tc>
        <w:tc>
          <w:tcPr>
            <w:tcW w:w="9697"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No Minimum Shareholding </w:t>
            </w:r>
          </w:p>
        </w:tc>
      </w:tr>
    </w:tbl>
    <w:p>
      <w:pPr>
        <w:pStyle w:val="TextBody"/>
        <w:spacing w:before="120" w:after="0"/>
        <w:jc w:val="left"/>
        <w:rPr>
          <w:rFonts w:ascii="Times New Roman" w:hAnsi="Times New Roman"/>
          <w:sz w:val="20"/>
        </w:rPr>
      </w:pPr>
      <w:r>
        <w:rPr>
          <w:rFonts w:ascii="Times New Roman" w:hAnsi="Times New Roman"/>
          <w:sz w:val="20"/>
        </w:rPr>
        <w:t xml:space="preserve">The Company in general meeting may fix a minimum shareholding required to be held by a Director, but unless and until such a shareholding qualification is fixed a Director is not required to hold Shares.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9697"/>
      </w:tblGrid>
      <w:tr>
        <w:trPr/>
        <w:tc>
          <w:tcPr>
            <w:tcW w:w="508" w:type="dxa"/>
            <w:tcBorders/>
            <w:shd w:fill="auto" w:val="clear"/>
          </w:tcPr>
          <w:p>
            <w:pPr>
              <w:pStyle w:val="TableContents"/>
              <w:spacing w:before="0" w:after="283"/>
              <w:jc w:val="left"/>
              <w:rPr>
                <w:b/>
              </w:rPr>
            </w:pPr>
            <w:r>
              <w:rPr>
                <w:b/>
              </w:rPr>
              <w:t>38</w:t>
            </w:r>
          </w:p>
        </w:tc>
        <w:tc>
          <w:tcPr>
            <w:tcW w:w="9697"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Remuneration of Directors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38.1</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remuneration to be paid to the Directors, if any, shall be such remuneration as the Directors shall determine. The Directors shall also be entitled to be paid all travelling, hotel and other expenses properly incurred by them in connection with their attendance at meetings of Directors or committees of Directors, or general meetings of the Company, or separate meetings of the holders of any class of Shares or debentures of the Company, or otherwise in connection with the business of the Company or the discharge of their duties as a Director, or to receive a fixed allowance in respect thereof as may be determined by the Directors, or a combination partly of one such method and partly the other.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38.2</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Directors may by resolution approve additional remuneration to any Director for any services which in the opinion of the Directors go beyond his ordinary routine work as a Director. Any fees paid to a Director who is also counsel, attorney or solicitor to the Company, or otherwise serves it in a professional capacity shall be in addition to his remuneration as a Director. </w:t>
            </w:r>
          </w:p>
        </w:tc>
      </w:tr>
    </w:tbl>
    <w:p>
      <w:pPr>
        <w:pStyle w:val="TextBody"/>
        <w:spacing w:before="0" w:after="0"/>
        <w:jc w:val="left"/>
        <w:rPr/>
      </w:pPr>
      <w:r>
        <w:rPr/>
        <w:t> </w:t>
      </w:r>
    </w:p>
    <w:p>
      <w:pPr>
        <w:pStyle w:val="TextBody"/>
        <w:spacing w:before="0" w:after="0"/>
        <w:jc w:val="right"/>
        <w:rPr>
          <w:rFonts w:ascii="Times New Roman" w:hAnsi="Times New Roman"/>
          <w:sz w:val="20"/>
        </w:rPr>
      </w:pPr>
      <w:r>
        <w:rPr>
          <w:rFonts w:ascii="Times New Roman" w:hAnsi="Times New Roman"/>
          <w:sz w:val="20"/>
        </w:rPr>
        <w:t xml:space="preserve">23 </w:t>
      </w:r>
    </w:p>
    <w:p>
      <w:pPr>
        <w:pStyle w:val="TextBody"/>
        <w:spacing w:before="80" w:after="0"/>
        <w:jc w:val="right"/>
        <w:rPr>
          <w:rFonts w:ascii="Times New Roman" w:hAnsi="Times New Roman"/>
          <w:sz w:val="20"/>
        </w:rPr>
      </w:pPr>
      <w:r>
        <w:rPr>
          <w:rFonts w:ascii="Times New Roman" w:hAnsi="Times New Roman"/>
          <w:i/>
          <w:sz w:val="20"/>
        </w:rPr>
        <w:t>Auth Code: H70275751251</w:t>
      </w:r>
      <w:r>
        <w:rPr>
          <w:rFonts w:ascii="Times New Roman" w:hAnsi="Times New Roman"/>
          <w:sz w:val="20"/>
        </w:rPr>
        <w:t xml:space="preserve"> </w:t>
      </w:r>
    </w:p>
    <w:p>
      <w:pPr>
        <w:pStyle w:val="TextBody"/>
        <w:spacing w:before="0" w:after="0"/>
        <w:jc w:val="right"/>
        <w:rPr>
          <w:rFonts w:ascii="Times New Roman" w:hAnsi="Times New Roman"/>
          <w:sz w:val="20"/>
        </w:rPr>
      </w:pPr>
      <w:r>
        <w:rPr>
          <w:rFonts w:ascii="Times New Roman" w:hAnsi="Times New Roman"/>
          <w:i/>
          <w:sz w:val="20"/>
        </w:rPr>
        <w:t>www.verify.gov.ky</w:t>
      </w:r>
      <w:r>
        <w:rPr>
          <w:rFonts w:ascii="Times New Roman" w:hAnsi="Times New Roman"/>
          <w:sz w:val="20"/>
        </w:rPr>
        <w:t xml:space="preserve"> </w:t>
      </w:r>
      <w:r>
        <w:br w:type="page"/>
      </w:r>
    </w:p>
    <w:p>
      <w:pPr>
        <w:pStyle w:val="HorizontalLine"/>
        <w:pBdr>
          <w:bottom w:val="double" w:sz="6" w:space="0" w:color="808080"/>
        </w:pBdr>
        <w:rPr/>
      </w:pPr>
      <w:r>
        <w:rPr/>
      </w:r>
    </w:p>
    <w:p>
      <w:pPr>
        <w:pStyle w:val="TextBody"/>
        <w:spacing w:before="0" w:after="0"/>
        <w:jc w:val="right"/>
        <w:rPr/>
      </w:pPr>
      <w:r>
        <w:rPr/>
        <w:drawing>
          <wp:inline distT="0" distB="0" distL="0" distR="0">
            <wp:extent cx="914400" cy="914400"/>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embed="rId55"/>
                    <a:stretch>
                      <a:fillRect/>
                    </a:stretch>
                  </pic:blipFill>
                  <pic:spPr bwMode="auto">
                    <a:xfrm>
                      <a:off x="0" y="0"/>
                      <a:ext cx="914400" cy="914400"/>
                    </a:xfrm>
                    <a:prstGeom prst="rect">
                      <a:avLst/>
                    </a:prstGeom>
                  </pic:spPr>
                </pic:pic>
              </a:graphicData>
            </a:graphic>
          </wp:inline>
        </w:drawing>
      </w:r>
      <w:r>
        <w:rPr/>
        <w:t xml:space="preserve">              </w:t>
      </w:r>
    </w:p>
    <w:p>
      <w:pPr>
        <w:pStyle w:val="TextBody"/>
        <w:spacing w:before="20" w:after="0"/>
        <w:jc w:val="right"/>
        <w:rPr>
          <w:rFonts w:ascii="Times New Roman" w:hAnsi="Times New Roman"/>
          <w:sz w:val="20"/>
        </w:rPr>
      </w:pPr>
      <w:r>
        <w:rPr>
          <w:rFonts w:ascii="Times New Roman" w:hAnsi="Times New Roman"/>
          <w:b/>
          <w:i/>
          <w:sz w:val="20"/>
        </w:rPr>
        <w:t>EXEMPTED</w:t>
      </w:r>
      <w:r>
        <w:rPr>
          <w:rFonts w:ascii="Times New Roman" w:hAnsi="Times New Roman"/>
          <w:sz w:val="20"/>
        </w:rPr>
        <w:t xml:space="preserve"> </w:t>
      </w:r>
      <w:r>
        <w:rPr>
          <w:rFonts w:ascii="Times New Roman" w:hAnsi="Times New Roman"/>
          <w:i/>
          <w:sz w:val="20"/>
        </w:rPr>
        <w:t>Company Registered and</w:t>
      </w:r>
      <w:r>
        <w:rPr>
          <w:rFonts w:ascii="Times New Roman" w:hAnsi="Times New Roman"/>
          <w:sz w:val="20"/>
        </w:rPr>
        <w:t xml:space="preserve"> </w:t>
      </w:r>
    </w:p>
    <w:p>
      <w:pPr>
        <w:pStyle w:val="TextBody"/>
        <w:spacing w:before="20" w:after="0"/>
        <w:jc w:val="right"/>
        <w:rPr>
          <w:rFonts w:ascii="Times New Roman" w:hAnsi="Times New Roman"/>
          <w:sz w:val="20"/>
        </w:rPr>
      </w:pPr>
      <w:r>
        <w:rPr>
          <w:rFonts w:ascii="Times New Roman" w:hAnsi="Times New Roman"/>
          <w:i/>
          <w:sz w:val="20"/>
        </w:rPr>
        <w:t>filed as No. 370146 On 13-Jan-2021</w:t>
      </w:r>
      <w:r>
        <w:rPr>
          <w:rFonts w:ascii="Times New Roman" w:hAnsi="Times New Roman"/>
          <w:sz w:val="20"/>
        </w:rPr>
        <w:t xml:space="preserve"> </w:t>
      </w:r>
    </w:p>
    <w:p>
      <w:pPr>
        <w:pStyle w:val="TextBody"/>
        <w:spacing w:before="0" w:after="0"/>
        <w:jc w:val="left"/>
        <w:rPr/>
      </w:pPr>
      <w:r>
        <w:rPr/>
        <w:t> </w:t>
      </w:r>
    </w:p>
    <w:p>
      <w:pPr>
        <w:pStyle w:val="TextBody"/>
        <w:spacing w:before="0" w:after="0"/>
        <w:jc w:val="right"/>
        <w:rPr/>
      </w:pPr>
      <w:r>
        <w:rPr/>
        <w:drawing>
          <wp:inline distT="0" distB="0" distL="0" distR="0">
            <wp:extent cx="447675" cy="361950"/>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embed="rId56"/>
                    <a:stretch>
                      <a:fillRect/>
                    </a:stretch>
                  </pic:blipFill>
                  <pic:spPr bwMode="auto">
                    <a:xfrm>
                      <a:off x="0" y="0"/>
                      <a:ext cx="447675" cy="361950"/>
                    </a:xfrm>
                    <a:prstGeom prst="rect">
                      <a:avLst/>
                    </a:prstGeom>
                  </pic:spPr>
                </pic:pic>
              </a:graphicData>
            </a:graphic>
          </wp:inline>
        </w:drawing>
      </w:r>
      <w:r>
        <w:rPr/>
        <w:t xml:space="preserve">                                           </w:t>
      </w:r>
    </w:p>
    <w:p>
      <w:pPr>
        <w:pStyle w:val="TextBody"/>
        <w:spacing w:before="0" w:after="0"/>
        <w:jc w:val="right"/>
        <w:rPr>
          <w:rFonts w:ascii="Times New Roman" w:hAnsi="Times New Roman"/>
          <w:sz w:val="20"/>
        </w:rPr>
      </w:pPr>
      <w:r>
        <w:rPr>
          <w:rFonts w:ascii="Times New Roman" w:hAnsi="Times New Roman"/>
          <w:i/>
          <w:sz w:val="20"/>
        </w:rPr>
        <w:t>Acting Assistant Registrar</w:t>
      </w:r>
      <w:r>
        <w:rPr>
          <w:rFonts w:ascii="Times New Roman" w:hAnsi="Times New Roman"/>
          <w:sz w:val="20"/>
        </w:rPr>
        <w:t xml:space="preserv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b/>
              </w:rPr>
            </w:pPr>
            <w:r>
              <w:rPr>
                <w:b/>
              </w:rPr>
              <w:t>39</w:t>
            </w:r>
          </w:p>
        </w:tc>
        <w:tc>
          <w:tcPr>
            <w:tcW w:w="9696"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Seal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39.1</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Company may, if the Directors so determine, have a Seal. The Seal shall only be used by the authority of the Directors or of a committee of the Directors authorised by the Directors. Every instrument to which the Seal has been affixed shall be signed by at least one person who shall be either a Director or some officer of the Company or other person appointed by the Directors for the purpose.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39.2</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Company may have for use in any place or places outside the Cayman Islands a duplicate Seal or Seals each of which shall be a facsimile of the common Seal of the Company and, if the Directors so determine, with the addition on its face of the name of every place where it is to be used.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39.3</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Director or officer, representative or attorney of the Company may without further authority of the Directors affix the Seal over his signature alone to any document of the Company required to be authenticated by him under seal or to be filed with the Registrar of Companies in the Cayman Islands or elsewhere wheresoever.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9697"/>
      </w:tblGrid>
      <w:tr>
        <w:trPr/>
        <w:tc>
          <w:tcPr>
            <w:tcW w:w="508" w:type="dxa"/>
            <w:tcBorders/>
            <w:shd w:fill="auto" w:val="clear"/>
          </w:tcPr>
          <w:p>
            <w:pPr>
              <w:pStyle w:val="TableContents"/>
              <w:spacing w:before="0" w:after="283"/>
              <w:jc w:val="left"/>
              <w:rPr>
                <w:b/>
              </w:rPr>
            </w:pPr>
            <w:r>
              <w:rPr>
                <w:b/>
              </w:rPr>
              <w:t>40</w:t>
            </w:r>
          </w:p>
        </w:tc>
        <w:tc>
          <w:tcPr>
            <w:tcW w:w="9697"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Dividends, Distributions and 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40.1</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Subject to the Statute and this Article and except as otherwise provided by the rights attached to any Shares, the Directors may resolve to pay Dividends and other distributions on Shares in issue and authorise payment of the Dividends or other distributions out of the funds of the Company lawfully available therefor. A Dividend shall be deemed to be an interim Dividend unless the terms of the resolution pursuant to which the Directors resolve to pay such Dividend specifically state that such Dividend shall be a final Dividend. No Dividend or other distribution shall be paid except out of the realised or unrealised profits of the Company, out of the share premium account or as otherwise permitted by law.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40.2</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Except as otherwise provided by the rights attached to any Shares, all Dividends and other distributions shall be paid according to the par value of the Shares that a Member holds. If any Share is issued on terms providing that it shall rank for Dividend as from a particular date, that Share shall rank for Dividend accordingly.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40.3</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Directors may deduct from any Dividend or other distribution payable to any Member all sums of money (if any) then payable by him to the Company on account of calls or otherwise.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40.4</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Directors may resolve that any Dividend or other distribution be paid wholly or partly by the distribution of specific assets and in particular (but without limitation) by the distribution of shares, debentures, or securities of any other company or in any one or more of such ways and where any difficulty arises in regard to such distribution, the Directors may settle the same as they think expedient and in particular may issue fractional Shares and may fix the value for distribution of </w:t>
            </w:r>
          </w:p>
        </w:tc>
      </w:tr>
    </w:tbl>
    <w:p>
      <w:pPr>
        <w:pStyle w:val="TextBody"/>
        <w:spacing w:before="0" w:after="0"/>
        <w:jc w:val="left"/>
        <w:rPr/>
      </w:pPr>
      <w:r>
        <w:rPr/>
        <w:t> </w:t>
      </w:r>
    </w:p>
    <w:p>
      <w:pPr>
        <w:pStyle w:val="TextBody"/>
        <w:spacing w:before="0" w:after="0"/>
        <w:jc w:val="right"/>
        <w:rPr>
          <w:rFonts w:ascii="Times New Roman" w:hAnsi="Times New Roman"/>
          <w:sz w:val="20"/>
        </w:rPr>
      </w:pPr>
      <w:r>
        <w:rPr>
          <w:rFonts w:ascii="Times New Roman" w:hAnsi="Times New Roman"/>
          <w:sz w:val="20"/>
        </w:rPr>
        <w:t xml:space="preserve">24 </w:t>
      </w:r>
    </w:p>
    <w:p>
      <w:pPr>
        <w:pStyle w:val="TextBody"/>
        <w:spacing w:before="80" w:after="0"/>
        <w:jc w:val="right"/>
        <w:rPr>
          <w:rFonts w:ascii="Times New Roman" w:hAnsi="Times New Roman"/>
          <w:sz w:val="20"/>
        </w:rPr>
      </w:pPr>
      <w:r>
        <w:rPr>
          <w:rFonts w:ascii="Times New Roman" w:hAnsi="Times New Roman"/>
          <w:i/>
          <w:sz w:val="20"/>
        </w:rPr>
        <w:t>Auth Code: H70275751251</w:t>
      </w:r>
      <w:r>
        <w:rPr>
          <w:rFonts w:ascii="Times New Roman" w:hAnsi="Times New Roman"/>
          <w:sz w:val="20"/>
        </w:rPr>
        <w:t xml:space="preserve"> </w:t>
      </w:r>
    </w:p>
    <w:p>
      <w:pPr>
        <w:pStyle w:val="TextBody"/>
        <w:spacing w:before="0" w:after="0"/>
        <w:jc w:val="right"/>
        <w:rPr>
          <w:rFonts w:ascii="Times New Roman" w:hAnsi="Times New Roman"/>
          <w:sz w:val="20"/>
        </w:rPr>
      </w:pPr>
      <w:r>
        <w:rPr>
          <w:rFonts w:ascii="Times New Roman" w:hAnsi="Times New Roman"/>
          <w:i/>
          <w:sz w:val="20"/>
        </w:rPr>
        <w:t>www.verify.gov.ky</w:t>
      </w:r>
      <w:r>
        <w:rPr>
          <w:rFonts w:ascii="Times New Roman" w:hAnsi="Times New Roman"/>
          <w:sz w:val="20"/>
        </w:rPr>
        <w:t xml:space="preserve"> </w:t>
      </w:r>
      <w:r>
        <w:br w:type="page"/>
      </w:r>
    </w:p>
    <w:p>
      <w:pPr>
        <w:pStyle w:val="HorizontalLine"/>
        <w:pBdr>
          <w:bottom w:val="double" w:sz="6" w:space="0" w:color="808080"/>
        </w:pBdr>
        <w:rPr/>
      </w:pPr>
      <w:r>
        <w:rPr/>
      </w:r>
    </w:p>
    <w:p>
      <w:pPr>
        <w:pStyle w:val="TextBody"/>
        <w:spacing w:before="0" w:after="0"/>
        <w:jc w:val="right"/>
        <w:rPr/>
      </w:pPr>
      <w:r>
        <w:rPr/>
        <w:drawing>
          <wp:inline distT="0" distB="0" distL="0" distR="0">
            <wp:extent cx="914400" cy="914400"/>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embed="rId57"/>
                    <a:stretch>
                      <a:fillRect/>
                    </a:stretch>
                  </pic:blipFill>
                  <pic:spPr bwMode="auto">
                    <a:xfrm>
                      <a:off x="0" y="0"/>
                      <a:ext cx="914400" cy="914400"/>
                    </a:xfrm>
                    <a:prstGeom prst="rect">
                      <a:avLst/>
                    </a:prstGeom>
                  </pic:spPr>
                </pic:pic>
              </a:graphicData>
            </a:graphic>
          </wp:inline>
        </w:drawing>
      </w:r>
      <w:r>
        <w:rPr/>
        <w:t xml:space="preserve">              </w:t>
      </w:r>
    </w:p>
    <w:p>
      <w:pPr>
        <w:pStyle w:val="TextBody"/>
        <w:spacing w:before="20" w:after="0"/>
        <w:jc w:val="right"/>
        <w:rPr>
          <w:rFonts w:ascii="Times New Roman" w:hAnsi="Times New Roman"/>
          <w:sz w:val="20"/>
        </w:rPr>
      </w:pPr>
      <w:r>
        <w:rPr>
          <w:rFonts w:ascii="Times New Roman" w:hAnsi="Times New Roman"/>
          <w:b/>
          <w:i/>
          <w:sz w:val="20"/>
        </w:rPr>
        <w:t>EXEMPTED</w:t>
      </w:r>
      <w:r>
        <w:rPr>
          <w:rFonts w:ascii="Times New Roman" w:hAnsi="Times New Roman"/>
          <w:sz w:val="20"/>
        </w:rPr>
        <w:t xml:space="preserve"> </w:t>
      </w:r>
      <w:r>
        <w:rPr>
          <w:rFonts w:ascii="Times New Roman" w:hAnsi="Times New Roman"/>
          <w:i/>
          <w:sz w:val="20"/>
        </w:rPr>
        <w:t>Company Registered and</w:t>
      </w:r>
      <w:r>
        <w:rPr>
          <w:rFonts w:ascii="Times New Roman" w:hAnsi="Times New Roman"/>
          <w:sz w:val="20"/>
        </w:rPr>
        <w:t xml:space="preserve"> </w:t>
      </w:r>
    </w:p>
    <w:p>
      <w:pPr>
        <w:pStyle w:val="TextBody"/>
        <w:spacing w:before="20" w:after="0"/>
        <w:jc w:val="right"/>
        <w:rPr>
          <w:rFonts w:ascii="Times New Roman" w:hAnsi="Times New Roman"/>
          <w:sz w:val="20"/>
        </w:rPr>
      </w:pPr>
      <w:r>
        <w:rPr>
          <w:rFonts w:ascii="Times New Roman" w:hAnsi="Times New Roman"/>
          <w:i/>
          <w:sz w:val="20"/>
        </w:rPr>
        <w:t>filed as No. 370146 On 13-Jan-2021</w:t>
      </w:r>
      <w:r>
        <w:rPr>
          <w:rFonts w:ascii="Times New Roman" w:hAnsi="Times New Roman"/>
          <w:sz w:val="20"/>
        </w:rPr>
        <w:t xml:space="preserve"> </w:t>
      </w:r>
    </w:p>
    <w:p>
      <w:pPr>
        <w:pStyle w:val="TextBody"/>
        <w:spacing w:before="0" w:after="0"/>
        <w:jc w:val="left"/>
        <w:rPr/>
      </w:pPr>
      <w:r>
        <w:rPr/>
        <w:t> </w:t>
      </w:r>
    </w:p>
    <w:p>
      <w:pPr>
        <w:pStyle w:val="TextBody"/>
        <w:spacing w:before="0" w:after="0"/>
        <w:jc w:val="right"/>
        <w:rPr/>
      </w:pPr>
      <w:r>
        <w:rPr/>
        <w:drawing>
          <wp:inline distT="0" distB="0" distL="0" distR="0">
            <wp:extent cx="447675" cy="361950"/>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embed="rId58"/>
                    <a:stretch>
                      <a:fillRect/>
                    </a:stretch>
                  </pic:blipFill>
                  <pic:spPr bwMode="auto">
                    <a:xfrm>
                      <a:off x="0" y="0"/>
                      <a:ext cx="447675" cy="361950"/>
                    </a:xfrm>
                    <a:prstGeom prst="rect">
                      <a:avLst/>
                    </a:prstGeom>
                  </pic:spPr>
                </pic:pic>
              </a:graphicData>
            </a:graphic>
          </wp:inline>
        </w:drawing>
      </w:r>
      <w:r>
        <w:rPr/>
        <w:t xml:space="preserve">                                           </w:t>
      </w:r>
    </w:p>
    <w:p>
      <w:pPr>
        <w:pStyle w:val="TextBody"/>
        <w:spacing w:before="0" w:after="0"/>
        <w:jc w:val="right"/>
        <w:rPr>
          <w:rFonts w:ascii="Times New Roman" w:hAnsi="Times New Roman"/>
          <w:sz w:val="20"/>
        </w:rPr>
      </w:pPr>
      <w:r>
        <w:rPr>
          <w:rFonts w:ascii="Times New Roman" w:hAnsi="Times New Roman"/>
          <w:i/>
          <w:sz w:val="20"/>
        </w:rPr>
        <w:t>Acting Assistant Registrar</w:t>
      </w:r>
      <w:r>
        <w:rPr>
          <w:rFonts w:ascii="Times New Roman" w:hAnsi="Times New Roman"/>
          <w:sz w:val="20"/>
        </w:rPr>
        <w:t xml:space="preserv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vAlign w:val="center"/>
          </w:tcPr>
          <w:p>
            <w:pPr>
              <w:pStyle w:val="TableContents"/>
              <w:spacing w:before="0" w:after="283"/>
              <w:rPr/>
            </w:pPr>
            <w:r>
              <w:rPr/>
              <w:t> </w:t>
            </w:r>
          </w:p>
        </w:tc>
        <w:tc>
          <w:tcPr>
            <w:tcW w:w="9696" w:type="dxa"/>
            <w:tcBorders/>
            <w:shd w:fill="auto" w:val="clear"/>
          </w:tcPr>
          <w:p>
            <w:pPr>
              <w:pStyle w:val="TableContents"/>
              <w:spacing w:before="0" w:after="283"/>
              <w:jc w:val="left"/>
              <w:rPr/>
            </w:pPr>
            <w:r>
              <w:rPr/>
              <w:t xml:space="preserve">such specific assets or any part thereof and may determine that cash payments shall be made to any Members upon the basis of the value so fixed in order to adjust the rights of all Members and may vest any such specific assets in trustees in such manner as may seem expedient to the Directors.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40.5</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Except as otherwise provided by the rights attached to any Shares, Dividends and other distributions may be paid in any currency. The Directors may determine the basis of conversion for any currency conversions that may be required and how any costs involved are to be met.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40.6</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Directors may, before resolving to pay any Dividend or other distribution, set aside such sums as they think proper as a reserve or reserves which shall, at the discretion of the Directors, be applicable for any purpose of the Company and pending such application may, at the discretion of the Directors, be employed in the business of the Company.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40.7</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Dividend, other distribution, interest or other monies payable in cash in respect of Shares may be paid by wire transfer to the holder or by cheque or warrant sent through the post directed to the registered address of the holder or, in the case of joint holders, to the registered address of the holder who is first named on the Register of Members or to such person and to such address as such holder or joint holders may in writing direct. Every such cheque or warrant shall be made payable to the order of the person to whom it is sent. Any one of two or more joint holders may give effectual receipts for any Dividends, other distributions, bonuses, or other monies payable in respect of the Share held by them as joint holders.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40.8</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No Dividend or other distribution shall bear interest against the Company.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40.9</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Dividend or other distribution which cannot be paid to a Member and/or which remains unclaimed after six months from the date on which such Dividend or other distribution becomes payable may, in the discretion of the Directors, be paid into a separate account in the Companys name, provided that the Company shall not be constituted as a trustee in respect of that account and the Dividend or other distribution shall remain as a debt due to the Member. Any Dividend or other distribution which remains unclaimed after a period of six years from the date on which such Dividend or other distribution becomes payable shall be forfeited and shall revert to the Company.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b/>
              </w:rPr>
            </w:pPr>
            <w:r>
              <w:rPr>
                <w:b/>
              </w:rPr>
              <w:t>41</w:t>
            </w:r>
          </w:p>
        </w:tc>
        <w:tc>
          <w:tcPr>
            <w:tcW w:w="9696"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Capitalisation </w:t>
            </w:r>
          </w:p>
        </w:tc>
      </w:tr>
    </w:tbl>
    <w:p>
      <w:pPr>
        <w:pStyle w:val="TextBody"/>
        <w:spacing w:before="120" w:after="0"/>
        <w:jc w:val="left"/>
        <w:rPr>
          <w:rFonts w:ascii="Times New Roman" w:hAnsi="Times New Roman"/>
          <w:sz w:val="20"/>
        </w:rPr>
      </w:pPr>
      <w:r>
        <w:rPr>
          <w:rFonts w:ascii="Times New Roman" w:hAnsi="Times New Roman"/>
          <w:sz w:val="20"/>
        </w:rPr>
        <w:t xml:space="preserve">The Directors may at any time capitalise any sum standing to the credit of any of the Companys reserve accounts or funds (including the share premium account and capital redemption reserve fund) or any sum standing to the credit of the profit and loss account or otherwise available for distribution; appropriate such sum to Members in the proportions in which such sum would have been divisible amongst such Members had the same been a distribution of profits by way of Dividend or other distribution; and apply such sum on their behalf in paying up in full unissued Shares for allotment and distribution credited as fully paid-up to and amongst them in the proportion aforesaid. In such event the Directors shall do all acts and things required to give effect to such capitalisation, with full power given to the Directors to make such provisions as they think fit in the case of Shares becoming distributable in fractions (including provisions whereby the benefit of fractional entitlements accrue to the Company rather than to the Members concerned). The </w:t>
      </w:r>
    </w:p>
    <w:p>
      <w:pPr>
        <w:pStyle w:val="TextBody"/>
        <w:spacing w:before="0" w:after="0"/>
        <w:jc w:val="left"/>
        <w:rPr/>
      </w:pPr>
      <w:r>
        <w:rPr/>
        <w:t> </w:t>
      </w:r>
    </w:p>
    <w:p>
      <w:pPr>
        <w:pStyle w:val="TextBody"/>
        <w:spacing w:before="0" w:after="0"/>
        <w:jc w:val="right"/>
        <w:rPr>
          <w:rFonts w:ascii="Times New Roman" w:hAnsi="Times New Roman"/>
          <w:sz w:val="20"/>
        </w:rPr>
      </w:pPr>
      <w:r>
        <w:rPr>
          <w:rFonts w:ascii="Times New Roman" w:hAnsi="Times New Roman"/>
          <w:sz w:val="20"/>
        </w:rPr>
        <w:t xml:space="preserve">25 </w:t>
      </w:r>
    </w:p>
    <w:p>
      <w:pPr>
        <w:pStyle w:val="TextBody"/>
        <w:spacing w:before="80" w:after="0"/>
        <w:jc w:val="right"/>
        <w:rPr>
          <w:rFonts w:ascii="Times New Roman" w:hAnsi="Times New Roman"/>
          <w:sz w:val="20"/>
        </w:rPr>
      </w:pPr>
      <w:r>
        <w:rPr>
          <w:rFonts w:ascii="Times New Roman" w:hAnsi="Times New Roman"/>
          <w:i/>
          <w:sz w:val="20"/>
        </w:rPr>
        <w:t>Auth Code: H70275751251</w:t>
      </w:r>
      <w:r>
        <w:rPr>
          <w:rFonts w:ascii="Times New Roman" w:hAnsi="Times New Roman"/>
          <w:sz w:val="20"/>
        </w:rPr>
        <w:t xml:space="preserve"> </w:t>
      </w:r>
    </w:p>
    <w:p>
      <w:pPr>
        <w:pStyle w:val="TextBody"/>
        <w:spacing w:before="0" w:after="0"/>
        <w:jc w:val="right"/>
        <w:rPr>
          <w:rFonts w:ascii="Times New Roman" w:hAnsi="Times New Roman"/>
          <w:sz w:val="20"/>
        </w:rPr>
      </w:pPr>
      <w:r>
        <w:rPr>
          <w:rFonts w:ascii="Times New Roman" w:hAnsi="Times New Roman"/>
          <w:i/>
          <w:sz w:val="20"/>
        </w:rPr>
        <w:t>www.verify.gov.ky</w:t>
      </w:r>
      <w:r>
        <w:rPr>
          <w:rFonts w:ascii="Times New Roman" w:hAnsi="Times New Roman"/>
          <w:sz w:val="20"/>
        </w:rPr>
        <w:t xml:space="preserve"> </w:t>
      </w:r>
      <w:r>
        <w:br w:type="page"/>
      </w:r>
    </w:p>
    <w:p>
      <w:pPr>
        <w:pStyle w:val="HorizontalLine"/>
        <w:pBdr>
          <w:bottom w:val="double" w:sz="6" w:space="0" w:color="808080"/>
        </w:pBdr>
        <w:rPr/>
      </w:pPr>
      <w:r>
        <w:rPr/>
      </w:r>
    </w:p>
    <w:p>
      <w:pPr>
        <w:pStyle w:val="TextBody"/>
        <w:spacing w:before="0" w:after="0"/>
        <w:jc w:val="right"/>
        <w:rPr/>
      </w:pPr>
      <w:r>
        <w:rPr/>
        <w:drawing>
          <wp:inline distT="0" distB="0" distL="0" distR="0">
            <wp:extent cx="914400" cy="914400"/>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embed="rId59"/>
                    <a:stretch>
                      <a:fillRect/>
                    </a:stretch>
                  </pic:blipFill>
                  <pic:spPr bwMode="auto">
                    <a:xfrm>
                      <a:off x="0" y="0"/>
                      <a:ext cx="914400" cy="914400"/>
                    </a:xfrm>
                    <a:prstGeom prst="rect">
                      <a:avLst/>
                    </a:prstGeom>
                  </pic:spPr>
                </pic:pic>
              </a:graphicData>
            </a:graphic>
          </wp:inline>
        </w:drawing>
      </w:r>
      <w:r>
        <w:rPr/>
        <w:t xml:space="preserve">              </w:t>
      </w:r>
    </w:p>
    <w:p>
      <w:pPr>
        <w:pStyle w:val="TextBody"/>
        <w:spacing w:before="20" w:after="0"/>
        <w:jc w:val="right"/>
        <w:rPr>
          <w:rFonts w:ascii="Times New Roman" w:hAnsi="Times New Roman"/>
          <w:sz w:val="20"/>
        </w:rPr>
      </w:pPr>
      <w:r>
        <w:rPr>
          <w:rFonts w:ascii="Times New Roman" w:hAnsi="Times New Roman"/>
          <w:b/>
          <w:i/>
          <w:sz w:val="20"/>
        </w:rPr>
        <w:t>EXEMPTED</w:t>
      </w:r>
      <w:r>
        <w:rPr>
          <w:rFonts w:ascii="Times New Roman" w:hAnsi="Times New Roman"/>
          <w:sz w:val="20"/>
        </w:rPr>
        <w:t xml:space="preserve"> </w:t>
      </w:r>
      <w:r>
        <w:rPr>
          <w:rFonts w:ascii="Times New Roman" w:hAnsi="Times New Roman"/>
          <w:i/>
          <w:sz w:val="20"/>
        </w:rPr>
        <w:t>Company Registered and</w:t>
      </w:r>
      <w:r>
        <w:rPr>
          <w:rFonts w:ascii="Times New Roman" w:hAnsi="Times New Roman"/>
          <w:sz w:val="20"/>
        </w:rPr>
        <w:t xml:space="preserve"> </w:t>
      </w:r>
    </w:p>
    <w:p>
      <w:pPr>
        <w:pStyle w:val="TextBody"/>
        <w:spacing w:before="20" w:after="0"/>
        <w:jc w:val="right"/>
        <w:rPr>
          <w:rFonts w:ascii="Times New Roman" w:hAnsi="Times New Roman"/>
          <w:sz w:val="20"/>
        </w:rPr>
      </w:pPr>
      <w:r>
        <w:rPr>
          <w:rFonts w:ascii="Times New Roman" w:hAnsi="Times New Roman"/>
          <w:i/>
          <w:sz w:val="20"/>
        </w:rPr>
        <w:t>filed as No. 370146 On 13-Jan-2021</w:t>
      </w:r>
      <w:r>
        <w:rPr>
          <w:rFonts w:ascii="Times New Roman" w:hAnsi="Times New Roman"/>
          <w:sz w:val="20"/>
        </w:rPr>
        <w:t xml:space="preserve"> </w:t>
      </w:r>
    </w:p>
    <w:p>
      <w:pPr>
        <w:pStyle w:val="TextBody"/>
        <w:spacing w:before="0" w:after="0"/>
        <w:jc w:val="left"/>
        <w:rPr/>
      </w:pPr>
      <w:r>
        <w:rPr/>
        <w:t> </w:t>
      </w:r>
    </w:p>
    <w:p>
      <w:pPr>
        <w:pStyle w:val="TextBody"/>
        <w:spacing w:before="0" w:after="0"/>
        <w:jc w:val="right"/>
        <w:rPr/>
      </w:pPr>
      <w:r>
        <w:rPr/>
        <w:drawing>
          <wp:inline distT="0" distB="0" distL="0" distR="0">
            <wp:extent cx="447675" cy="361950"/>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embed="rId60"/>
                    <a:stretch>
                      <a:fillRect/>
                    </a:stretch>
                  </pic:blipFill>
                  <pic:spPr bwMode="auto">
                    <a:xfrm>
                      <a:off x="0" y="0"/>
                      <a:ext cx="447675" cy="361950"/>
                    </a:xfrm>
                    <a:prstGeom prst="rect">
                      <a:avLst/>
                    </a:prstGeom>
                  </pic:spPr>
                </pic:pic>
              </a:graphicData>
            </a:graphic>
          </wp:inline>
        </w:drawing>
      </w:r>
      <w:r>
        <w:rPr/>
        <w:t xml:space="preserve">                                           </w:t>
      </w:r>
    </w:p>
    <w:p>
      <w:pPr>
        <w:pStyle w:val="TextBody"/>
        <w:spacing w:before="0" w:after="0"/>
        <w:jc w:val="right"/>
        <w:rPr>
          <w:rFonts w:ascii="Times New Roman" w:hAnsi="Times New Roman"/>
          <w:sz w:val="20"/>
        </w:rPr>
      </w:pPr>
      <w:r>
        <w:rPr>
          <w:rFonts w:ascii="Times New Roman" w:hAnsi="Times New Roman"/>
          <w:i/>
          <w:sz w:val="20"/>
        </w:rPr>
        <w:t>Acting Assistant Registrar</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 w:hAnsi="Times New Roman"/>
          <w:sz w:val="20"/>
        </w:rPr>
        <w:t xml:space="preserve">Directors may authorise any person to enter on behalf of all of the Members interested into an agreement with the Company providing for such capitalisation and matters incidental or relating thereto and any agreement made under such authority shall be effective and binding on all such Members and the Company.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b/>
              </w:rPr>
            </w:pPr>
            <w:r>
              <w:rPr>
                <w:b/>
              </w:rPr>
              <w:t>42</w:t>
            </w:r>
          </w:p>
        </w:tc>
        <w:tc>
          <w:tcPr>
            <w:tcW w:w="9696"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Books of Account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42.1</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Directors shall cause proper books of account (including, where applicable, material underlying documentation including contracts and invoices) to be kept with respect to all sums of money received and expended by the Company and the matters in respect of which the receipt or expenditure takes place, all sales and purchases of goods by the Company and the assets and liabilities of the Company. Such books of account must be retained for a minimum period of five years from the date on which they are prepared. Proper books shall not be deemed to be kept if there are not kept such books of account as are necessary to give a true and fair view of the state of the Companys affairs and to explain its transactions.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42.2</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Directors shall determine whether and to what extent and at what times and places and under what conditions or regulations the accounts and books of the Company or any of them shall be open to the inspection of Members not being Directors and no Member (not being a Director) shall have any right of inspecting any account or book or document of the Company except as conferred by Statute or authorised by the Directors or by the Company in general meeting.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42.3</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Directors may cause to be prepared and to be laid before the Company in general meeting profit and loss accounts, balance sheets, group accounts (if any) and such other reports and accounts as may be required by law.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9695"/>
      </w:tblGrid>
      <w:tr>
        <w:trPr/>
        <w:tc>
          <w:tcPr>
            <w:tcW w:w="510" w:type="dxa"/>
            <w:tcBorders/>
            <w:shd w:fill="auto" w:val="clear"/>
          </w:tcPr>
          <w:p>
            <w:pPr>
              <w:pStyle w:val="TableContents"/>
              <w:spacing w:before="0" w:after="283"/>
              <w:jc w:val="left"/>
              <w:rPr>
                <w:b/>
              </w:rPr>
            </w:pPr>
            <w:r>
              <w:rPr>
                <w:b/>
              </w:rPr>
              <w:t>43</w:t>
            </w:r>
          </w:p>
        </w:tc>
        <w:tc>
          <w:tcPr>
            <w:tcW w:w="9695"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Audit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43.1</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Directors may appoint an Auditor of the Company who shall hold office on such terms as the Directors determine.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43.2</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Every Auditor of the Company shall have a right of access at all times to the books and accounts and vouchers of the Company and shall be entitled to require from the Directors and officers of the Company such information and explanation as may be necessary for the performance of the duties of the Auditor.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43.3</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Auditors shall, if so required by the Directors, make a report on the accounts of the Company during their tenure of office at the next annual general meeting following their appointment in the case of a company which is registered with the Registrar of Companies as an ordinary company, and at the next extraordinary general meeting following their appointment in the case of a company which is registered with the Registrar of Companies as an exempted company, and at any other time during their term of office, upon request of the Directors or any general meeting of the Members. </w:t>
            </w:r>
          </w:p>
        </w:tc>
      </w:tr>
    </w:tbl>
    <w:p>
      <w:pPr>
        <w:pStyle w:val="TextBody"/>
        <w:spacing w:before="0" w:after="0"/>
        <w:jc w:val="left"/>
        <w:rPr/>
      </w:pPr>
      <w:r>
        <w:rPr/>
        <w:t> </w:t>
      </w:r>
    </w:p>
    <w:p>
      <w:pPr>
        <w:pStyle w:val="TextBody"/>
        <w:spacing w:before="0" w:after="0"/>
        <w:jc w:val="right"/>
        <w:rPr>
          <w:rFonts w:ascii="Times New Roman" w:hAnsi="Times New Roman"/>
          <w:sz w:val="20"/>
        </w:rPr>
      </w:pPr>
      <w:r>
        <w:rPr>
          <w:rFonts w:ascii="Times New Roman" w:hAnsi="Times New Roman"/>
          <w:sz w:val="20"/>
        </w:rPr>
        <w:t xml:space="preserve">26 </w:t>
      </w:r>
    </w:p>
    <w:p>
      <w:pPr>
        <w:pStyle w:val="TextBody"/>
        <w:spacing w:before="80" w:after="0"/>
        <w:jc w:val="right"/>
        <w:rPr>
          <w:rFonts w:ascii="Times New Roman" w:hAnsi="Times New Roman"/>
          <w:sz w:val="20"/>
        </w:rPr>
      </w:pPr>
      <w:r>
        <w:rPr>
          <w:rFonts w:ascii="Times New Roman" w:hAnsi="Times New Roman"/>
          <w:i/>
          <w:sz w:val="20"/>
        </w:rPr>
        <w:t>Auth Code: H70275751251</w:t>
      </w:r>
      <w:r>
        <w:rPr>
          <w:rFonts w:ascii="Times New Roman" w:hAnsi="Times New Roman"/>
          <w:sz w:val="20"/>
        </w:rPr>
        <w:t xml:space="preserve"> </w:t>
      </w:r>
    </w:p>
    <w:p>
      <w:pPr>
        <w:pStyle w:val="TextBody"/>
        <w:spacing w:before="0" w:after="0"/>
        <w:jc w:val="right"/>
        <w:rPr>
          <w:rFonts w:ascii="Times New Roman" w:hAnsi="Times New Roman"/>
          <w:sz w:val="20"/>
        </w:rPr>
      </w:pPr>
      <w:r>
        <w:rPr>
          <w:rFonts w:ascii="Times New Roman" w:hAnsi="Times New Roman"/>
          <w:i/>
          <w:sz w:val="20"/>
        </w:rPr>
        <w:t>www.verify.gov.ky</w:t>
      </w:r>
      <w:r>
        <w:rPr>
          <w:rFonts w:ascii="Times New Roman" w:hAnsi="Times New Roman"/>
          <w:sz w:val="20"/>
        </w:rPr>
        <w:t xml:space="preserve"> </w:t>
      </w:r>
      <w:r>
        <w:br w:type="page"/>
      </w:r>
    </w:p>
    <w:p>
      <w:pPr>
        <w:pStyle w:val="HorizontalLine"/>
        <w:pBdr>
          <w:bottom w:val="double" w:sz="6" w:space="0" w:color="808080"/>
        </w:pBdr>
        <w:rPr/>
      </w:pPr>
      <w:r>
        <w:rPr/>
      </w:r>
    </w:p>
    <w:p>
      <w:pPr>
        <w:pStyle w:val="TextBody"/>
        <w:spacing w:before="0" w:after="0"/>
        <w:jc w:val="right"/>
        <w:rPr/>
      </w:pPr>
      <w:r>
        <w:rPr/>
        <w:drawing>
          <wp:inline distT="0" distB="0" distL="0" distR="0">
            <wp:extent cx="914400" cy="914400"/>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embed="rId61"/>
                    <a:stretch>
                      <a:fillRect/>
                    </a:stretch>
                  </pic:blipFill>
                  <pic:spPr bwMode="auto">
                    <a:xfrm>
                      <a:off x="0" y="0"/>
                      <a:ext cx="914400" cy="914400"/>
                    </a:xfrm>
                    <a:prstGeom prst="rect">
                      <a:avLst/>
                    </a:prstGeom>
                  </pic:spPr>
                </pic:pic>
              </a:graphicData>
            </a:graphic>
          </wp:inline>
        </w:drawing>
      </w:r>
      <w:r>
        <w:rPr/>
        <w:t xml:space="preserve">              </w:t>
      </w:r>
    </w:p>
    <w:p>
      <w:pPr>
        <w:pStyle w:val="TextBody"/>
        <w:spacing w:before="20" w:after="0"/>
        <w:jc w:val="right"/>
        <w:rPr>
          <w:rFonts w:ascii="Times New Roman" w:hAnsi="Times New Roman"/>
          <w:sz w:val="20"/>
        </w:rPr>
      </w:pPr>
      <w:r>
        <w:rPr>
          <w:rFonts w:ascii="Times New Roman" w:hAnsi="Times New Roman"/>
          <w:b/>
          <w:i/>
          <w:sz w:val="20"/>
        </w:rPr>
        <w:t>EXEMPTED</w:t>
      </w:r>
      <w:r>
        <w:rPr>
          <w:rFonts w:ascii="Times New Roman" w:hAnsi="Times New Roman"/>
          <w:sz w:val="20"/>
        </w:rPr>
        <w:t xml:space="preserve"> </w:t>
      </w:r>
      <w:r>
        <w:rPr>
          <w:rFonts w:ascii="Times New Roman" w:hAnsi="Times New Roman"/>
          <w:i/>
          <w:sz w:val="20"/>
        </w:rPr>
        <w:t>Company Registered and</w:t>
      </w:r>
      <w:r>
        <w:rPr>
          <w:rFonts w:ascii="Times New Roman" w:hAnsi="Times New Roman"/>
          <w:sz w:val="20"/>
        </w:rPr>
        <w:t xml:space="preserve"> </w:t>
      </w:r>
    </w:p>
    <w:p>
      <w:pPr>
        <w:pStyle w:val="TextBody"/>
        <w:spacing w:before="20" w:after="0"/>
        <w:jc w:val="right"/>
        <w:rPr>
          <w:rFonts w:ascii="Times New Roman" w:hAnsi="Times New Roman"/>
          <w:sz w:val="20"/>
        </w:rPr>
      </w:pPr>
      <w:r>
        <w:rPr>
          <w:rFonts w:ascii="Times New Roman" w:hAnsi="Times New Roman"/>
          <w:i/>
          <w:sz w:val="20"/>
        </w:rPr>
        <w:t>filed as No. 370146 On 13-Jan-2021</w:t>
      </w:r>
      <w:r>
        <w:rPr>
          <w:rFonts w:ascii="Times New Roman" w:hAnsi="Times New Roman"/>
          <w:sz w:val="20"/>
        </w:rPr>
        <w:t xml:space="preserve"> </w:t>
      </w:r>
    </w:p>
    <w:p>
      <w:pPr>
        <w:pStyle w:val="TextBody"/>
        <w:spacing w:before="0" w:after="0"/>
        <w:jc w:val="left"/>
        <w:rPr/>
      </w:pPr>
      <w:r>
        <w:rPr/>
        <w:t> </w:t>
      </w:r>
    </w:p>
    <w:p>
      <w:pPr>
        <w:pStyle w:val="TextBody"/>
        <w:spacing w:before="0" w:after="0"/>
        <w:jc w:val="right"/>
        <w:rPr/>
      </w:pPr>
      <w:r>
        <w:rPr/>
        <w:drawing>
          <wp:inline distT="0" distB="0" distL="0" distR="0">
            <wp:extent cx="447675" cy="361950"/>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embed="rId62"/>
                    <a:stretch>
                      <a:fillRect/>
                    </a:stretch>
                  </pic:blipFill>
                  <pic:spPr bwMode="auto">
                    <a:xfrm>
                      <a:off x="0" y="0"/>
                      <a:ext cx="447675" cy="361950"/>
                    </a:xfrm>
                    <a:prstGeom prst="rect">
                      <a:avLst/>
                    </a:prstGeom>
                  </pic:spPr>
                </pic:pic>
              </a:graphicData>
            </a:graphic>
          </wp:inline>
        </w:drawing>
      </w:r>
      <w:r>
        <w:rPr/>
        <w:t xml:space="preserve">                                           </w:t>
      </w:r>
    </w:p>
    <w:p>
      <w:pPr>
        <w:pStyle w:val="TextBody"/>
        <w:spacing w:before="0" w:after="0"/>
        <w:jc w:val="right"/>
        <w:rPr>
          <w:rFonts w:ascii="Times New Roman" w:hAnsi="Times New Roman"/>
          <w:sz w:val="20"/>
        </w:rPr>
      </w:pPr>
      <w:r>
        <w:rPr>
          <w:rFonts w:ascii="Times New Roman" w:hAnsi="Times New Roman"/>
          <w:i/>
          <w:sz w:val="20"/>
        </w:rPr>
        <w:t>Acting Assistant Registrar</w:t>
      </w:r>
      <w:r>
        <w:rPr>
          <w:rFonts w:ascii="Times New Roman" w:hAnsi="Times New Roman"/>
          <w:sz w:val="20"/>
        </w:rPr>
        <w:t xml:space="preserv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b/>
              </w:rPr>
            </w:pPr>
            <w:r>
              <w:rPr>
                <w:b/>
              </w:rPr>
              <w:t>44</w:t>
            </w:r>
          </w:p>
        </w:tc>
        <w:tc>
          <w:tcPr>
            <w:tcW w:w="9696"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Notices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44.1</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Notices shall be in writing and may be given by the Company to any Member either personally or by sending it by courier, post, cable, telex, fax or e-mail to him or to his address as shown in the Register of Members (or where the notice is given by e-mail by sending it to the e-mail address provided by such Member). Any notice, if posted from one country to another, is to be sent by airmail.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44.2</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Where a notice is sent by courier, service of the notice shall be deemed to be effected by delivery of the notice to a courier company, and shall be deemed to have been received on the third day (not including Saturdays or Sundays or public holidays) following the day on which the notice was delivered to the courier. Where a notice is sent by post, service of the notice shall be deemed to be effected by properly addressing, pre paying and posting a letter containing the notice, and shall be deemed to have been received on the fifth day (not including Saturdays or Sundays or public holidays in the Cayman Islands) following the day on which the notice was posted. Where a notice is sent by cable, telex or fax, service of the notice shall be deemed to be effected by properly addressing and sending such notice and shall be deemed to have been received on the same day that it was transmitted. Where a notice is given by e-mail service shall be deemed to be effected by transmitting the e-mail to the e-mail address provided by the intended recipient and shall be deemed to have been received on the same day that it was sent, and it shall not be necessary for the receipt of the e-mail to be acknowledged by the recipient.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44.3</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notice may be given by the Company to the person or persons which the Company has been advised are entitled to a Share or Shares in consequence of the death or bankruptcy of a Member in the same manner as other notices which are required to be given under the Articles and shall be addressed to them by name, or by the title of representatives of the deceased, or trustee of the bankrupt, or by any like description at the address supplied for that purpose by the persons claiming to be so entitled, or at the option of the Company by giving the notice in any manner in which the same might have been given if the death or bankruptcy had not occurred.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44.4</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Notice of every general meeting shall be given in any manner authorised by the Articles to every holder of Shares carrying an entitlement to receive such notice on the record date for such meeting except that in the case of joint holders the notice shall be sufficient if given to the joint holder first named in the Register of Members and every person upon whom the ownership of a Share devolves by reason of his being a legal personal representative or a trustee in bankruptcy of a Member where the Member but for his death or bankruptcy would be entitled to receive notice of the meeting, and no other person shall be entitled to receive notices of general meetings. </w:t>
            </w:r>
          </w:p>
        </w:tc>
      </w:tr>
    </w:tbl>
    <w:p>
      <w:pPr>
        <w:pStyle w:val="TextBody"/>
        <w:spacing w:before="0" w:after="0"/>
        <w:jc w:val="left"/>
        <w:rPr/>
      </w:pPr>
      <w:r>
        <w:rPr/>
        <w:t> </w:t>
      </w:r>
    </w:p>
    <w:p>
      <w:pPr>
        <w:pStyle w:val="TextBody"/>
        <w:spacing w:before="0" w:after="0"/>
        <w:jc w:val="right"/>
        <w:rPr>
          <w:rFonts w:ascii="Times New Roman" w:hAnsi="Times New Roman"/>
          <w:sz w:val="20"/>
        </w:rPr>
      </w:pPr>
      <w:r>
        <w:rPr>
          <w:rFonts w:ascii="Times New Roman" w:hAnsi="Times New Roman"/>
          <w:sz w:val="20"/>
        </w:rPr>
        <w:t xml:space="preserve">27 </w:t>
      </w:r>
    </w:p>
    <w:p>
      <w:pPr>
        <w:pStyle w:val="TextBody"/>
        <w:spacing w:before="80" w:after="0"/>
        <w:jc w:val="right"/>
        <w:rPr>
          <w:rFonts w:ascii="Times New Roman" w:hAnsi="Times New Roman"/>
          <w:sz w:val="20"/>
        </w:rPr>
      </w:pPr>
      <w:r>
        <w:rPr>
          <w:rFonts w:ascii="Times New Roman" w:hAnsi="Times New Roman"/>
          <w:i/>
          <w:sz w:val="20"/>
        </w:rPr>
        <w:t>Auth Code: H70275751251</w:t>
      </w:r>
      <w:r>
        <w:rPr>
          <w:rFonts w:ascii="Times New Roman" w:hAnsi="Times New Roman"/>
          <w:sz w:val="20"/>
        </w:rPr>
        <w:t xml:space="preserve"> </w:t>
      </w:r>
    </w:p>
    <w:p>
      <w:pPr>
        <w:pStyle w:val="TextBody"/>
        <w:spacing w:before="0" w:after="0"/>
        <w:jc w:val="right"/>
        <w:rPr>
          <w:rFonts w:ascii="Times New Roman" w:hAnsi="Times New Roman"/>
          <w:sz w:val="20"/>
        </w:rPr>
      </w:pPr>
      <w:r>
        <w:rPr>
          <w:rFonts w:ascii="Times New Roman" w:hAnsi="Times New Roman"/>
          <w:i/>
          <w:sz w:val="20"/>
        </w:rPr>
        <w:t>www.verify.gov.ky</w:t>
      </w:r>
      <w:r>
        <w:rPr>
          <w:rFonts w:ascii="Times New Roman" w:hAnsi="Times New Roman"/>
          <w:sz w:val="20"/>
        </w:rPr>
        <w:t xml:space="preserve"> </w:t>
      </w:r>
      <w:r>
        <w:br w:type="page"/>
      </w:r>
    </w:p>
    <w:p>
      <w:pPr>
        <w:pStyle w:val="HorizontalLine"/>
        <w:pBdr>
          <w:bottom w:val="double" w:sz="6" w:space="0" w:color="808080"/>
        </w:pBdr>
        <w:rPr/>
      </w:pPr>
      <w:r>
        <w:rPr/>
      </w:r>
    </w:p>
    <w:p>
      <w:pPr>
        <w:pStyle w:val="TextBody"/>
        <w:spacing w:before="0" w:after="0"/>
        <w:jc w:val="right"/>
        <w:rPr/>
      </w:pPr>
      <w:r>
        <w:rPr/>
        <w:drawing>
          <wp:inline distT="0" distB="0" distL="0" distR="0">
            <wp:extent cx="914400" cy="914400"/>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embed="rId63"/>
                    <a:stretch>
                      <a:fillRect/>
                    </a:stretch>
                  </pic:blipFill>
                  <pic:spPr bwMode="auto">
                    <a:xfrm>
                      <a:off x="0" y="0"/>
                      <a:ext cx="914400" cy="914400"/>
                    </a:xfrm>
                    <a:prstGeom prst="rect">
                      <a:avLst/>
                    </a:prstGeom>
                  </pic:spPr>
                </pic:pic>
              </a:graphicData>
            </a:graphic>
          </wp:inline>
        </w:drawing>
      </w:r>
      <w:r>
        <w:rPr/>
        <w:t xml:space="preserve">              </w:t>
      </w:r>
    </w:p>
    <w:p>
      <w:pPr>
        <w:pStyle w:val="TextBody"/>
        <w:spacing w:before="20" w:after="0"/>
        <w:jc w:val="right"/>
        <w:rPr>
          <w:rFonts w:ascii="Times New Roman" w:hAnsi="Times New Roman"/>
          <w:sz w:val="20"/>
        </w:rPr>
      </w:pPr>
      <w:r>
        <w:rPr>
          <w:rFonts w:ascii="Times New Roman" w:hAnsi="Times New Roman"/>
          <w:b/>
          <w:i/>
          <w:sz w:val="20"/>
        </w:rPr>
        <w:t>EXEMPTED</w:t>
      </w:r>
      <w:r>
        <w:rPr>
          <w:rFonts w:ascii="Times New Roman" w:hAnsi="Times New Roman"/>
          <w:sz w:val="20"/>
        </w:rPr>
        <w:t xml:space="preserve"> </w:t>
      </w:r>
      <w:r>
        <w:rPr>
          <w:rFonts w:ascii="Times New Roman" w:hAnsi="Times New Roman"/>
          <w:i/>
          <w:sz w:val="20"/>
        </w:rPr>
        <w:t>Company Registered and</w:t>
      </w:r>
      <w:r>
        <w:rPr>
          <w:rFonts w:ascii="Times New Roman" w:hAnsi="Times New Roman"/>
          <w:sz w:val="20"/>
        </w:rPr>
        <w:t xml:space="preserve"> </w:t>
      </w:r>
    </w:p>
    <w:p>
      <w:pPr>
        <w:pStyle w:val="TextBody"/>
        <w:spacing w:before="20" w:after="0"/>
        <w:jc w:val="right"/>
        <w:rPr>
          <w:rFonts w:ascii="Times New Roman" w:hAnsi="Times New Roman"/>
          <w:sz w:val="20"/>
        </w:rPr>
      </w:pPr>
      <w:r>
        <w:rPr>
          <w:rFonts w:ascii="Times New Roman" w:hAnsi="Times New Roman"/>
          <w:i/>
          <w:sz w:val="20"/>
        </w:rPr>
        <w:t>filed as No. 370146 On 13-Jan-2021</w:t>
      </w:r>
      <w:r>
        <w:rPr>
          <w:rFonts w:ascii="Times New Roman" w:hAnsi="Times New Roman"/>
          <w:sz w:val="20"/>
        </w:rPr>
        <w:t xml:space="preserve"> </w:t>
      </w:r>
    </w:p>
    <w:p>
      <w:pPr>
        <w:pStyle w:val="TextBody"/>
        <w:spacing w:before="0" w:after="0"/>
        <w:jc w:val="left"/>
        <w:rPr/>
      </w:pPr>
      <w:r>
        <w:rPr/>
        <w:t> </w:t>
      </w:r>
    </w:p>
    <w:p>
      <w:pPr>
        <w:pStyle w:val="TextBody"/>
        <w:spacing w:before="0" w:after="0"/>
        <w:jc w:val="right"/>
        <w:rPr/>
      </w:pPr>
      <w:r>
        <w:rPr/>
        <w:drawing>
          <wp:inline distT="0" distB="0" distL="0" distR="0">
            <wp:extent cx="447675" cy="361950"/>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embed="rId64"/>
                    <a:stretch>
                      <a:fillRect/>
                    </a:stretch>
                  </pic:blipFill>
                  <pic:spPr bwMode="auto">
                    <a:xfrm>
                      <a:off x="0" y="0"/>
                      <a:ext cx="447675" cy="361950"/>
                    </a:xfrm>
                    <a:prstGeom prst="rect">
                      <a:avLst/>
                    </a:prstGeom>
                  </pic:spPr>
                </pic:pic>
              </a:graphicData>
            </a:graphic>
          </wp:inline>
        </w:drawing>
      </w:r>
      <w:r>
        <w:rPr/>
        <w:t xml:space="preserve">                                           </w:t>
      </w:r>
    </w:p>
    <w:p>
      <w:pPr>
        <w:pStyle w:val="TextBody"/>
        <w:spacing w:before="0" w:after="0"/>
        <w:jc w:val="right"/>
        <w:rPr>
          <w:rFonts w:ascii="Times New Roman" w:hAnsi="Times New Roman"/>
          <w:sz w:val="20"/>
        </w:rPr>
      </w:pPr>
      <w:r>
        <w:rPr>
          <w:rFonts w:ascii="Times New Roman" w:hAnsi="Times New Roman"/>
          <w:i/>
          <w:sz w:val="20"/>
        </w:rPr>
        <w:t>Acting Assistant Registrar</w:t>
      </w:r>
      <w:r>
        <w:rPr>
          <w:rFonts w:ascii="Times New Roman" w:hAnsi="Times New Roman"/>
          <w:sz w:val="20"/>
        </w:rPr>
        <w:t xml:space="preserv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b/>
              </w:rPr>
            </w:pPr>
            <w:r>
              <w:rPr>
                <w:b/>
              </w:rPr>
              <w:t>45</w:t>
            </w:r>
          </w:p>
        </w:tc>
        <w:tc>
          <w:tcPr>
            <w:tcW w:w="9696"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Winding Up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45.1</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the Company shall be wound up the liquidator shall apply the assets of the Company in satisfaction of creditors claims in such manner and order as such liquidator thinks fit. Subject to the rights attaching to any Shares, in a winding up: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612"/>
        <w:gridCol w:w="9085"/>
      </w:tblGrid>
      <w:tr>
        <w:trPr/>
        <w:tc>
          <w:tcPr>
            <w:tcW w:w="508" w:type="dxa"/>
            <w:tcBorders/>
            <w:shd w:fill="auto" w:val="clear"/>
            <w:vAlign w:val="center"/>
          </w:tcPr>
          <w:p>
            <w:pPr>
              <w:pStyle w:val="TableContents"/>
              <w:spacing w:before="0" w:after="283"/>
              <w:rPr/>
            </w:pPr>
            <w:r>
              <w:rPr/>
              <w:t> </w:t>
            </w:r>
          </w:p>
        </w:tc>
        <w:tc>
          <w:tcPr>
            <w:tcW w:w="612" w:type="dxa"/>
            <w:tcBorders/>
            <w:shd w:fill="auto" w:val="clear"/>
          </w:tcPr>
          <w:p>
            <w:pPr>
              <w:pStyle w:val="TableContents"/>
              <w:spacing w:before="0" w:after="283"/>
              <w:jc w:val="left"/>
              <w:rPr/>
            </w:pPr>
            <w:r>
              <w:rPr/>
              <w:t>(a)</w:t>
            </w:r>
          </w:p>
        </w:tc>
        <w:tc>
          <w:tcPr>
            <w:tcW w:w="908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the assets available for distribution amongst the Members shall be insufficient to repay the whole of the Companys issued share capital, such assets shall be distributed so that, as nearly as may be, the losses shall be borne by the Members in proportion to the par value of the Shares held by them;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613"/>
        <w:gridCol w:w="9084"/>
      </w:tblGrid>
      <w:tr>
        <w:trPr/>
        <w:tc>
          <w:tcPr>
            <w:tcW w:w="508" w:type="dxa"/>
            <w:tcBorders/>
            <w:shd w:fill="auto" w:val="clear"/>
            <w:vAlign w:val="center"/>
          </w:tcPr>
          <w:p>
            <w:pPr>
              <w:pStyle w:val="TableContents"/>
              <w:spacing w:before="0" w:after="283"/>
              <w:rPr/>
            </w:pPr>
            <w:r>
              <w:rPr/>
              <w:t> </w:t>
            </w:r>
          </w:p>
        </w:tc>
        <w:tc>
          <w:tcPr>
            <w:tcW w:w="613" w:type="dxa"/>
            <w:tcBorders/>
            <w:shd w:fill="auto" w:val="clear"/>
          </w:tcPr>
          <w:p>
            <w:pPr>
              <w:pStyle w:val="TableContents"/>
              <w:spacing w:before="0" w:after="283"/>
              <w:jc w:val="left"/>
              <w:rPr/>
            </w:pPr>
            <w:r>
              <w:rPr/>
              <w:t>(b)</w:t>
            </w:r>
          </w:p>
        </w:tc>
        <w:tc>
          <w:tcPr>
            <w:tcW w:w="908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the assets available for distribution amongst the Members shall be more than sufficient to repay the whole of the Companys issued share capital at the commencement of the winding up, the surplus shall be distributed amongst the Members in proportion to the par value of the Shares held by them at the commencement of the winding up subject to a deduction from those Shares in respect of which there are monies due, of all monies payable to the Company for unpaid calls or otherwise.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45.2</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the Company shall be wound up the liquidator may, subject to the rights attaching to any Shares and with the approval of a Special Resolution of the Company and any other approval required by the Statute, divide amongst the Members in kind the whole or any part of the assets of the Company (whether such assets shall consist of property of the same kind or not) and may for that purpose value any assets and determine how the division shall be carried out as between the Members or different classes of Members. The liquidator may, with the like approval, vest the whole or any part of such assets in trustees upon such trusts for the benefit of the Members as the liquidator, with the like approval, shall think fit, but so that no Member shall be compelled to accept any asset upon which there is a liability.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b/>
              </w:rPr>
            </w:pPr>
            <w:r>
              <w:rPr>
                <w:b/>
              </w:rPr>
              <w:t>46</w:t>
            </w:r>
          </w:p>
        </w:tc>
        <w:tc>
          <w:tcPr>
            <w:tcW w:w="9696"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Indemnity and Insurance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46.1</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Every Director and officer of the Company (which for the avoidance of doubt, shall not include auditors of the Company), together with every former Director and former officer of the Company (each an </w:t>
            </w:r>
            <w:r>
              <w:rPr>
                <w:rFonts w:ascii="Times New Roman" w:hAnsi="Times New Roman"/>
                <w:b/>
                <w:sz w:val="20"/>
              </w:rPr>
              <w:t>Indemnified Person</w:t>
            </w:r>
            <w:r>
              <w:rPr>
                <w:rFonts w:ascii="Times New Roman" w:hAnsi="Times New Roman"/>
                <w:sz w:val="20"/>
              </w:rPr>
              <w:t xml:space="preserve">) shall be indemnified out of the assets of the Company against any liability, action, proceeding, claim, demand, costs, damages or expenses, including legal expenses, whatsoever which they or any of them may incur as a result of any act or failure to act in carrying out their functions other than such liability (if any) that they may incur by reason of their own actual fraud or wilful default. No Indemnified Person shall be liable to the Company for any loss or damage incurred by the Company as a result (whether direct or indirect) of the carrying out of their functions unless that liability arises through the actual fraud or wilful default of such Indemnified Person. No person shall be found to have committed actual fraud or wilful default under this Article unless or until a court of competent jurisdiction shall have made a finding to that effect.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46.2</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Company shall advance to each Indemnified Person reasonable attorneys fees and other costs and expenses incurred in connection with the defence of any action, suit, proceeding or investigation involving such Indemnified Person for which indemnity will or could be sought. In connection with any advance of any expenses hereunder, the Indemnified Person shall execute an undertaking to repay the advanced amount to the Company if it shall be determined by final judgment or other final adjudication that such Indemnified Person was not entitled to indemnification pursuant to this Article. If it shall be determined by a final judgment or other final adjudication that such Indemnified Person was not entitled to indemnification with respect to such judgment, costs or expenses, then such party shall not be indemnified with respect to such judgment, costs or expenses and any advancement shall be returned to the Company (without interest) by the Indemnified Person. </w:t>
            </w:r>
          </w:p>
        </w:tc>
      </w:tr>
    </w:tbl>
    <w:p>
      <w:pPr>
        <w:pStyle w:val="TextBody"/>
        <w:spacing w:before="0" w:after="0"/>
        <w:jc w:val="left"/>
        <w:rPr/>
      </w:pPr>
      <w:r>
        <w:rPr/>
        <w:t> </w:t>
      </w:r>
    </w:p>
    <w:p>
      <w:pPr>
        <w:pStyle w:val="TextBody"/>
        <w:spacing w:before="0" w:after="0"/>
        <w:jc w:val="right"/>
        <w:rPr>
          <w:rFonts w:ascii="Times New Roman" w:hAnsi="Times New Roman"/>
          <w:sz w:val="20"/>
        </w:rPr>
      </w:pPr>
      <w:r>
        <w:rPr>
          <w:rFonts w:ascii="Times New Roman" w:hAnsi="Times New Roman"/>
          <w:sz w:val="20"/>
        </w:rPr>
        <w:t xml:space="preserve">28 </w:t>
      </w:r>
    </w:p>
    <w:p>
      <w:pPr>
        <w:pStyle w:val="TextBody"/>
        <w:spacing w:before="80" w:after="0"/>
        <w:jc w:val="right"/>
        <w:rPr>
          <w:rFonts w:ascii="Times New Roman" w:hAnsi="Times New Roman"/>
          <w:sz w:val="20"/>
        </w:rPr>
      </w:pPr>
      <w:r>
        <w:rPr>
          <w:rFonts w:ascii="Times New Roman" w:hAnsi="Times New Roman"/>
          <w:i/>
          <w:sz w:val="20"/>
        </w:rPr>
        <w:t>Auth Code: H70275751251</w:t>
      </w:r>
      <w:r>
        <w:rPr>
          <w:rFonts w:ascii="Times New Roman" w:hAnsi="Times New Roman"/>
          <w:sz w:val="20"/>
        </w:rPr>
        <w:t xml:space="preserve"> </w:t>
      </w:r>
    </w:p>
    <w:p>
      <w:pPr>
        <w:pStyle w:val="TextBody"/>
        <w:spacing w:before="0" w:after="0"/>
        <w:jc w:val="right"/>
        <w:rPr>
          <w:rFonts w:ascii="Times New Roman" w:hAnsi="Times New Roman"/>
          <w:sz w:val="20"/>
        </w:rPr>
      </w:pPr>
      <w:r>
        <w:rPr>
          <w:rFonts w:ascii="Times New Roman" w:hAnsi="Times New Roman"/>
          <w:i/>
          <w:sz w:val="20"/>
        </w:rPr>
        <w:t>www.verify.gov.ky</w:t>
      </w:r>
      <w:r>
        <w:rPr>
          <w:rFonts w:ascii="Times New Roman" w:hAnsi="Times New Roman"/>
          <w:sz w:val="20"/>
        </w:rPr>
        <w:t xml:space="preserve"> </w:t>
      </w:r>
      <w:r>
        <w:br w:type="page"/>
      </w:r>
    </w:p>
    <w:p>
      <w:pPr>
        <w:pStyle w:val="HorizontalLine"/>
        <w:pBdr>
          <w:bottom w:val="double" w:sz="6" w:space="0" w:color="808080"/>
        </w:pBdr>
        <w:rPr/>
      </w:pPr>
      <w:r>
        <w:rPr/>
      </w:r>
    </w:p>
    <w:p>
      <w:pPr>
        <w:pStyle w:val="TextBody"/>
        <w:spacing w:before="0" w:after="0"/>
        <w:jc w:val="right"/>
        <w:rPr/>
      </w:pPr>
      <w:r>
        <w:rPr/>
        <w:drawing>
          <wp:inline distT="0" distB="0" distL="0" distR="0">
            <wp:extent cx="914400" cy="914400"/>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embed="rId65"/>
                    <a:stretch>
                      <a:fillRect/>
                    </a:stretch>
                  </pic:blipFill>
                  <pic:spPr bwMode="auto">
                    <a:xfrm>
                      <a:off x="0" y="0"/>
                      <a:ext cx="914400" cy="914400"/>
                    </a:xfrm>
                    <a:prstGeom prst="rect">
                      <a:avLst/>
                    </a:prstGeom>
                  </pic:spPr>
                </pic:pic>
              </a:graphicData>
            </a:graphic>
          </wp:inline>
        </w:drawing>
      </w:r>
      <w:r>
        <w:rPr/>
        <w:t xml:space="preserve">              </w:t>
      </w:r>
    </w:p>
    <w:p>
      <w:pPr>
        <w:pStyle w:val="TextBody"/>
        <w:spacing w:before="20" w:after="0"/>
        <w:jc w:val="right"/>
        <w:rPr>
          <w:rFonts w:ascii="Times New Roman" w:hAnsi="Times New Roman"/>
          <w:sz w:val="20"/>
        </w:rPr>
      </w:pPr>
      <w:r>
        <w:rPr>
          <w:rFonts w:ascii="Times New Roman" w:hAnsi="Times New Roman"/>
          <w:b/>
          <w:i/>
          <w:sz w:val="20"/>
        </w:rPr>
        <w:t>EXEMPTED</w:t>
      </w:r>
      <w:r>
        <w:rPr>
          <w:rFonts w:ascii="Times New Roman" w:hAnsi="Times New Roman"/>
          <w:sz w:val="20"/>
        </w:rPr>
        <w:t xml:space="preserve"> </w:t>
      </w:r>
      <w:r>
        <w:rPr>
          <w:rFonts w:ascii="Times New Roman" w:hAnsi="Times New Roman"/>
          <w:i/>
          <w:sz w:val="20"/>
        </w:rPr>
        <w:t>Company Registered and</w:t>
      </w:r>
      <w:r>
        <w:rPr>
          <w:rFonts w:ascii="Times New Roman" w:hAnsi="Times New Roman"/>
          <w:sz w:val="20"/>
        </w:rPr>
        <w:t xml:space="preserve"> </w:t>
      </w:r>
    </w:p>
    <w:p>
      <w:pPr>
        <w:pStyle w:val="TextBody"/>
        <w:spacing w:before="20" w:after="0"/>
        <w:jc w:val="right"/>
        <w:rPr>
          <w:rFonts w:ascii="Times New Roman" w:hAnsi="Times New Roman"/>
          <w:sz w:val="20"/>
        </w:rPr>
      </w:pPr>
      <w:r>
        <w:rPr>
          <w:rFonts w:ascii="Times New Roman" w:hAnsi="Times New Roman"/>
          <w:i/>
          <w:sz w:val="20"/>
        </w:rPr>
        <w:t>filed as No. 370146 On 13-Jan-2021</w:t>
      </w:r>
      <w:r>
        <w:rPr>
          <w:rFonts w:ascii="Times New Roman" w:hAnsi="Times New Roman"/>
          <w:sz w:val="20"/>
        </w:rPr>
        <w:t xml:space="preserve"> </w:t>
      </w:r>
    </w:p>
    <w:p>
      <w:pPr>
        <w:pStyle w:val="TextBody"/>
        <w:spacing w:before="0" w:after="0"/>
        <w:jc w:val="left"/>
        <w:rPr/>
      </w:pPr>
      <w:r>
        <w:rPr/>
        <w:t> </w:t>
      </w:r>
    </w:p>
    <w:p>
      <w:pPr>
        <w:pStyle w:val="TextBody"/>
        <w:spacing w:before="0" w:after="0"/>
        <w:jc w:val="right"/>
        <w:rPr/>
      </w:pPr>
      <w:r>
        <w:rPr/>
        <w:drawing>
          <wp:inline distT="0" distB="0" distL="0" distR="0">
            <wp:extent cx="447675" cy="361950"/>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embed="rId66"/>
                    <a:stretch>
                      <a:fillRect/>
                    </a:stretch>
                  </pic:blipFill>
                  <pic:spPr bwMode="auto">
                    <a:xfrm>
                      <a:off x="0" y="0"/>
                      <a:ext cx="447675" cy="361950"/>
                    </a:xfrm>
                    <a:prstGeom prst="rect">
                      <a:avLst/>
                    </a:prstGeom>
                  </pic:spPr>
                </pic:pic>
              </a:graphicData>
            </a:graphic>
          </wp:inline>
        </w:drawing>
      </w:r>
      <w:r>
        <w:rPr/>
        <w:t xml:space="preserve">                                           </w:t>
      </w:r>
    </w:p>
    <w:p>
      <w:pPr>
        <w:pStyle w:val="TextBody"/>
        <w:spacing w:before="0" w:after="0"/>
        <w:jc w:val="right"/>
        <w:rPr>
          <w:rFonts w:ascii="Times New Roman" w:hAnsi="Times New Roman"/>
          <w:sz w:val="20"/>
        </w:rPr>
      </w:pPr>
      <w:r>
        <w:rPr>
          <w:rFonts w:ascii="Times New Roman" w:hAnsi="Times New Roman"/>
          <w:i/>
          <w:sz w:val="20"/>
        </w:rPr>
        <w:t>Acting Assistant Registrar</w:t>
      </w:r>
      <w:r>
        <w:rPr>
          <w:rFonts w:ascii="Times New Roman" w:hAnsi="Times New Roman"/>
          <w:sz w:val="20"/>
        </w:rPr>
        <w:t xml:space="preserv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46.3</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Directors, on behalf of the Company, may purchase and maintain insurance for the benefit of any Director or other officer of the Company against any liability which, by virtue of any rule of law, would otherwise attach to such person in respect of any negligence, default, breach of duty or breach of trust of which such person may be guilty in relation to the Company.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b/>
              </w:rPr>
            </w:pPr>
            <w:r>
              <w:rPr>
                <w:b/>
              </w:rPr>
              <w:t>47</w:t>
            </w:r>
          </w:p>
        </w:tc>
        <w:tc>
          <w:tcPr>
            <w:tcW w:w="9696"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Financial Year </w:t>
            </w:r>
          </w:p>
        </w:tc>
      </w:tr>
    </w:tbl>
    <w:p>
      <w:pPr>
        <w:pStyle w:val="TextBody"/>
        <w:spacing w:before="120" w:after="0"/>
        <w:jc w:val="left"/>
        <w:rPr>
          <w:rFonts w:ascii="Times New Roman" w:hAnsi="Times New Roman"/>
          <w:sz w:val="20"/>
        </w:rPr>
      </w:pPr>
      <w:r>
        <w:rPr>
          <w:rFonts w:ascii="Times New Roman" w:hAnsi="Times New Roman"/>
          <w:sz w:val="20"/>
        </w:rPr>
        <w:t xml:space="preserve">Unless the Directors otherwise prescribe, the financial year of the Company shall end on 31st December in each year and, following the year of incorporation, shall begin on 1st January in each year.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b/>
              </w:rPr>
            </w:pPr>
            <w:r>
              <w:rPr>
                <w:b/>
              </w:rPr>
              <w:t>48</w:t>
            </w:r>
          </w:p>
        </w:tc>
        <w:tc>
          <w:tcPr>
            <w:tcW w:w="9696"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Transfer by Way of Continuation </w:t>
            </w:r>
          </w:p>
        </w:tc>
      </w:tr>
    </w:tbl>
    <w:p>
      <w:pPr>
        <w:pStyle w:val="TextBody"/>
        <w:spacing w:before="120" w:after="0"/>
        <w:jc w:val="left"/>
        <w:rPr>
          <w:rFonts w:ascii="Times New Roman" w:hAnsi="Times New Roman"/>
          <w:sz w:val="20"/>
        </w:rPr>
      </w:pPr>
      <w:r>
        <w:rPr>
          <w:rFonts w:ascii="Times New Roman" w:hAnsi="Times New Roman"/>
          <w:sz w:val="20"/>
        </w:rPr>
        <w:t xml:space="preserve">If the Company is exempted as defined in the Statute, it shall, subject to the provisions of the Statute and with the approval of a Special Resolution, have the power to register by way of continuation as a body corporate under the laws of any jurisdiction outside the Cayman Islands and to be deregistered in the Cayman Islands.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b/>
              </w:rPr>
            </w:pPr>
            <w:r>
              <w:rPr>
                <w:b/>
              </w:rPr>
              <w:t>49</w:t>
            </w:r>
          </w:p>
        </w:tc>
        <w:tc>
          <w:tcPr>
            <w:tcW w:w="9696"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Mergers and Consolidations </w:t>
            </w:r>
          </w:p>
        </w:tc>
      </w:tr>
    </w:tbl>
    <w:p>
      <w:pPr>
        <w:pStyle w:val="TextBody"/>
        <w:spacing w:before="120" w:after="0"/>
        <w:jc w:val="left"/>
        <w:rPr>
          <w:rFonts w:ascii="Times New Roman" w:hAnsi="Times New Roman"/>
          <w:sz w:val="20"/>
        </w:rPr>
      </w:pPr>
      <w:r>
        <w:rPr>
          <w:rFonts w:ascii="Times New Roman" w:hAnsi="Times New Roman"/>
          <w:sz w:val="20"/>
        </w:rPr>
        <w:t xml:space="preserve">The Company shall have the power to merge or consolidate with one or more other constituent companies (as defined in the Statute) upon such terms as the Directors may determine and (to the extent required by the Statute) with the approval of a Special Resolution. </w:t>
      </w:r>
    </w:p>
    <w:p>
      <w:pPr>
        <w:pStyle w:val="TextBody"/>
        <w:spacing w:before="0" w:after="0"/>
        <w:jc w:val="left"/>
        <w:rPr/>
      </w:pPr>
      <w:r>
        <w:rPr/>
        <w:t> </w:t>
      </w:r>
    </w:p>
    <w:p>
      <w:pPr>
        <w:pStyle w:val="TextBody"/>
        <w:spacing w:before="0" w:after="0"/>
        <w:jc w:val="right"/>
        <w:rPr>
          <w:rFonts w:ascii="Times New Roman" w:hAnsi="Times New Roman"/>
          <w:sz w:val="20"/>
        </w:rPr>
      </w:pPr>
      <w:r>
        <w:rPr>
          <w:rFonts w:ascii="Times New Roman" w:hAnsi="Times New Roman"/>
          <w:sz w:val="20"/>
        </w:rPr>
        <w:t xml:space="preserve">29 </w:t>
      </w:r>
    </w:p>
    <w:p>
      <w:pPr>
        <w:pStyle w:val="TextBody"/>
        <w:spacing w:before="80" w:after="0"/>
        <w:jc w:val="right"/>
        <w:rPr>
          <w:rFonts w:ascii="Times New Roman" w:hAnsi="Times New Roman"/>
          <w:sz w:val="20"/>
        </w:rPr>
      </w:pPr>
      <w:r>
        <w:rPr>
          <w:rFonts w:ascii="Times New Roman" w:hAnsi="Times New Roman"/>
          <w:i/>
          <w:sz w:val="20"/>
        </w:rPr>
        <w:t>Auth Code: H70275751251</w:t>
      </w:r>
      <w:r>
        <w:rPr>
          <w:rFonts w:ascii="Times New Roman" w:hAnsi="Times New Roman"/>
          <w:sz w:val="20"/>
        </w:rPr>
        <w:t xml:space="preserve"> </w:t>
      </w:r>
    </w:p>
    <w:p>
      <w:pPr>
        <w:pStyle w:val="TextBody"/>
        <w:spacing w:before="0" w:after="0"/>
        <w:jc w:val="right"/>
        <w:rPr>
          <w:rFonts w:ascii="Times New Roman" w:hAnsi="Times New Roman"/>
          <w:sz w:val="20"/>
        </w:rPr>
      </w:pPr>
      <w:r>
        <w:rPr>
          <w:rFonts w:ascii="Times New Roman" w:hAnsi="Times New Roman"/>
          <w:i/>
          <w:sz w:val="20"/>
        </w:rPr>
        <w:t>www.verify.gov.ky</w:t>
      </w:r>
      <w:r>
        <w:rPr>
          <w:rFonts w:ascii="Times New Roman" w:hAnsi="Times New Roman"/>
          <w:sz w:val="20"/>
        </w:rPr>
        <w:t xml:space="preserve"> </w:t>
      </w:r>
      <w:r>
        <w:br w:type="page"/>
      </w:r>
    </w:p>
    <w:p>
      <w:pPr>
        <w:pStyle w:val="HorizontalLine"/>
        <w:pBdr>
          <w:bottom w:val="double" w:sz="6" w:space="0" w:color="808080"/>
        </w:pBdr>
        <w:rPr/>
      </w:pPr>
      <w:r>
        <w:rPr/>
      </w:r>
    </w:p>
    <w:p>
      <w:pPr>
        <w:pStyle w:val="TextBody"/>
        <w:spacing w:before="0" w:after="0"/>
        <w:jc w:val="right"/>
        <w:rPr/>
      </w:pPr>
      <w:r>
        <w:rPr/>
        <w:drawing>
          <wp:inline distT="0" distB="0" distL="0" distR="0">
            <wp:extent cx="914400" cy="914400"/>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embed="rId67"/>
                    <a:stretch>
                      <a:fillRect/>
                    </a:stretch>
                  </pic:blipFill>
                  <pic:spPr bwMode="auto">
                    <a:xfrm>
                      <a:off x="0" y="0"/>
                      <a:ext cx="914400" cy="914400"/>
                    </a:xfrm>
                    <a:prstGeom prst="rect">
                      <a:avLst/>
                    </a:prstGeom>
                  </pic:spPr>
                </pic:pic>
              </a:graphicData>
            </a:graphic>
          </wp:inline>
        </w:drawing>
      </w:r>
      <w:r>
        <w:rPr/>
        <w:t xml:space="preserve">              </w:t>
      </w:r>
    </w:p>
    <w:p>
      <w:pPr>
        <w:pStyle w:val="TextBody"/>
        <w:spacing w:before="20" w:after="0"/>
        <w:jc w:val="right"/>
        <w:rPr>
          <w:rFonts w:ascii="Times New Roman" w:hAnsi="Times New Roman"/>
          <w:sz w:val="20"/>
        </w:rPr>
      </w:pPr>
      <w:r>
        <w:rPr>
          <w:rFonts w:ascii="Times New Roman" w:hAnsi="Times New Roman"/>
          <w:b/>
          <w:i/>
          <w:sz w:val="20"/>
        </w:rPr>
        <w:t>EXEMPTED</w:t>
      </w:r>
      <w:r>
        <w:rPr>
          <w:rFonts w:ascii="Times New Roman" w:hAnsi="Times New Roman"/>
          <w:sz w:val="20"/>
        </w:rPr>
        <w:t xml:space="preserve"> </w:t>
      </w:r>
      <w:r>
        <w:rPr>
          <w:rFonts w:ascii="Times New Roman" w:hAnsi="Times New Roman"/>
          <w:i/>
          <w:sz w:val="20"/>
        </w:rPr>
        <w:t>Company Registered and</w:t>
      </w:r>
      <w:r>
        <w:rPr>
          <w:rFonts w:ascii="Times New Roman" w:hAnsi="Times New Roman"/>
          <w:sz w:val="20"/>
        </w:rPr>
        <w:t xml:space="preserve"> </w:t>
      </w:r>
    </w:p>
    <w:p>
      <w:pPr>
        <w:pStyle w:val="TextBody"/>
        <w:spacing w:before="20" w:after="0"/>
        <w:jc w:val="right"/>
        <w:rPr>
          <w:rFonts w:ascii="Times New Roman" w:hAnsi="Times New Roman"/>
          <w:sz w:val="20"/>
        </w:rPr>
      </w:pPr>
      <w:r>
        <w:rPr>
          <w:rFonts w:ascii="Times New Roman" w:hAnsi="Times New Roman"/>
          <w:i/>
          <w:sz w:val="20"/>
        </w:rPr>
        <w:t>filed as No. 370146 On 13-Jan-2021</w:t>
      </w:r>
      <w:r>
        <w:rPr>
          <w:rFonts w:ascii="Times New Roman" w:hAnsi="Times New Roman"/>
          <w:sz w:val="20"/>
        </w:rPr>
        <w:t xml:space="preserve"> </w:t>
      </w:r>
    </w:p>
    <w:p>
      <w:pPr>
        <w:pStyle w:val="TextBody"/>
        <w:spacing w:before="0" w:after="0"/>
        <w:jc w:val="left"/>
        <w:rPr/>
      </w:pPr>
      <w:r>
        <w:rPr/>
        <w:t> </w:t>
      </w:r>
    </w:p>
    <w:p>
      <w:pPr>
        <w:pStyle w:val="TextBody"/>
        <w:spacing w:before="0" w:after="0"/>
        <w:jc w:val="right"/>
        <w:rPr/>
      </w:pPr>
      <w:r>
        <w:rPr/>
        <w:drawing>
          <wp:inline distT="0" distB="0" distL="0" distR="0">
            <wp:extent cx="447675" cy="361950"/>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embed="rId68"/>
                    <a:stretch>
                      <a:fillRect/>
                    </a:stretch>
                  </pic:blipFill>
                  <pic:spPr bwMode="auto">
                    <a:xfrm>
                      <a:off x="0" y="0"/>
                      <a:ext cx="447675" cy="361950"/>
                    </a:xfrm>
                    <a:prstGeom prst="rect">
                      <a:avLst/>
                    </a:prstGeom>
                  </pic:spPr>
                </pic:pic>
              </a:graphicData>
            </a:graphic>
          </wp:inline>
        </w:drawing>
      </w:r>
      <w:r>
        <w:rPr/>
        <w:t xml:space="preserve">                                           </w:t>
      </w:r>
    </w:p>
    <w:p>
      <w:pPr>
        <w:pStyle w:val="TextBody"/>
        <w:spacing w:before="0" w:after="0"/>
        <w:jc w:val="right"/>
        <w:rPr>
          <w:rFonts w:ascii="Times New Roman" w:hAnsi="Times New Roman"/>
          <w:sz w:val="20"/>
        </w:rPr>
      </w:pPr>
      <w:r>
        <w:rPr>
          <w:rFonts w:ascii="Times New Roman" w:hAnsi="Times New Roman"/>
          <w:i/>
          <w:sz w:val="20"/>
        </w:rPr>
        <w:t>Acting Assistant Registrar</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 w:hAnsi="Times New Roman"/>
          <w:sz w:val="20"/>
        </w:rPr>
        <w:t xml:space="preserve">Dated this 13th day of January 2021. </w:t>
      </w:r>
    </w:p>
    <w:p>
      <w:pPr>
        <w:pStyle w:val="TextBody"/>
        <w:spacing w:before="360" w:after="0"/>
        <w:jc w:val="left"/>
        <w:rPr>
          <w:rFonts w:ascii="Times New Roman" w:hAnsi="Times New Roman"/>
          <w:b/>
          <w:sz w:val="20"/>
        </w:rPr>
      </w:pPr>
      <w:r>
        <w:rPr>
          <w:rFonts w:ascii="Times New Roman" w:hAnsi="Times New Roman"/>
          <w:b/>
          <w:sz w:val="20"/>
        </w:rPr>
        <w:t xml:space="preserve">Signature and Address of Subscriber </w:t>
      </w:r>
    </w:p>
    <w:p>
      <w:pPr>
        <w:pStyle w:val="TextBody"/>
        <w:spacing w:before="120" w:after="0"/>
        <w:jc w:val="left"/>
        <w:rPr>
          <w:rFonts w:ascii="Times New Roman" w:hAnsi="Times New Roman"/>
          <w:sz w:val="20"/>
        </w:rPr>
      </w:pPr>
      <w:r>
        <w:rPr>
          <w:rFonts w:ascii="Times New Roman" w:hAnsi="Times New Roman"/>
          <w:sz w:val="20"/>
        </w:rPr>
        <w:t xml:space="preserve">Maples Corporate Services Limited </w:t>
      </w:r>
    </w:p>
    <w:p>
      <w:pPr>
        <w:pStyle w:val="TextBody"/>
        <w:spacing w:before="0" w:after="0"/>
        <w:jc w:val="left"/>
        <w:rPr>
          <w:rFonts w:ascii="Times New Roman" w:hAnsi="Times New Roman"/>
          <w:sz w:val="20"/>
        </w:rPr>
      </w:pPr>
      <w:r>
        <w:rPr>
          <w:rFonts w:ascii="Times New Roman" w:hAnsi="Times New Roman"/>
          <w:sz w:val="20"/>
        </w:rPr>
        <w:t xml:space="preserve">of PO Box 309, Ugland House </w:t>
      </w:r>
    </w:p>
    <w:p>
      <w:pPr>
        <w:pStyle w:val="TextBody"/>
        <w:spacing w:before="0" w:after="0"/>
        <w:jc w:val="left"/>
        <w:rPr>
          <w:rFonts w:ascii="Times New Roman" w:hAnsi="Times New Roman"/>
          <w:sz w:val="20"/>
        </w:rPr>
      </w:pPr>
      <w:r>
        <w:rPr>
          <w:rFonts w:ascii="Times New Roman" w:hAnsi="Times New Roman"/>
          <w:sz w:val="20"/>
        </w:rPr>
        <w:t xml:space="preserve">Grand Cayman </w:t>
      </w:r>
    </w:p>
    <w:p>
      <w:pPr>
        <w:pStyle w:val="TextBody"/>
        <w:spacing w:before="0" w:after="0"/>
        <w:jc w:val="left"/>
        <w:rPr>
          <w:rFonts w:ascii="Times New Roman" w:hAnsi="Times New Roman"/>
          <w:sz w:val="20"/>
        </w:rPr>
      </w:pPr>
      <w:r>
        <w:rPr>
          <w:rFonts w:ascii="Times New Roman" w:hAnsi="Times New Roman"/>
          <w:sz w:val="20"/>
        </w:rPr>
        <w:t xml:space="preserve">KY1-1104 </w:t>
      </w:r>
    </w:p>
    <w:p>
      <w:pPr>
        <w:pStyle w:val="TextBody"/>
        <w:spacing w:before="0" w:after="0"/>
        <w:jc w:val="left"/>
        <w:rPr>
          <w:rFonts w:ascii="Times New Roman" w:hAnsi="Times New Roman"/>
          <w:sz w:val="20"/>
        </w:rPr>
      </w:pPr>
      <w:r>
        <w:rPr>
          <w:rFonts w:ascii="Times New Roman" w:hAnsi="Times New Roman"/>
          <w:sz w:val="20"/>
        </w:rPr>
        <w:t xml:space="preserve">Cayman Islands </w:t>
      </w:r>
    </w:p>
    <w:p>
      <w:pPr>
        <w:pStyle w:val="TextBody"/>
        <w:spacing w:before="240" w:after="0"/>
        <w:jc w:val="left"/>
        <w:rPr>
          <w:rFonts w:ascii="Times New Roman" w:hAnsi="Times New Roman"/>
          <w:sz w:val="20"/>
        </w:rPr>
      </w:pPr>
      <w:r>
        <w:rPr>
          <w:rFonts w:ascii="Times New Roman" w:hAnsi="Times New Roman"/>
          <w:sz w:val="20"/>
        </w:rPr>
        <w:t xml:space="preserve">acting by: </w:t>
      </w:r>
    </w:p>
    <w:p>
      <w:pPr>
        <w:pStyle w:val="TextBody"/>
        <w:spacing w:before="0" w:after="0"/>
        <w:jc w:val="left"/>
        <w:rPr/>
      </w:pPr>
      <w:r>
        <w:rPr/>
        <w:t> </w:t>
      </w:r>
    </w:p>
    <w:tbl>
      <w:tblPr>
        <w:tblW w:w="2000" w:type="pct"/>
        <w:jc w:val="lef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Salome Laidlaw</w:t>
            </w:r>
          </w:p>
        </w:tc>
      </w:tr>
      <w:tr>
        <w:trPr/>
        <w:tc>
          <w:tcPr>
            <w:tcW w:w="4082" w:type="dxa"/>
            <w:tcBorders/>
            <w:shd w:fill="auto" w:val="clear"/>
          </w:tcPr>
          <w:p>
            <w:pPr>
              <w:pStyle w:val="TableContents"/>
              <w:spacing w:before="0" w:after="283"/>
              <w:rPr/>
            </w:pPr>
            <w:r>
              <w:rPr/>
              <w:t>Salome Laidlaw</w:t>
            </w:r>
          </w:p>
        </w:tc>
      </w:tr>
      <w:tr>
        <w:trPr>
          <w:trHeight w:val="24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Ella Ebanks</w:t>
            </w:r>
          </w:p>
        </w:tc>
      </w:tr>
      <w:tr>
        <w:trPr/>
        <w:tc>
          <w:tcPr>
            <w:tcW w:w="4082" w:type="dxa"/>
            <w:tcBorders/>
            <w:shd w:fill="auto" w:val="clear"/>
          </w:tcPr>
          <w:p>
            <w:pPr>
              <w:pStyle w:val="TableContents"/>
              <w:spacing w:before="0" w:after="283"/>
              <w:rPr/>
            </w:pPr>
            <w:r>
              <w:rPr/>
              <w:t>Ella Ebanks</w:t>
            </w:r>
          </w:p>
        </w:tc>
      </w:tr>
      <w:tr>
        <w:trPr>
          <w:trHeight w:val="24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283"/>
              <w:rPr/>
            </w:pPr>
            <w:r>
              <w:rPr/>
              <w:t>Witness to the above signature</w:t>
            </w:r>
          </w:p>
        </w:tc>
      </w:tr>
    </w:tbl>
    <w:p>
      <w:pPr>
        <w:pStyle w:val="TextBody"/>
        <w:spacing w:before="0" w:after="0"/>
        <w:jc w:val="left"/>
        <w:rPr/>
      </w:pPr>
      <w:r>
        <w:rPr/>
        <w:t> </w:t>
      </w:r>
    </w:p>
    <w:p>
      <w:pPr>
        <w:pStyle w:val="TextBody"/>
        <w:spacing w:before="0" w:after="0"/>
        <w:jc w:val="right"/>
        <w:rPr>
          <w:rFonts w:ascii="Times New Roman" w:hAnsi="Times New Roman"/>
          <w:sz w:val="20"/>
        </w:rPr>
      </w:pPr>
      <w:r>
        <w:rPr>
          <w:rFonts w:ascii="Times New Roman" w:hAnsi="Times New Roman"/>
          <w:sz w:val="20"/>
        </w:rPr>
        <w:t xml:space="preserve">30 </w:t>
      </w:r>
    </w:p>
    <w:p>
      <w:pPr>
        <w:pStyle w:val="TextBody"/>
        <w:spacing w:before="80" w:after="0"/>
        <w:jc w:val="right"/>
        <w:rPr>
          <w:rFonts w:ascii="Times New Roman" w:hAnsi="Times New Roman"/>
          <w:sz w:val="20"/>
        </w:rPr>
      </w:pPr>
      <w:r>
        <w:rPr>
          <w:rFonts w:ascii="Times New Roman" w:hAnsi="Times New Roman"/>
          <w:i/>
          <w:sz w:val="20"/>
        </w:rPr>
        <w:t>Auth Code: H70275751251</w:t>
      </w:r>
      <w:r>
        <w:rPr>
          <w:rFonts w:ascii="Times New Roman" w:hAnsi="Times New Roman"/>
          <w:sz w:val="20"/>
        </w:rPr>
        <w:t xml:space="preserve"> </w:t>
      </w:r>
    </w:p>
    <w:p>
      <w:pPr>
        <w:pStyle w:val="TextBody"/>
        <w:spacing w:before="0" w:after="0"/>
        <w:jc w:val="right"/>
        <w:rPr>
          <w:rFonts w:ascii="Times New Roman" w:hAnsi="Times New Roman"/>
          <w:sz w:val="20"/>
        </w:rPr>
      </w:pPr>
      <w:r>
        <w:rPr>
          <w:rFonts w:ascii="Times New Roman" w:hAnsi="Times New Roman"/>
          <w:i/>
          <w:sz w:val="20"/>
        </w:rPr>
        <w:t>www.verify.gov.ky</w:t>
      </w:r>
      <w:r>
        <w:rPr>
          <w:rFonts w:ascii="Times New Roman" w:hAnsi="Times New Roman"/>
          <w:sz w:val="20"/>
        </w:rPr>
        <w:t xml:space="preserve"> </w:t>
      </w:r>
      <w:r>
        <w:br w:type="page"/>
      </w:r>
    </w:p>
    <w:p>
      <w:pPr>
        <w:pStyle w:val="TextBody"/>
        <w:spacing w:before="0" w:after="0"/>
        <w:jc w:val="right"/>
        <w:rPr>
          <w:rFonts w:ascii="Times New Roman" w:hAnsi="Times New Roman"/>
          <w:b/>
          <w:sz w:val="20"/>
        </w:rPr>
      </w:pPr>
      <w:bookmarkStart w:id="6" w:name="d167128dex41.htm"/>
      <w:bookmarkStart w:id="7" w:name="ksd167128dex41"/>
      <w:bookmarkEnd w:id="6"/>
      <w:bookmarkEnd w:id="7"/>
      <w:r>
        <w:rPr>
          <w:rFonts w:ascii="Times New Roman" w:hAnsi="Times New Roman"/>
          <w:b/>
          <w:sz w:val="20"/>
        </w:rPr>
        <w:t xml:space="preserve">Exhibit 4.1 </w:t>
      </w:r>
    </w:p>
    <w:p>
      <w:pPr>
        <w:pStyle w:val="TextBody"/>
        <w:spacing w:before="240" w:after="0"/>
        <w:jc w:val="center"/>
        <w:rPr>
          <w:rFonts w:ascii="Times New Roman" w:hAnsi="Times New Roman"/>
          <w:sz w:val="20"/>
        </w:rPr>
      </w:pPr>
      <w:r>
        <w:rPr>
          <w:rFonts w:ascii="Times New Roman" w:hAnsi="Times New Roman"/>
          <w:sz w:val="20"/>
        </w:rPr>
        <w:t xml:space="preserve">WARRANT AGREEMENT </w:t>
      </w:r>
    </w:p>
    <w:p>
      <w:pPr>
        <w:pStyle w:val="TextBody"/>
        <w:spacing w:before="240" w:after="0"/>
        <w:jc w:val="center"/>
        <w:rPr>
          <w:rFonts w:ascii="Times New Roman" w:hAnsi="Times New Roman"/>
          <w:sz w:val="20"/>
        </w:rPr>
      </w:pPr>
      <w:r>
        <w:rPr>
          <w:rFonts w:ascii="Times New Roman" w:hAnsi="Times New Roman"/>
          <w:sz w:val="20"/>
        </w:rPr>
        <w:t xml:space="preserve">ARCLIGHT CLEAN TRANSITION CORP. II </w:t>
      </w:r>
    </w:p>
    <w:p>
      <w:pPr>
        <w:pStyle w:val="TextBody"/>
        <w:spacing w:before="240" w:after="0"/>
        <w:jc w:val="center"/>
        <w:rPr>
          <w:rFonts w:ascii="Times New Roman" w:hAnsi="Times New Roman"/>
          <w:sz w:val="20"/>
        </w:rPr>
      </w:pPr>
      <w:r>
        <w:rPr>
          <w:rFonts w:ascii="Times New Roman" w:hAnsi="Times New Roman"/>
          <w:sz w:val="20"/>
        </w:rPr>
        <w:t xml:space="preserve">and </w:t>
      </w:r>
    </w:p>
    <w:p>
      <w:pPr>
        <w:pStyle w:val="TextBody"/>
        <w:spacing w:before="240" w:after="0"/>
        <w:jc w:val="center"/>
        <w:rPr>
          <w:rFonts w:ascii="Times New Roman" w:hAnsi="Times New Roman"/>
          <w:sz w:val="20"/>
        </w:rPr>
      </w:pPr>
      <w:r>
        <w:rPr>
          <w:rFonts w:ascii="Times New Roman" w:hAnsi="Times New Roman"/>
          <w:sz w:val="20"/>
        </w:rPr>
        <w:t xml:space="preserve">CONTINENTAL STOCK TRANSFER &amp; TRUST COMPANY </w:t>
      </w:r>
    </w:p>
    <w:p>
      <w:pPr>
        <w:pStyle w:val="TextBody"/>
        <w:spacing w:before="240" w:after="0"/>
        <w:jc w:val="center"/>
        <w:rPr>
          <w:rFonts w:ascii="Times New Roman" w:hAnsi="Times New Roman"/>
          <w:sz w:val="20"/>
        </w:rPr>
      </w:pPr>
      <w:r>
        <w:rPr>
          <w:rFonts w:ascii="Times New Roman" w:hAnsi="Times New Roman"/>
          <w:sz w:val="20"/>
        </w:rPr>
        <w:t xml:space="preserve">Dated March 25, 2021 </w:t>
      </w:r>
    </w:p>
    <w:p>
      <w:pPr>
        <w:pStyle w:val="TextBody"/>
        <w:spacing w:before="240" w:after="0"/>
        <w:jc w:val="left"/>
        <w:rPr>
          <w:rFonts w:ascii="Times New Roman" w:hAnsi="Times New Roman"/>
          <w:sz w:val="20"/>
        </w:rPr>
      </w:pPr>
      <w:r>
        <w:rPr>
          <w:rFonts w:ascii="Times New Roman" w:hAnsi="Times New Roman"/>
          <w:sz w:val="20"/>
        </w:rPr>
        <w:t>THIS WARRANT AGREEMENT (this </w:t>
      </w:r>
      <w:r>
        <w:rPr>
          <w:rFonts w:ascii="Times New Roman" w:hAnsi="Times New Roman"/>
          <w:b/>
          <w:i/>
          <w:sz w:val="20"/>
        </w:rPr>
        <w:t>Agreement</w:t>
      </w:r>
      <w:r>
        <w:rPr>
          <w:rFonts w:ascii="Times New Roman" w:hAnsi="Times New Roman"/>
          <w:sz w:val="20"/>
        </w:rPr>
        <w:t>), dated March 25, 2021, is by and between ArcLight Clean Transition Corp. II, a Cayman Islands exempted company (the </w:t>
      </w:r>
      <w:r>
        <w:rPr>
          <w:rFonts w:ascii="Times New Roman" w:hAnsi="Times New Roman"/>
          <w:b/>
          <w:i/>
          <w:sz w:val="20"/>
        </w:rPr>
        <w:t>Company</w:t>
      </w:r>
      <w:r>
        <w:rPr>
          <w:rFonts w:ascii="Times New Roman" w:hAnsi="Times New Roman"/>
          <w:sz w:val="20"/>
        </w:rPr>
        <w:t>), and Continental Stock Transfer &amp; Trust Company, a New York corporation, as warrant agent (in such capacity, the </w:t>
      </w:r>
      <w:r>
        <w:rPr>
          <w:rFonts w:ascii="Times New Roman" w:hAnsi="Times New Roman"/>
          <w:b/>
          <w:i/>
          <w:sz w:val="20"/>
        </w:rPr>
        <w:t>Warrant Agent</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WHEREAS, it is proposed that the Company enter into that certain Sponsor Warrants Purchase Agreement, with ArcLight CTC Holdings II, L.P., a Delaware limited partnership (the </w:t>
      </w:r>
      <w:r>
        <w:rPr>
          <w:rFonts w:ascii="Times New Roman" w:hAnsi="Times New Roman"/>
          <w:b/>
          <w:i/>
          <w:sz w:val="20"/>
        </w:rPr>
        <w:t>Sponsor</w:t>
      </w:r>
      <w:r>
        <w:rPr>
          <w:rFonts w:ascii="Times New Roman" w:hAnsi="Times New Roman"/>
          <w:sz w:val="20"/>
        </w:rPr>
        <w:t>), pursuant to which the Sponsor will purchase an aggregate of 8,500,000 warrants (or up to 9,325,000 warrants if the underwriters in the Public Offering (defined below) exercise their Over-allotment Option (as defined below) in full) simultaneously with the closing of the Offering (and the closing of the Over-allotment Option, if applicable), bearing the legend set forth in Exhibit B hereto (the </w:t>
      </w:r>
      <w:r>
        <w:rPr>
          <w:rFonts w:ascii="Times New Roman" w:hAnsi="Times New Roman"/>
          <w:b/>
          <w:i/>
          <w:sz w:val="20"/>
        </w:rPr>
        <w:t>Private Placement Warrants</w:t>
      </w:r>
      <w:r>
        <w:rPr>
          <w:rFonts w:ascii="Times New Roman" w:hAnsi="Times New Roman"/>
          <w:sz w:val="20"/>
        </w:rPr>
        <w:t xml:space="preserve">) at a purchase price of $1.00 per Private Placement Warrant. Each Private Placement Warrant entitles the holder thereof to purchase one Ordinary Share (as defined below) at a price of $11.50 per share, subject to adjustment as described herein; and </w:t>
      </w:r>
    </w:p>
    <w:p>
      <w:pPr>
        <w:pStyle w:val="TextBody"/>
        <w:spacing w:before="240" w:after="0"/>
        <w:jc w:val="left"/>
        <w:rPr>
          <w:rFonts w:ascii="Times New Roman" w:hAnsi="Times New Roman"/>
          <w:sz w:val="20"/>
        </w:rPr>
      </w:pPr>
      <w:r>
        <w:rPr>
          <w:rFonts w:ascii="Times New Roman" w:hAnsi="Times New Roman"/>
          <w:sz w:val="20"/>
        </w:rPr>
        <w:t>WHEREAS, in order to finance the Companys transaction costs in connection with an intended initial merger, share exchange, asset acquisition, share purchase, reorganization or similar business combination, involving the Company and one or more businesses (a </w:t>
      </w:r>
      <w:r>
        <w:rPr>
          <w:rFonts w:ascii="Times New Roman" w:hAnsi="Times New Roman"/>
          <w:b/>
          <w:i/>
          <w:sz w:val="20"/>
        </w:rPr>
        <w:t>Business Combination</w:t>
      </w:r>
      <w:r>
        <w:rPr>
          <w:rFonts w:ascii="Times New Roman" w:hAnsi="Times New Roman"/>
          <w:sz w:val="20"/>
        </w:rPr>
        <w:t xml:space="preserve">), the Sponsor or an affiliate of the Sponsor or certain of the Companys officers and directors may, but are not obligated to, loan the Company funds as the Company may require, of which up to $1,500,000 of such loans may be convertible into up to an additional 1,000,000 Private Placement Warrants at a price of $1.00 per Private Placement Warrant; and </w:t>
      </w:r>
    </w:p>
    <w:p>
      <w:pPr>
        <w:pStyle w:val="TextBody"/>
        <w:spacing w:before="240" w:after="0"/>
        <w:jc w:val="left"/>
        <w:rPr>
          <w:rFonts w:ascii="Times New Roman" w:hAnsi="Times New Roman"/>
          <w:sz w:val="20"/>
        </w:rPr>
      </w:pPr>
      <w:r>
        <w:rPr>
          <w:rFonts w:ascii="Times New Roman" w:hAnsi="Times New Roman"/>
          <w:sz w:val="20"/>
        </w:rPr>
        <w:t>WHEREAS, the Company is engaged in an initial public offering (the </w:t>
      </w:r>
      <w:r>
        <w:rPr>
          <w:rFonts w:ascii="Times New Roman" w:hAnsi="Times New Roman"/>
          <w:b/>
          <w:i/>
          <w:sz w:val="20"/>
        </w:rPr>
        <w:t>Offering</w:t>
      </w:r>
      <w:r>
        <w:rPr>
          <w:rFonts w:ascii="Times New Roman" w:hAnsi="Times New Roman"/>
          <w:sz w:val="20"/>
        </w:rPr>
        <w:t>) of units of the Companys equity securities, each such unit comprised of one Ordinary Share and one-fifth of one Public Warrant (as defined below) (the </w:t>
      </w:r>
      <w:r>
        <w:rPr>
          <w:rFonts w:ascii="Times New Roman" w:hAnsi="Times New Roman"/>
          <w:b/>
          <w:i/>
          <w:sz w:val="20"/>
        </w:rPr>
        <w:t>Units</w:t>
      </w:r>
      <w:r>
        <w:rPr>
          <w:rFonts w:ascii="Times New Roman" w:hAnsi="Times New Roman"/>
          <w:sz w:val="20"/>
        </w:rPr>
        <w:t>) and, in connection therewith, has determined to issue and deliver up to 6,325,000 redeemable warrants (including up to 575,000 redeemable warrants subject to the Over-allotment Option) to public investors in the Offering (the </w:t>
      </w:r>
      <w:r>
        <w:rPr>
          <w:rFonts w:ascii="Times New Roman" w:hAnsi="Times New Roman"/>
          <w:b/>
          <w:i/>
          <w:sz w:val="20"/>
        </w:rPr>
        <w:t>Public Warrants</w:t>
      </w:r>
      <w:r>
        <w:rPr>
          <w:rFonts w:ascii="Times New Roman" w:hAnsi="Times New Roman"/>
          <w:sz w:val="20"/>
        </w:rPr>
        <w:t> and, together with the Private Placement Warrants, the </w:t>
      </w:r>
      <w:r>
        <w:rPr>
          <w:rFonts w:ascii="Times New Roman" w:hAnsi="Times New Roman"/>
          <w:b/>
          <w:i/>
          <w:sz w:val="20"/>
        </w:rPr>
        <w:t>Warrants</w:t>
      </w:r>
      <w:r>
        <w:rPr>
          <w:rFonts w:ascii="Times New Roman" w:hAnsi="Times New Roman"/>
          <w:sz w:val="20"/>
        </w:rPr>
        <w:t>). Each whole Warrant entitles the holder thereof to purchase one Class A ordinary share of the Company, par value $0.0001 per share (</w:t>
      </w:r>
      <w:r>
        <w:rPr>
          <w:rFonts w:ascii="Times New Roman" w:hAnsi="Times New Roman"/>
          <w:b/>
          <w:i/>
          <w:sz w:val="20"/>
        </w:rPr>
        <w:t>Ordinary Shares</w:t>
      </w:r>
      <w:r>
        <w:rPr>
          <w:rFonts w:ascii="Times New Roman" w:hAnsi="Times New Roman"/>
          <w:sz w:val="20"/>
        </w:rPr>
        <w:t xml:space="preserve">), for $11.50 per share, subject to adjustment as described herein. Only whole Warrants are exercisable. A holder of the Public Warrants will not be able to exercise any fraction of a Warrant; and </w:t>
      </w:r>
    </w:p>
    <w:p>
      <w:pPr>
        <w:pStyle w:val="TextBody"/>
        <w:spacing w:before="240" w:after="0"/>
        <w:jc w:val="left"/>
        <w:rPr>
          <w:rFonts w:ascii="Times New Roman" w:hAnsi="Times New Roman"/>
          <w:sz w:val="20"/>
        </w:rPr>
      </w:pPr>
      <w:r>
        <w:rPr>
          <w:rFonts w:ascii="Times New Roman" w:hAnsi="Times New Roman"/>
          <w:sz w:val="20"/>
        </w:rPr>
        <w:t>WHEREAS, the Company has filed with the Securities and Exchange Commission (the </w:t>
      </w:r>
      <w:r>
        <w:rPr>
          <w:rFonts w:ascii="Times New Roman" w:hAnsi="Times New Roman"/>
          <w:b/>
          <w:i/>
          <w:sz w:val="20"/>
        </w:rPr>
        <w:t>Commission</w:t>
      </w:r>
      <w:r>
        <w:rPr>
          <w:rFonts w:ascii="Times New Roman" w:hAnsi="Times New Roman"/>
          <w:sz w:val="20"/>
        </w:rPr>
        <w:t>) a registration statement on Form S-1, File No. 333-252730 and prospectus (the </w:t>
      </w:r>
      <w:r>
        <w:rPr>
          <w:rFonts w:ascii="Times New Roman" w:hAnsi="Times New Roman"/>
          <w:b/>
          <w:i/>
          <w:sz w:val="20"/>
        </w:rPr>
        <w:t>Prospectus</w:t>
      </w:r>
      <w:r>
        <w:rPr>
          <w:rFonts w:ascii="Times New Roman" w:hAnsi="Times New Roman"/>
          <w:sz w:val="20"/>
        </w:rPr>
        <w:t>), for the registration, under the Securities Act of 1933, as amended (the </w:t>
      </w:r>
      <w:r>
        <w:rPr>
          <w:rFonts w:ascii="Times New Roman" w:hAnsi="Times New Roman"/>
          <w:b/>
          <w:i/>
          <w:sz w:val="20"/>
        </w:rPr>
        <w:t>Securities Act</w:t>
      </w:r>
      <w:r>
        <w:rPr>
          <w:rFonts w:ascii="Times New Roman" w:hAnsi="Times New Roman"/>
          <w:sz w:val="20"/>
        </w:rPr>
        <w:t xml:space="preserve">), of the Units, the Public Warrants and the Ordinary Shares included in the Units; and </w:t>
      </w:r>
    </w:p>
    <w:p>
      <w:pPr>
        <w:pStyle w:val="TextBody"/>
        <w:spacing w:before="240" w:after="0"/>
        <w:jc w:val="left"/>
        <w:rPr>
          <w:rFonts w:ascii="Times New Roman" w:hAnsi="Times New Roman"/>
          <w:sz w:val="20"/>
        </w:rPr>
      </w:pPr>
      <w:r>
        <w:rPr>
          <w:rFonts w:ascii="Times New Roman" w:hAnsi="Times New Roman"/>
          <w:sz w:val="20"/>
        </w:rPr>
        <w:t xml:space="preserve">WHEREAS, the Company desires the Warrant Agent to act on behalf of the Company, and the Warrant Agent is willing to so act, in connection with the issuance, registration, transfer, exchange, redemption and exercise of the Warrants; and </w:t>
      </w:r>
    </w:p>
    <w:p>
      <w:pPr>
        <w:pStyle w:val="TextBody"/>
        <w:spacing w:before="240" w:after="0"/>
        <w:jc w:val="left"/>
        <w:rPr>
          <w:rFonts w:ascii="Times New Roman" w:hAnsi="Times New Roman"/>
          <w:sz w:val="20"/>
        </w:rPr>
      </w:pPr>
      <w:r>
        <w:rPr>
          <w:rFonts w:ascii="Times New Roman" w:hAnsi="Times New Roman"/>
          <w:sz w:val="20"/>
        </w:rPr>
        <w:t xml:space="preserve">WHEREAS, the Company desires to provide for the form and provisions of the Warrants, the terms upon which they shall be issued and exercised, and the respective rights, limitation of rights, and immunities of the Company, the Warrant Agent and the holders of the Warrants; and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WHEREAS, all acts and things have been done and performed which are necessary to make the Warrants, when executed on behalf of the Company and countersigned by or on behalf of the Warrant Agent (if a physical certificate is issued), as provided herein, the valid, binding and legal obligations of the Company, and to authorize the execution and delivery of this Agreement. </w:t>
      </w:r>
    </w:p>
    <w:p>
      <w:pPr>
        <w:pStyle w:val="TextBody"/>
        <w:spacing w:before="240" w:after="0"/>
        <w:jc w:val="left"/>
        <w:rPr>
          <w:rFonts w:ascii="Times New Roman" w:hAnsi="Times New Roman"/>
          <w:sz w:val="20"/>
        </w:rPr>
      </w:pPr>
      <w:r>
        <w:rPr>
          <w:rFonts w:ascii="Times New Roman" w:hAnsi="Times New Roman"/>
          <w:sz w:val="20"/>
        </w:rPr>
        <w:t xml:space="preserve">NOW, THEREFORE, in consideration of the mutual agreements herein contained, the parties hereto agree as follows: </w:t>
      </w:r>
    </w:p>
    <w:p>
      <w:pPr>
        <w:pStyle w:val="TextBody"/>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Appointment of Warrant Agent</w:t>
      </w:r>
      <w:r>
        <w:rPr>
          <w:rFonts w:ascii="Times New Roman" w:hAnsi="Times New Roman"/>
          <w:sz w:val="20"/>
        </w:rPr>
        <w:t xml:space="preserve">. The Company hereby appoints the Warrant Agent to act as agent for the Company for the Warrants, and the Warrant Agent hereby accepts such appointment and agrees to perform the same in accordance with the terms and conditions set forth in this Agreement. </w:t>
      </w:r>
    </w:p>
    <w:p>
      <w:pPr>
        <w:pStyle w:val="TextBody"/>
        <w:spacing w:before="36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Warrants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2.1. </w:t>
      </w:r>
      <w:r>
        <w:rPr>
          <w:rFonts w:ascii="Times New Roman" w:hAnsi="Times New Roman"/>
          <w:sz w:val="20"/>
          <w:u w:val="single"/>
        </w:rPr>
        <w:t>Form of Warrant</w:t>
      </w:r>
      <w:r>
        <w:rPr>
          <w:rFonts w:ascii="Times New Roman" w:hAnsi="Times New Roman"/>
          <w:sz w:val="20"/>
        </w:rPr>
        <w:t xml:space="preserve">. Each Warrant shall initially be issued in registered form only. </w:t>
      </w:r>
    </w:p>
    <w:p>
      <w:pPr>
        <w:pStyle w:val="TextBody"/>
        <w:spacing w:before="240" w:after="0"/>
        <w:jc w:val="left"/>
        <w:rPr>
          <w:rFonts w:ascii="Times New Roman" w:hAnsi="Times New Roman"/>
          <w:sz w:val="20"/>
        </w:rPr>
      </w:pPr>
      <w:r>
        <w:rPr>
          <w:rFonts w:ascii="Times New Roman" w:hAnsi="Times New Roman"/>
          <w:sz w:val="20"/>
        </w:rPr>
        <w:t xml:space="preserve">2.2. </w:t>
      </w:r>
      <w:r>
        <w:rPr>
          <w:rFonts w:ascii="Times New Roman" w:hAnsi="Times New Roman"/>
          <w:sz w:val="20"/>
          <w:u w:val="single"/>
        </w:rPr>
        <w:t>Effect of Countersignature</w:t>
      </w:r>
      <w:r>
        <w:rPr>
          <w:rFonts w:ascii="Times New Roman" w:hAnsi="Times New Roman"/>
          <w:sz w:val="20"/>
        </w:rPr>
        <w:t xml:space="preserve">. If a physical certificate is issued, unless and until countersigned by the Warrant Agent pursuant to this Agreement, a certificated Warrant shall be invalid and of no effect and may not be exercised by the holder thereof. </w:t>
      </w:r>
    </w:p>
    <w:p>
      <w:pPr>
        <w:pStyle w:val="TextBody"/>
        <w:spacing w:before="360" w:after="0"/>
        <w:jc w:val="left"/>
        <w:rPr>
          <w:rFonts w:ascii="Times New Roman" w:hAnsi="Times New Roman"/>
          <w:sz w:val="20"/>
        </w:rPr>
      </w:pPr>
      <w:r>
        <w:rPr>
          <w:rFonts w:ascii="Times New Roman" w:hAnsi="Times New Roman"/>
          <w:sz w:val="20"/>
        </w:rPr>
        <w:t xml:space="preserve">2.3. </w:t>
      </w:r>
      <w:r>
        <w:rPr>
          <w:rFonts w:ascii="Times New Roman" w:hAnsi="Times New Roman"/>
          <w:sz w:val="20"/>
          <w:u w:val="single"/>
        </w:rPr>
        <w:t>Registration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2.3.1. </w:t>
      </w:r>
      <w:r>
        <w:rPr>
          <w:rFonts w:ascii="Times New Roman" w:hAnsi="Times New Roman"/>
          <w:sz w:val="20"/>
          <w:u w:val="single"/>
        </w:rPr>
        <w:t>Warrant Register</w:t>
      </w:r>
      <w:r>
        <w:rPr>
          <w:rFonts w:ascii="Times New Roman" w:hAnsi="Times New Roman"/>
          <w:sz w:val="20"/>
        </w:rPr>
        <w:t>. The Warrant Agent shall maintain books (the </w:t>
      </w:r>
      <w:r>
        <w:rPr>
          <w:rFonts w:ascii="Times New Roman" w:hAnsi="Times New Roman"/>
          <w:b/>
          <w:i/>
          <w:sz w:val="20"/>
        </w:rPr>
        <w:t>Warrant Register</w:t>
      </w:r>
      <w:r>
        <w:rPr>
          <w:rFonts w:ascii="Times New Roman" w:hAnsi="Times New Roman"/>
          <w:sz w:val="20"/>
        </w:rPr>
        <w:t>), for the registration of original issuance and the registration of transfer of the Warrants. Upon the initial issuance of the Warrants in book-entry form, the Warrant Agent shall issue and register the Warrants in the names of the respective holders thereof in such denominations and otherwise in accordance with instructions delivered to the Warrant Agent by the Company. Ownership of beneficial interests in the Public Warrants shall be shown on, and the transfer of such ownership shall be effected through, records maintained by institutions that have accounts with The Depository Trust Company (the </w:t>
      </w:r>
      <w:r>
        <w:rPr>
          <w:rFonts w:ascii="Times New Roman" w:hAnsi="Times New Roman"/>
          <w:b/>
          <w:i/>
          <w:sz w:val="20"/>
        </w:rPr>
        <w:t>Depositary</w:t>
      </w:r>
      <w:r>
        <w:rPr>
          <w:rFonts w:ascii="Times New Roman" w:hAnsi="Times New Roman"/>
          <w:sz w:val="20"/>
        </w:rPr>
        <w:t>) (such institution, with respect to a Warrant in its account, a </w:t>
      </w:r>
      <w:r>
        <w:rPr>
          <w:rFonts w:ascii="Times New Roman" w:hAnsi="Times New Roman"/>
          <w:b/>
          <w:i/>
          <w:sz w:val="20"/>
        </w:rPr>
        <w:t>Participant</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If the Depositary subsequently ceases to make its book-entry settlement system available for the Public Warrants, the Company may instruct the Warrant Agent regarding making other arrangements for book-entry settlement. In the event that the Public Warrants are not eligible for, or it is no longer necessary to have the Public Warrants available in, book-entry form, the Warrant Agent shall provide written instructions to the Depositary to deliver to the Warrant Agent for cancellation each book-entry Public Warrant, and the Company shall instruct the Warrant Agent to deliver to the Depositary definitive certificates in physical form evidencing such Warrants (</w:t>
      </w:r>
      <w:r>
        <w:rPr>
          <w:rFonts w:ascii="Times New Roman" w:hAnsi="Times New Roman"/>
          <w:b/>
          <w:i/>
          <w:sz w:val="20"/>
        </w:rPr>
        <w:t>Definitive Warrant Certificates</w:t>
      </w:r>
      <w:r>
        <w:rPr>
          <w:rFonts w:ascii="Times New Roman" w:hAnsi="Times New Roman"/>
          <w:sz w:val="20"/>
        </w:rPr>
        <w:t xml:space="preserve">) which shall be in the form annexed hereto as </w:t>
      </w:r>
      <w:r>
        <w:rPr>
          <w:rFonts w:ascii="Times New Roman" w:hAnsi="Times New Roman"/>
          <w:sz w:val="20"/>
          <w:u w:val="single"/>
        </w:rPr>
        <w:t>Exhibit A</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Physical certificates, if issued, shall be signed by, or bear the facsimile signature of, the Chairman of the Board, Chief Executive Officer, President, Chief Financial Officer, Chief Operating Officer, General Counsel, Secretary or other principal officer of the Company. In the event the person whose facsimile signature has been placed upon any Warrant shall have ceased to serve in the capacity in which such person signed the Warrant before such Warrant is issued, it may be issued with the same effect as if he or she had not ceased to be such at the date of issuance. </w:t>
      </w:r>
    </w:p>
    <w:p>
      <w:pPr>
        <w:pStyle w:val="TextBody"/>
        <w:spacing w:before="240" w:after="0"/>
        <w:jc w:val="left"/>
        <w:rPr>
          <w:rFonts w:ascii="Times New Roman" w:hAnsi="Times New Roman"/>
          <w:sz w:val="20"/>
        </w:rPr>
      </w:pPr>
      <w:r>
        <w:rPr>
          <w:rFonts w:ascii="Times New Roman" w:hAnsi="Times New Roman"/>
          <w:sz w:val="20"/>
        </w:rPr>
        <w:t xml:space="preserve">2.3.2. </w:t>
      </w:r>
      <w:r>
        <w:rPr>
          <w:rFonts w:ascii="Times New Roman" w:hAnsi="Times New Roman"/>
          <w:sz w:val="20"/>
          <w:u w:val="single"/>
        </w:rPr>
        <w:t>Registered Holde</w:t>
      </w:r>
      <w:r>
        <w:rPr>
          <w:rFonts w:ascii="Times New Roman" w:hAnsi="Times New Roman"/>
          <w:sz w:val="20"/>
        </w:rPr>
        <w:t>r. Prior to due presentment for registration of transfer of any Warrant, the Company and the Warrant Agent may deem and treat the person in whose name such Warrant is registered in the Warrant Register (the </w:t>
      </w:r>
      <w:r>
        <w:rPr>
          <w:rFonts w:ascii="Times New Roman" w:hAnsi="Times New Roman"/>
          <w:b/>
          <w:i/>
          <w:sz w:val="20"/>
        </w:rPr>
        <w:t>Registered Holder</w:t>
      </w:r>
      <w:r>
        <w:rPr>
          <w:rFonts w:ascii="Times New Roman" w:hAnsi="Times New Roman"/>
          <w:sz w:val="20"/>
        </w:rPr>
        <w:t xml:space="preserve">) as the absolute owner of such Warrant and of each Warrant represented thereby, for the purpose of any exercise thereof, and for all other purposes, and neither the Company nor the Warrant Agent shall be affected by any notice to the contrary. </w:t>
      </w:r>
    </w:p>
    <w:p>
      <w:pPr>
        <w:pStyle w:val="TextBody"/>
        <w:spacing w:before="240" w:after="0"/>
        <w:jc w:val="left"/>
        <w:rPr>
          <w:rFonts w:ascii="Times New Roman" w:hAnsi="Times New Roman"/>
          <w:sz w:val="20"/>
        </w:rPr>
      </w:pPr>
      <w:r>
        <w:rPr>
          <w:rFonts w:ascii="Times New Roman" w:hAnsi="Times New Roman"/>
          <w:sz w:val="20"/>
        </w:rPr>
        <w:t xml:space="preserve">2.4. </w:t>
      </w:r>
      <w:r>
        <w:rPr>
          <w:rFonts w:ascii="Times New Roman" w:hAnsi="Times New Roman"/>
          <w:sz w:val="20"/>
          <w:u w:val="single"/>
        </w:rPr>
        <w:t>Detachability of Warrants</w:t>
      </w:r>
      <w:r>
        <w:rPr>
          <w:rFonts w:ascii="Times New Roman" w:hAnsi="Times New Roman"/>
          <w:sz w:val="20"/>
        </w:rPr>
        <w:t>. The Ordinary Shares and Public Warrants comprising the Units shall begin separate trading on the 52nd day following the date of the Prospectus or, if such 52nd day is not on a day, other than a Saturday, Sunday or federal holiday, on which banks in New York City are generally open for normal business (a </w:t>
      </w:r>
      <w:r>
        <w:rPr>
          <w:rFonts w:ascii="Times New Roman" w:hAnsi="Times New Roman"/>
          <w:b/>
          <w:i/>
          <w:sz w:val="20"/>
        </w:rPr>
        <w:t>Business Day</w:t>
      </w:r>
      <w:r>
        <w:rPr>
          <w:rFonts w:ascii="Times New Roman" w:hAnsi="Times New Roman"/>
          <w:sz w:val="20"/>
        </w:rPr>
        <w:t>), then on the immediately succeeding Business Day following such date, or earlier (the </w:t>
      </w:r>
      <w:r>
        <w:rPr>
          <w:rFonts w:ascii="Times New Roman" w:hAnsi="Times New Roman"/>
          <w:b/>
          <w:i/>
          <w:sz w:val="20"/>
        </w:rPr>
        <w:t>Detachment Date</w:t>
      </w:r>
      <w:r>
        <w:rPr>
          <w:rFonts w:ascii="Times New Roman" w:hAnsi="Times New Roman"/>
          <w:sz w:val="20"/>
        </w:rPr>
        <w:t>) with the consent of Citigroup Global Markets Inc. and Barclays Capital Inc., but in no event shall the Ordinary Shares and the Public Warrants comprising the Units be separately traded until (A) the Company has filed a Current Report on Form 8-K with the Commission containing an audited balance sheet reflecting the receipt by the Company of the gross proceeds of the Offering, including the proceeds then received by the Company from the exercise by the underwriters of their right to purchase additional Units in the Offering (the </w:t>
      </w:r>
      <w:r>
        <w:rPr>
          <w:rFonts w:ascii="Times New Roman" w:hAnsi="Times New Roman"/>
          <w:b/>
          <w:i/>
          <w:sz w:val="20"/>
        </w:rPr>
        <w:t>Over-allotment Option</w:t>
      </w:r>
      <w:r>
        <w:rPr>
          <w:rFonts w:ascii="Times New Roman" w:hAnsi="Times New Roman"/>
          <w:sz w:val="20"/>
        </w:rPr>
        <w:t xml:space="preserve">), if the Over-allotment Option is exercised prior to the filing of the Current Report on Form 8-K, and (B) the Company issues a press release announcing when such separate trading shall begin.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2.5.</w:t>
      </w:r>
      <w:r>
        <w:rPr>
          <w:rFonts w:ascii="Times New Roman" w:hAnsi="Times New Roman"/>
          <w:sz w:val="20"/>
          <w:u w:val="single"/>
        </w:rPr>
        <w:t xml:space="preserve"> Fractional Warrants</w:t>
      </w:r>
      <w:r>
        <w:rPr>
          <w:rFonts w:ascii="Times New Roman" w:hAnsi="Times New Roman"/>
          <w:sz w:val="20"/>
        </w:rPr>
        <w:t xml:space="preserve">. The Company shall not issue fractional Warrants other than as part of the Units, each of which is comprised of one Ordinary Share and one-fifth of one whole Public Warrant. If, upon the detachment of Public Warrants from the Units or otherwise, a holder of Warrants would be entitled to receive a fractional Warrant, the Company shall round down to the nearest whole number the number of Warrants to be issued to such holder. </w:t>
      </w:r>
    </w:p>
    <w:p>
      <w:pPr>
        <w:pStyle w:val="TextBody"/>
        <w:spacing w:before="240" w:after="0"/>
        <w:jc w:val="left"/>
        <w:rPr>
          <w:rFonts w:ascii="Times New Roman" w:hAnsi="Times New Roman"/>
          <w:sz w:val="20"/>
        </w:rPr>
      </w:pPr>
      <w:r>
        <w:rPr>
          <w:rFonts w:ascii="Times New Roman" w:hAnsi="Times New Roman"/>
          <w:sz w:val="20"/>
        </w:rPr>
        <w:t xml:space="preserve">2.6. </w:t>
      </w:r>
      <w:r>
        <w:rPr>
          <w:rFonts w:ascii="Times New Roman" w:hAnsi="Times New Roman"/>
          <w:sz w:val="20"/>
          <w:u w:val="single"/>
        </w:rPr>
        <w:t>Private Placement Warrants</w:t>
      </w:r>
      <w:r>
        <w:rPr>
          <w:rFonts w:ascii="Times New Roman" w:hAnsi="Times New Roman"/>
          <w:sz w:val="20"/>
        </w:rPr>
        <w:t xml:space="preserve">. The Private Placement Warrants shall be identical to the Public Warrants, except that so long as they are held by the Sponsor or any of its Permitted Transferees (as defined below) the Private Placement Warrants: (i) may be exercised for cash or on a cashless basis, pursuant to </w:t>
      </w:r>
      <w:r>
        <w:rPr>
          <w:rFonts w:ascii="Times New Roman" w:hAnsi="Times New Roman"/>
          <w:sz w:val="20"/>
          <w:u w:val="single"/>
        </w:rPr>
        <w:t>subsection 3.3.1(c)</w:t>
      </w:r>
      <w:r>
        <w:rPr>
          <w:rFonts w:ascii="Times New Roman" w:hAnsi="Times New Roman"/>
          <w:sz w:val="20"/>
        </w:rPr>
        <w:t xml:space="preserve"> hereof, (ii) including the Ordinary Shares issuable upon exercise of the Private Placement Warrants, may not be transferred, assigned or sold until thirty (30) days after the completion by the Company of an initial Business Combination, (iii) shall not be redeemable by the Company pursuant to </w:t>
      </w:r>
      <w:r>
        <w:rPr>
          <w:rFonts w:ascii="Times New Roman" w:hAnsi="Times New Roman"/>
          <w:sz w:val="20"/>
          <w:u w:val="single"/>
        </w:rPr>
        <w:t>Section 6.1</w:t>
      </w:r>
      <w:r>
        <w:rPr>
          <w:rFonts w:ascii="Times New Roman" w:hAnsi="Times New Roman"/>
          <w:sz w:val="20"/>
        </w:rPr>
        <w:t xml:space="preserve"> hereof and (iv) shall only be redeemable by the Company pursuant to </w:t>
      </w:r>
      <w:r>
        <w:rPr>
          <w:rFonts w:ascii="Times New Roman" w:hAnsi="Times New Roman"/>
          <w:sz w:val="20"/>
          <w:u w:val="single"/>
        </w:rPr>
        <w:t>Section 6.2</w:t>
      </w:r>
      <w:r>
        <w:rPr>
          <w:rFonts w:ascii="Times New Roman" w:hAnsi="Times New Roman"/>
          <w:sz w:val="20"/>
        </w:rPr>
        <w:t xml:space="preserve"> if the Reference Value (as defined below) is less than $18.00 per share (subject to adjustment in compliance with </w:t>
      </w:r>
      <w:r>
        <w:rPr>
          <w:rFonts w:ascii="Times New Roman" w:hAnsi="Times New Roman"/>
          <w:sz w:val="20"/>
          <w:u w:val="single"/>
        </w:rPr>
        <w:t>Section 4</w:t>
      </w:r>
      <w:r>
        <w:rPr>
          <w:rFonts w:ascii="Times New Roman" w:hAnsi="Times New Roman"/>
          <w:sz w:val="20"/>
        </w:rPr>
        <w:t xml:space="preserve"> hereof);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the case of (ii), the Private Placement Warrants and any Ordinary Shares issued upon exercise of the Private Placement Warrants may be transferred by the holders thereof: </w:t>
      </w:r>
    </w:p>
    <w:p>
      <w:pPr>
        <w:pStyle w:val="TextBody"/>
        <w:spacing w:before="240" w:after="0"/>
        <w:jc w:val="left"/>
        <w:rPr>
          <w:rFonts w:ascii="Times New Roman" w:hAnsi="Times New Roman"/>
          <w:sz w:val="20"/>
        </w:rPr>
      </w:pPr>
      <w:r>
        <w:rPr>
          <w:rFonts w:ascii="Times New Roman" w:hAnsi="Times New Roman"/>
          <w:sz w:val="20"/>
        </w:rPr>
        <w:t xml:space="preserve">(a) to the Companys officers or directors, any affiliates or family members of any of the Companys officers or directors, any members or partners of the Sponsor or their affiliates, any affiliates of the Sponsor, or any employees of such affiliates; </w:t>
      </w:r>
    </w:p>
    <w:p>
      <w:pPr>
        <w:pStyle w:val="TextBody"/>
        <w:spacing w:before="240" w:after="0"/>
        <w:jc w:val="left"/>
        <w:rPr>
          <w:rFonts w:ascii="Times New Roman" w:hAnsi="Times New Roman"/>
          <w:sz w:val="20"/>
        </w:rPr>
      </w:pPr>
      <w:r>
        <w:rPr>
          <w:rFonts w:ascii="Times New Roman" w:hAnsi="Times New Roman"/>
          <w:sz w:val="20"/>
        </w:rPr>
        <w:t xml:space="preserve">(b) in the case of an individual, by gift to a member of one of the individuals immediate family or to a trust, the beneficiary of which is a member of the individuals immediate family, an affiliate of such person or to a charitable organization; </w:t>
      </w:r>
    </w:p>
    <w:p>
      <w:pPr>
        <w:pStyle w:val="TextBody"/>
        <w:spacing w:before="240" w:after="0"/>
        <w:jc w:val="left"/>
        <w:rPr>
          <w:rFonts w:ascii="Times New Roman" w:hAnsi="Times New Roman"/>
          <w:sz w:val="20"/>
        </w:rPr>
      </w:pPr>
      <w:r>
        <w:rPr>
          <w:rFonts w:ascii="Times New Roman" w:hAnsi="Times New Roman"/>
          <w:sz w:val="20"/>
        </w:rPr>
        <w:t xml:space="preserve">(c) in the case of an individual, by virtue of laws of descent and distribution upon death of the individual; </w:t>
      </w:r>
    </w:p>
    <w:p>
      <w:pPr>
        <w:pStyle w:val="TextBody"/>
        <w:spacing w:before="240" w:after="0"/>
        <w:jc w:val="left"/>
        <w:rPr>
          <w:rFonts w:ascii="Times New Roman" w:hAnsi="Times New Roman"/>
          <w:sz w:val="20"/>
        </w:rPr>
      </w:pPr>
      <w:r>
        <w:rPr>
          <w:rFonts w:ascii="Times New Roman" w:hAnsi="Times New Roman"/>
          <w:sz w:val="20"/>
        </w:rPr>
        <w:t xml:space="preserve">(d) in the case of an individual, pursuant to a qualified domestic relations order; </w:t>
      </w:r>
    </w:p>
    <w:p>
      <w:pPr>
        <w:pStyle w:val="TextBody"/>
        <w:spacing w:before="240" w:after="0"/>
        <w:jc w:val="left"/>
        <w:rPr>
          <w:rFonts w:ascii="Times New Roman" w:hAnsi="Times New Roman"/>
          <w:sz w:val="20"/>
        </w:rPr>
      </w:pPr>
      <w:r>
        <w:rPr>
          <w:rFonts w:ascii="Times New Roman" w:hAnsi="Times New Roman"/>
          <w:sz w:val="20"/>
        </w:rPr>
        <w:t xml:space="preserve">(e) by private sales or transfers made in connection with the consummation of the Companys Business Combination at prices no greater than the price at which the Private Placement Warrants or Ordinary Shares, as applicable, were originally purchased; </w:t>
      </w:r>
    </w:p>
    <w:p>
      <w:pPr>
        <w:pStyle w:val="TextBody"/>
        <w:spacing w:before="240" w:after="0"/>
        <w:jc w:val="left"/>
        <w:rPr>
          <w:rFonts w:ascii="Times New Roman" w:hAnsi="Times New Roman"/>
          <w:sz w:val="20"/>
        </w:rPr>
      </w:pPr>
      <w:r>
        <w:rPr>
          <w:rFonts w:ascii="Times New Roman" w:hAnsi="Times New Roman"/>
          <w:sz w:val="20"/>
        </w:rPr>
        <w:t xml:space="preserve">(f) by virtue of the Sponsors organizational documents upon liquidation or dissolution of the Sponsor; </w:t>
      </w:r>
    </w:p>
    <w:p>
      <w:pPr>
        <w:pStyle w:val="TextBody"/>
        <w:spacing w:before="240" w:after="0"/>
        <w:jc w:val="left"/>
        <w:rPr>
          <w:rFonts w:ascii="Times New Roman" w:hAnsi="Times New Roman"/>
          <w:sz w:val="20"/>
        </w:rPr>
      </w:pPr>
      <w:r>
        <w:rPr>
          <w:rFonts w:ascii="Times New Roman" w:hAnsi="Times New Roman"/>
          <w:sz w:val="20"/>
        </w:rPr>
        <w:t xml:space="preserve">(g) to the Company for no value for cancellation in connection with the consummation of our initial Business Combination; </w:t>
      </w:r>
    </w:p>
    <w:p>
      <w:pPr>
        <w:pStyle w:val="TextBody"/>
        <w:spacing w:before="240" w:after="0"/>
        <w:jc w:val="left"/>
        <w:rPr>
          <w:rFonts w:ascii="Times New Roman" w:hAnsi="Times New Roman"/>
          <w:sz w:val="20"/>
        </w:rPr>
      </w:pPr>
      <w:r>
        <w:rPr>
          <w:rFonts w:ascii="Times New Roman" w:hAnsi="Times New Roman"/>
          <w:sz w:val="20"/>
        </w:rPr>
        <w:t xml:space="preserve">(h) in the event of the Companys liquidation prior to the completion of its initial Business Combination; or </w:t>
      </w:r>
    </w:p>
    <w:p>
      <w:pPr>
        <w:pStyle w:val="TextBody"/>
        <w:spacing w:before="240" w:after="0"/>
        <w:jc w:val="left"/>
        <w:rPr>
          <w:rFonts w:ascii="Times New Roman" w:hAnsi="Times New Roman"/>
          <w:sz w:val="20"/>
        </w:rPr>
      </w:pPr>
      <w:r>
        <w:rPr>
          <w:rFonts w:ascii="Times New Roman" w:hAnsi="Times New Roman"/>
          <w:sz w:val="20"/>
        </w:rPr>
        <w:t xml:space="preserve">(i) in the event of the Companys completion of a liquidation, merger, share exchange or other similar transaction which results in all of the public shareholders having the right to exchange their Ordinary Shares for cash, securities or other property subsequent to the completion of the Companys initial Business Combination; </w:t>
      </w:r>
    </w:p>
    <w:p>
      <w:pPr>
        <w:pStyle w:val="TextBody"/>
        <w:spacing w:before="24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in the case of clauses (a) through (f), these permitted transferees (the </w:t>
      </w:r>
      <w:r>
        <w:rPr>
          <w:rFonts w:ascii="Times New Roman" w:hAnsi="Times New Roman"/>
          <w:b/>
          <w:i/>
          <w:sz w:val="20"/>
        </w:rPr>
        <w:t>Permitted Transferees</w:t>
      </w:r>
      <w:r>
        <w:rPr>
          <w:rFonts w:ascii="Times New Roman" w:hAnsi="Times New Roman"/>
          <w:sz w:val="20"/>
        </w:rPr>
        <w:t xml:space="preserve">) must enter into a written agreement with the Company agreeing to be bound by the transfer restrictions in this Agreement. </w:t>
      </w:r>
    </w:p>
    <w:p>
      <w:pPr>
        <w:pStyle w:val="TextBody"/>
        <w:spacing w:before="36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Terms and Exercise of Warrants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3.1. </w:t>
      </w:r>
      <w:r>
        <w:rPr>
          <w:rFonts w:ascii="Times New Roman" w:hAnsi="Times New Roman"/>
          <w:sz w:val="20"/>
          <w:u w:val="single"/>
        </w:rPr>
        <w:t>Warrant Pric</w:t>
      </w:r>
      <w:r>
        <w:rPr>
          <w:rFonts w:ascii="Times New Roman" w:hAnsi="Times New Roman"/>
          <w:sz w:val="20"/>
        </w:rPr>
        <w:t xml:space="preserve">e. Each whole Warrant shall entitle the Registered Holder thereof, subject to the provisions of such Warrant and of this Agreement, to purchase from the Company the number of Ordinary Shares stated therein, at the price of $11.50 per share, subject to the adjustments provided in </w:t>
      </w:r>
      <w:r>
        <w:rPr>
          <w:rFonts w:ascii="Times New Roman" w:hAnsi="Times New Roman"/>
          <w:sz w:val="20"/>
          <w:u w:val="single"/>
        </w:rPr>
        <w:t>Section 4</w:t>
      </w:r>
      <w:r>
        <w:rPr>
          <w:rFonts w:ascii="Times New Roman" w:hAnsi="Times New Roman"/>
          <w:sz w:val="20"/>
        </w:rPr>
        <w:t xml:space="preserve"> hereof and in the last sentence of this </w:t>
      </w:r>
      <w:r>
        <w:rPr>
          <w:rFonts w:ascii="Times New Roman" w:hAnsi="Times New Roman"/>
          <w:sz w:val="20"/>
          <w:u w:val="single"/>
        </w:rPr>
        <w:t>Section 3.1.</w:t>
      </w:r>
      <w:r>
        <w:rPr>
          <w:rFonts w:ascii="Times New Roman" w:hAnsi="Times New Roman"/>
          <w:sz w:val="20"/>
        </w:rPr>
        <w:t xml:space="preserve"> The term </w:t>
      </w:r>
      <w:r>
        <w:rPr>
          <w:rFonts w:ascii="Times New Roman" w:hAnsi="Times New Roman"/>
          <w:b/>
          <w:i/>
          <w:sz w:val="20"/>
        </w:rPr>
        <w:t>Warrant Price</w:t>
      </w:r>
      <w:r>
        <w:rPr>
          <w:rFonts w:ascii="Times New Roman" w:hAnsi="Times New Roman"/>
          <w:sz w:val="20"/>
        </w:rPr>
        <w:t xml:space="preserve"> as used in this Agreement shall mean the price per share (including in cash or by payment of Warrants pursuant to a cashless exercise, to the extent permitted hereunder) described in the prior sentence at which Ordinary Shares may be purchased at the time a Warrant is exercised. The Company in its sole discretion may lower the Warrant Price at any time prior to the Expiration Date (as defined below) for a period of not less than fifteen Business Days (unless otherwise required by the Commission, any national securities exchange on which the Warrants are listed or applicable law); provided that the Company shall provide at least five days prior written notice of such reduction to Registered Holders of the Warrants; and provided further, that any such reduction shall be identical among all of the Warrants.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3.2. </w:t>
      </w:r>
      <w:r>
        <w:rPr>
          <w:rFonts w:ascii="Times New Roman" w:hAnsi="Times New Roman"/>
          <w:sz w:val="20"/>
          <w:u w:val="single"/>
        </w:rPr>
        <w:t>Duration of Warrants</w:t>
      </w:r>
      <w:r>
        <w:rPr>
          <w:rFonts w:ascii="Times New Roman" w:hAnsi="Times New Roman"/>
          <w:sz w:val="20"/>
        </w:rPr>
        <w:t>. A Warrant may be exercised only during the period (the </w:t>
      </w:r>
      <w:r>
        <w:rPr>
          <w:rFonts w:ascii="Times New Roman" w:hAnsi="Times New Roman"/>
          <w:b/>
          <w:i/>
          <w:sz w:val="20"/>
        </w:rPr>
        <w:t>Exercise Period</w:t>
      </w:r>
      <w:r>
        <w:rPr>
          <w:rFonts w:ascii="Times New Roman" w:hAnsi="Times New Roman"/>
          <w:sz w:val="20"/>
        </w:rPr>
        <w:t>) (A) commencing on the date that is thirty (30) days after the first date on which the Company completes a Business Combination, and (B) terminating at the earliest to occur of (x) 5:00 p.m., New York City time on the date that is five (5) years after the date on which the Company completes its initial Business Combination, (y) the liquidation of the Company in accordance with the Companys amended and restated memorandum and articles of association, as amended from time to time, if the Company fails to complete a Business Combination, and (z) other than with respect to the Private Placement Warrants then held by the Sponsor or its Permitted Transferees with respect to a redemption pursuant to</w:t>
      </w:r>
      <w:r>
        <w:rPr>
          <w:rFonts w:ascii="Times New Roman" w:hAnsi="Times New Roman"/>
          <w:sz w:val="20"/>
          <w:u w:val="single"/>
        </w:rPr>
        <w:t xml:space="preserve"> Section 6.1</w:t>
      </w:r>
      <w:r>
        <w:rPr>
          <w:rFonts w:ascii="Times New Roman" w:hAnsi="Times New Roman"/>
          <w:sz w:val="20"/>
        </w:rPr>
        <w:t xml:space="preserve"> hereof or, if the Reference Value equals or exceeds $18.00 per share (subject to adjustment in compliance with </w:t>
      </w:r>
      <w:r>
        <w:rPr>
          <w:rFonts w:ascii="Times New Roman" w:hAnsi="Times New Roman"/>
          <w:sz w:val="20"/>
          <w:u w:val="single"/>
        </w:rPr>
        <w:t>Section 4</w:t>
      </w:r>
      <w:r>
        <w:rPr>
          <w:rFonts w:ascii="Times New Roman" w:hAnsi="Times New Roman"/>
          <w:sz w:val="20"/>
        </w:rPr>
        <w:t xml:space="preserve"> hereof), </w:t>
      </w:r>
      <w:r>
        <w:rPr>
          <w:rFonts w:ascii="Times New Roman" w:hAnsi="Times New Roman"/>
          <w:sz w:val="20"/>
          <w:u w:val="single"/>
        </w:rPr>
        <w:t>Section 6.2</w:t>
      </w:r>
      <w:r>
        <w:rPr>
          <w:rFonts w:ascii="Times New Roman" w:hAnsi="Times New Roman"/>
          <w:sz w:val="20"/>
        </w:rPr>
        <w:t xml:space="preserve"> hereof, 5:00 p.m., New York City time on the Redemption Date (as defined below) as provided in </w:t>
      </w:r>
      <w:r>
        <w:rPr>
          <w:rFonts w:ascii="Times New Roman" w:hAnsi="Times New Roman"/>
          <w:sz w:val="20"/>
          <w:u w:val="single"/>
        </w:rPr>
        <w:t>Section 6.3</w:t>
      </w:r>
      <w:r>
        <w:rPr>
          <w:rFonts w:ascii="Times New Roman" w:hAnsi="Times New Roman"/>
          <w:sz w:val="20"/>
        </w:rPr>
        <w:t xml:space="preserve"> hereof (the </w:t>
      </w:r>
      <w:r>
        <w:rPr>
          <w:rFonts w:ascii="Times New Roman" w:hAnsi="Times New Roman"/>
          <w:b/>
          <w:i/>
          <w:sz w:val="20"/>
        </w:rPr>
        <w:t>Expiration Date</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exercise of any Warrant shall be subject to the satisfaction of any applicable conditions, as set forth in </w:t>
      </w:r>
      <w:r>
        <w:rPr>
          <w:rFonts w:ascii="Times New Roman" w:hAnsi="Times New Roman"/>
          <w:sz w:val="20"/>
          <w:u w:val="single"/>
        </w:rPr>
        <w:t>subsection 3.3.2</w:t>
      </w:r>
      <w:r>
        <w:rPr>
          <w:rFonts w:ascii="Times New Roman" w:hAnsi="Times New Roman"/>
          <w:sz w:val="20"/>
        </w:rPr>
        <w:t xml:space="preserve"> below, with respect to an effective registration statement or a valid exemption therefrom being available. Except with respect to the right to receive the Redemption Price (as defined below) (other than with respect to a Private Placement Warrant then held by the Sponsor or its Permitted Transferees in connection with a redemption pursuant to </w:t>
      </w:r>
      <w:r>
        <w:rPr>
          <w:rFonts w:ascii="Times New Roman" w:hAnsi="Times New Roman"/>
          <w:sz w:val="20"/>
          <w:u w:val="single"/>
        </w:rPr>
        <w:t>Section 6.1</w:t>
      </w:r>
      <w:r>
        <w:rPr>
          <w:rFonts w:ascii="Times New Roman" w:hAnsi="Times New Roman"/>
          <w:sz w:val="20"/>
        </w:rPr>
        <w:t xml:space="preserve"> hereof or, if the Reference Value equals or exceeds $18.00 per share (subject to adjustment in compliance with Section 4 hereof), </w:t>
      </w:r>
      <w:r>
        <w:rPr>
          <w:rFonts w:ascii="Times New Roman" w:hAnsi="Times New Roman"/>
          <w:sz w:val="20"/>
          <w:u w:val="single"/>
        </w:rPr>
        <w:t>Section 6.2</w:t>
      </w:r>
      <w:r>
        <w:rPr>
          <w:rFonts w:ascii="Times New Roman" w:hAnsi="Times New Roman"/>
          <w:sz w:val="20"/>
        </w:rPr>
        <w:t xml:space="preserve"> hereof) in the event of a redemption (as set forth in Section 6 hereof), each Warrant (other than a Private Placement Warrant then held by the Sponsor or its Permitted Transferees in the event of a redemption pursuant to </w:t>
      </w:r>
      <w:r>
        <w:rPr>
          <w:rFonts w:ascii="Times New Roman" w:hAnsi="Times New Roman"/>
          <w:sz w:val="20"/>
          <w:u w:val="single"/>
        </w:rPr>
        <w:t>Section 6.1</w:t>
      </w:r>
      <w:r>
        <w:rPr>
          <w:rFonts w:ascii="Times New Roman" w:hAnsi="Times New Roman"/>
          <w:sz w:val="20"/>
        </w:rPr>
        <w:t xml:space="preserve"> hereof or, if the Reference Value equals or exceeds $18.00 per share (subject to adjustment in compliance with </w:t>
      </w:r>
      <w:r>
        <w:rPr>
          <w:rFonts w:ascii="Times New Roman" w:hAnsi="Times New Roman"/>
          <w:sz w:val="20"/>
          <w:u w:val="single"/>
        </w:rPr>
        <w:t>Section 4</w:t>
      </w:r>
      <w:r>
        <w:rPr>
          <w:rFonts w:ascii="Times New Roman" w:hAnsi="Times New Roman"/>
          <w:sz w:val="20"/>
        </w:rPr>
        <w:t xml:space="preserve"> hereof), </w:t>
      </w:r>
      <w:r>
        <w:rPr>
          <w:rFonts w:ascii="Times New Roman" w:hAnsi="Times New Roman"/>
          <w:sz w:val="20"/>
          <w:u w:val="single"/>
        </w:rPr>
        <w:t>Section 6.2</w:t>
      </w:r>
      <w:r>
        <w:rPr>
          <w:rFonts w:ascii="Times New Roman" w:hAnsi="Times New Roman"/>
          <w:sz w:val="20"/>
        </w:rPr>
        <w:t xml:space="preserve"> hereof) not exercised on or before the Expiration Date shall become void, and all rights thereunder and all rights in respect thereof under this Agreement shall cease at 5:00 p.m. New York City time on the Expiration Date. The Company in its sole discretion may extend the duration of the Warrants by delaying the Expiration Date; </w:t>
      </w:r>
      <w:r>
        <w:rPr>
          <w:rFonts w:ascii="Times New Roman" w:hAnsi="Times New Roman"/>
          <w:sz w:val="20"/>
          <w:u w:val="single"/>
        </w:rPr>
        <w:t>provided</w:t>
      </w:r>
      <w:r>
        <w:rPr>
          <w:rFonts w:ascii="Times New Roman" w:hAnsi="Times New Roman"/>
          <w:sz w:val="20"/>
        </w:rPr>
        <w:t xml:space="preserve"> that the Company shall provide at least twenty (20) days prior written notice of any such extension to Registered Holders of the Warrants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any such extension shall be identical in duration among all the Warrants. </w:t>
      </w:r>
    </w:p>
    <w:p>
      <w:pPr>
        <w:pStyle w:val="TextBody"/>
        <w:spacing w:before="360" w:after="0"/>
        <w:jc w:val="left"/>
        <w:rPr>
          <w:rFonts w:ascii="Times New Roman" w:hAnsi="Times New Roman"/>
          <w:sz w:val="20"/>
        </w:rPr>
      </w:pPr>
      <w:r>
        <w:rPr>
          <w:rFonts w:ascii="Times New Roman" w:hAnsi="Times New Roman"/>
          <w:sz w:val="20"/>
        </w:rPr>
        <w:t xml:space="preserve">3.3. </w:t>
      </w:r>
      <w:r>
        <w:rPr>
          <w:rFonts w:ascii="Times New Roman" w:hAnsi="Times New Roman"/>
          <w:sz w:val="20"/>
          <w:u w:val="single"/>
        </w:rPr>
        <w:t>Exercise of Warrant</w:t>
      </w:r>
      <w:r>
        <w:rPr>
          <w:rFonts w:ascii="Times New Roman" w:hAnsi="Times New Roman"/>
          <w:sz w:val="20"/>
        </w:rPr>
        <w:t xml:space="preserve">s. </w:t>
      </w:r>
    </w:p>
    <w:p>
      <w:pPr>
        <w:pStyle w:val="TextBody"/>
        <w:spacing w:before="120" w:after="0"/>
        <w:jc w:val="left"/>
        <w:rPr>
          <w:rFonts w:ascii="Times New Roman" w:hAnsi="Times New Roman"/>
          <w:sz w:val="20"/>
        </w:rPr>
      </w:pPr>
      <w:r>
        <w:rPr>
          <w:rFonts w:ascii="Times New Roman" w:hAnsi="Times New Roman"/>
          <w:sz w:val="20"/>
        </w:rPr>
        <w:t xml:space="preserve">3.3.1. </w:t>
      </w:r>
      <w:r>
        <w:rPr>
          <w:rFonts w:ascii="Times New Roman" w:hAnsi="Times New Roman"/>
          <w:sz w:val="20"/>
          <w:u w:val="single"/>
        </w:rPr>
        <w:t>Payment</w:t>
      </w:r>
      <w:r>
        <w:rPr>
          <w:rFonts w:ascii="Times New Roman" w:hAnsi="Times New Roman"/>
          <w:sz w:val="20"/>
        </w:rPr>
        <w:t>. Subject to the provisions of the Warrant and this Agreement, a Warrant may be exercised by the Registered Holder thereof by delivering to the Warrant Agent at its corporate trust department (i) the Definitive Warrant Certificate evidencing the Warrants to be exercised, or, in the case of a Warrant represented by a book-entry, the Warrants to be exercised (the </w:t>
      </w:r>
      <w:r>
        <w:rPr>
          <w:rFonts w:ascii="Times New Roman" w:hAnsi="Times New Roman"/>
          <w:b/>
          <w:i/>
          <w:sz w:val="20"/>
        </w:rPr>
        <w:t>Book-Entry Warrants</w:t>
      </w:r>
      <w:r>
        <w:rPr>
          <w:rFonts w:ascii="Times New Roman" w:hAnsi="Times New Roman"/>
          <w:sz w:val="20"/>
        </w:rPr>
        <w:t>) on the records of the Depositary to an account of the Warrant Agent at the Depositary designated for such purposes in writing by the Warrant Agent to the Depositary from time to time, (ii) an election to purchase (</w:t>
      </w:r>
      <w:r>
        <w:rPr>
          <w:rFonts w:ascii="Times New Roman" w:hAnsi="Times New Roman"/>
          <w:b/>
          <w:i/>
          <w:sz w:val="20"/>
        </w:rPr>
        <w:t>Election to Purchase</w:t>
      </w:r>
      <w:r>
        <w:rPr>
          <w:rFonts w:ascii="Times New Roman" w:hAnsi="Times New Roman"/>
          <w:sz w:val="20"/>
        </w:rPr>
        <w:t xml:space="preserve">) any Ordinary Shares pursuant to the exercise of a Warrant, properly completed and executed by the Registered Holder on the reverse of the Definitive Warrant Certificate or, in the case of a Book-Entry Warrant, properly delivered by the Participant in accordance with the Depositarys procedures, and (iii) the payment in full of the Warrant Price for each Ordinary Share as to which the Warrant is exercised and any and all applicable taxes due in connection with the exercise of the Warrant, the exchange of the Warrant for the Ordinary Shares and the issuance of such Ordinary Shares, as follows: </w:t>
      </w:r>
    </w:p>
    <w:p>
      <w:pPr>
        <w:pStyle w:val="TextBody"/>
        <w:spacing w:before="240" w:after="0"/>
        <w:jc w:val="left"/>
        <w:rPr>
          <w:rFonts w:ascii="Times New Roman" w:hAnsi="Times New Roman"/>
          <w:sz w:val="20"/>
        </w:rPr>
      </w:pPr>
      <w:r>
        <w:rPr>
          <w:rFonts w:ascii="Times New Roman" w:hAnsi="Times New Roman"/>
          <w:sz w:val="20"/>
        </w:rPr>
        <w:t xml:space="preserve">(a) in lawful money of the United States, in good certified check or wire payable to the Warrant Agent; </w:t>
      </w:r>
    </w:p>
    <w:p>
      <w:pPr>
        <w:pStyle w:val="TextBody"/>
        <w:spacing w:before="240" w:after="0"/>
        <w:jc w:val="left"/>
        <w:rPr>
          <w:rFonts w:ascii="Times New Roman" w:hAnsi="Times New Roman"/>
          <w:sz w:val="20"/>
        </w:rPr>
      </w:pPr>
      <w:r>
        <w:rPr>
          <w:rFonts w:ascii="Times New Roman" w:hAnsi="Times New Roman"/>
          <w:sz w:val="20"/>
        </w:rPr>
        <w:t xml:space="preserve">(b) [Reserved]; </w:t>
      </w:r>
    </w:p>
    <w:p>
      <w:pPr>
        <w:pStyle w:val="TextBody"/>
        <w:spacing w:before="240" w:after="0"/>
        <w:jc w:val="left"/>
        <w:rPr>
          <w:rFonts w:ascii="Times New Roman" w:hAnsi="Times New Roman"/>
          <w:sz w:val="20"/>
        </w:rPr>
      </w:pPr>
      <w:r>
        <w:rPr>
          <w:rFonts w:ascii="Times New Roman" w:hAnsi="Times New Roman"/>
          <w:sz w:val="20"/>
        </w:rPr>
        <w:t xml:space="preserve">(c) with respect to any Private Placement Warrant, so long as such Private Placement Warrant is held by the Sponsor or a Permitted Transferee, by surrendering the Warrants for that number of Ordinary Shares equal to (i) if in connection with a redemption of Private Placement Warrants pursuant to </w:t>
      </w:r>
      <w:r>
        <w:rPr>
          <w:rFonts w:ascii="Times New Roman" w:hAnsi="Times New Roman"/>
          <w:sz w:val="20"/>
          <w:u w:val="single"/>
        </w:rPr>
        <w:t>Section 6.2</w:t>
      </w:r>
      <w:r>
        <w:rPr>
          <w:rFonts w:ascii="Times New Roman" w:hAnsi="Times New Roman"/>
          <w:sz w:val="20"/>
        </w:rPr>
        <w:t xml:space="preserve"> hereof, as provided in </w:t>
      </w:r>
      <w:r>
        <w:rPr>
          <w:rFonts w:ascii="Times New Roman" w:hAnsi="Times New Roman"/>
          <w:sz w:val="20"/>
          <w:u w:val="single"/>
        </w:rPr>
        <w:t>Section 6.2</w:t>
      </w:r>
      <w:r>
        <w:rPr>
          <w:rFonts w:ascii="Times New Roman" w:hAnsi="Times New Roman"/>
          <w:sz w:val="20"/>
        </w:rPr>
        <w:t xml:space="preserve"> hereof with respect to a Make-Whole Exercise and (ii) in all other scenarios the quotient obtained by dividing (x) the product of the number of Ordinary Shares underlying the Warrants, multiplied by the excess of the </w:t>
      </w:r>
      <w:r>
        <w:rPr>
          <w:rFonts w:ascii="Times New Roman" w:hAnsi="Times New Roman"/>
          <w:b/>
          <w:i/>
          <w:sz w:val="20"/>
        </w:rPr>
        <w:t>Sponsor Exercise Fair Market Value</w:t>
      </w:r>
      <w:r>
        <w:rPr>
          <w:rFonts w:ascii="Times New Roman" w:hAnsi="Times New Roman"/>
          <w:sz w:val="20"/>
        </w:rPr>
        <w:t xml:space="preserve"> (as defined in this </w:t>
      </w:r>
      <w:r>
        <w:rPr>
          <w:rFonts w:ascii="Times New Roman" w:hAnsi="Times New Roman"/>
          <w:sz w:val="20"/>
          <w:u w:val="single"/>
        </w:rPr>
        <w:t>subsection 3.3.1(c))</w:t>
      </w:r>
      <w:r>
        <w:rPr>
          <w:rFonts w:ascii="Times New Roman" w:hAnsi="Times New Roman"/>
          <w:sz w:val="20"/>
        </w:rPr>
        <w:t xml:space="preserve"> less the Warrant Price by (y) the Sponsor Exercise Fair Market Value. Solely for purposes of this </w:t>
      </w:r>
      <w:r>
        <w:rPr>
          <w:rFonts w:ascii="Times New Roman" w:hAnsi="Times New Roman"/>
          <w:sz w:val="20"/>
          <w:u w:val="single"/>
        </w:rPr>
        <w:t>subsection 3.3.1(c)</w:t>
      </w:r>
      <w:r>
        <w:rPr>
          <w:rFonts w:ascii="Times New Roman" w:hAnsi="Times New Roman"/>
          <w:sz w:val="20"/>
        </w:rPr>
        <w:t>, the </w:t>
      </w:r>
      <w:r>
        <w:rPr>
          <w:rFonts w:ascii="Times New Roman" w:hAnsi="Times New Roman"/>
          <w:b/>
          <w:i/>
          <w:sz w:val="20"/>
        </w:rPr>
        <w:t>Sponsor Fair Market Value</w:t>
      </w:r>
      <w:r>
        <w:rPr>
          <w:rFonts w:ascii="Times New Roman" w:hAnsi="Times New Roman"/>
          <w:sz w:val="20"/>
        </w:rPr>
        <w:t xml:space="preserve"> shall mean the average last reported sale price of the Ordinary Shares for the ten (10) trading days ending on the third (3rd) trading day prior to the date on which notice of exercise of the Private Placement Warrant is sent to the Warrant Agent; </w:t>
      </w:r>
    </w:p>
    <w:p>
      <w:pPr>
        <w:pStyle w:val="TextBody"/>
        <w:spacing w:before="240" w:after="0"/>
        <w:jc w:val="left"/>
        <w:rPr>
          <w:rFonts w:ascii="Times New Roman" w:hAnsi="Times New Roman"/>
          <w:sz w:val="20"/>
        </w:rPr>
      </w:pPr>
      <w:r>
        <w:rPr>
          <w:rFonts w:ascii="Times New Roman" w:hAnsi="Times New Roman"/>
          <w:sz w:val="20"/>
        </w:rPr>
        <w:t xml:space="preserve">(d) as provided in </w:t>
      </w:r>
      <w:r>
        <w:rPr>
          <w:rFonts w:ascii="Times New Roman" w:hAnsi="Times New Roman"/>
          <w:sz w:val="20"/>
          <w:u w:val="single"/>
        </w:rPr>
        <w:t>Section 6.2</w:t>
      </w:r>
      <w:r>
        <w:rPr>
          <w:rFonts w:ascii="Times New Roman" w:hAnsi="Times New Roman"/>
          <w:sz w:val="20"/>
        </w:rPr>
        <w:t xml:space="preserve"> hereof with respect to a Make-Whole Exercise; or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(e) as provided in </w:t>
      </w:r>
      <w:r>
        <w:rPr>
          <w:rFonts w:ascii="Times New Roman" w:hAnsi="Times New Roman"/>
          <w:sz w:val="20"/>
          <w:u w:val="single"/>
        </w:rPr>
        <w:t>Section 7.4</w:t>
      </w:r>
      <w:r>
        <w:rPr>
          <w:rFonts w:ascii="Times New Roman" w:hAnsi="Times New Roman"/>
          <w:sz w:val="20"/>
        </w:rPr>
        <w:t xml:space="preserve"> hereof. </w:t>
      </w:r>
    </w:p>
    <w:p>
      <w:pPr>
        <w:pStyle w:val="TextBody"/>
        <w:spacing w:before="120" w:after="0"/>
        <w:jc w:val="left"/>
        <w:rPr>
          <w:rFonts w:ascii="Times New Roman" w:hAnsi="Times New Roman"/>
          <w:sz w:val="20"/>
        </w:rPr>
      </w:pPr>
      <w:r>
        <w:rPr>
          <w:rFonts w:ascii="Times New Roman" w:hAnsi="Times New Roman"/>
          <w:sz w:val="20"/>
        </w:rPr>
        <w:t xml:space="preserve">3.3.2. </w:t>
      </w:r>
      <w:r>
        <w:rPr>
          <w:rFonts w:ascii="Times New Roman" w:hAnsi="Times New Roman"/>
          <w:sz w:val="20"/>
          <w:u w:val="single"/>
        </w:rPr>
        <w:t>Issuance of Ordinary Shares on Exercise</w:t>
      </w:r>
      <w:r>
        <w:rPr>
          <w:rFonts w:ascii="Times New Roman" w:hAnsi="Times New Roman"/>
          <w:sz w:val="20"/>
        </w:rPr>
        <w:t xml:space="preserve">. As soon as practicable after the exercise of any Warrant and the clearance of the funds in payment of the Warrant Price (if payment is pursuant to </w:t>
      </w:r>
      <w:r>
        <w:rPr>
          <w:rFonts w:ascii="Times New Roman" w:hAnsi="Times New Roman"/>
          <w:sz w:val="20"/>
          <w:u w:val="single"/>
        </w:rPr>
        <w:t>subsection 3.3.1(a))</w:t>
      </w:r>
      <w:r>
        <w:rPr>
          <w:rFonts w:ascii="Times New Roman" w:hAnsi="Times New Roman"/>
          <w:sz w:val="20"/>
        </w:rPr>
        <w:t xml:space="preserve">, the Company shall issue to the Registered Holder of such Warrant a book-entry position or certificate, as applicable, for the number of Ordinary Shares to which he, she or it is entitled, registered in such name or names as may be directed by him, her or it on the register of members of the Company, and if such Warrant shall not have been exercised in full, a new book-entry position or countersigned Warrant, as applicable, for the number of shares as to which such Warrant shall not have been exercised. Notwithstanding the foregoing, the Company shall not be obligated to deliver any Ordinary Shares pursuant to the exercise of a Warrant and shall have no obligation to settle such Warrant exercise unless a registration statement under the Securities Act with respect to the Ordinary Shares underlying the Public Warrants is then effective and a prospectus relating thereto is current, subject to the Companys satisfying its obligations under </w:t>
      </w:r>
      <w:r>
        <w:rPr>
          <w:rFonts w:ascii="Times New Roman" w:hAnsi="Times New Roman"/>
          <w:sz w:val="20"/>
          <w:u w:val="single"/>
        </w:rPr>
        <w:t>Section 7.4</w:t>
      </w:r>
      <w:r>
        <w:rPr>
          <w:rFonts w:ascii="Times New Roman" w:hAnsi="Times New Roman"/>
          <w:sz w:val="20"/>
        </w:rPr>
        <w:t xml:space="preserve"> or a valid exemption from registration is available. No Warrant shall be exercisable and the Company shall not be obligated to issue Ordinary Shares upon exercise of a Warrant unless the Ordinary Shares issuable upon such Warrant exercise have been registered, qualified or deemed to be exempt from registration or qualification under the securities laws of the state of residence of the Registered Holder of the Warrants. Subject to </w:t>
      </w:r>
      <w:r>
        <w:rPr>
          <w:rFonts w:ascii="Times New Roman" w:hAnsi="Times New Roman"/>
          <w:sz w:val="20"/>
          <w:u w:val="single"/>
        </w:rPr>
        <w:t>Section 4.6</w:t>
      </w:r>
      <w:r>
        <w:rPr>
          <w:rFonts w:ascii="Times New Roman" w:hAnsi="Times New Roman"/>
          <w:sz w:val="20"/>
        </w:rPr>
        <w:t xml:space="preserve"> of this Agreement, a Registered Holder of Warrants may exercise its Warrants only for a whole number of Ordinary Shares. The Company may require holders of Public Warrants to settle the Warrant on a cashless basis pursuant to </w:t>
      </w:r>
      <w:r>
        <w:rPr>
          <w:rFonts w:ascii="Times New Roman" w:hAnsi="Times New Roman"/>
          <w:sz w:val="20"/>
          <w:u w:val="single"/>
        </w:rPr>
        <w:t>Section 7.4</w:t>
      </w:r>
      <w:r>
        <w:rPr>
          <w:rFonts w:ascii="Times New Roman" w:hAnsi="Times New Roman"/>
          <w:sz w:val="20"/>
        </w:rPr>
        <w:t xml:space="preserve">. If, by reason of any exercise of Warrants on a cashless basis, the holder of any Warrant would be entitled, upon the exercise of such Warrant, to receive a fractional interest in an Ordinary Share, the Company shall round down to the nearest whole number, the number of Ordinary Shares to be issued to such holder. </w:t>
      </w:r>
    </w:p>
    <w:p>
      <w:pPr>
        <w:pStyle w:val="TextBody"/>
        <w:spacing w:before="240" w:after="0"/>
        <w:jc w:val="left"/>
        <w:rPr>
          <w:rFonts w:ascii="Times New Roman" w:hAnsi="Times New Roman"/>
          <w:sz w:val="20"/>
        </w:rPr>
      </w:pPr>
      <w:r>
        <w:rPr>
          <w:rFonts w:ascii="Times New Roman" w:hAnsi="Times New Roman"/>
          <w:sz w:val="20"/>
        </w:rPr>
        <w:t xml:space="preserve">3.3.3. </w:t>
      </w:r>
      <w:r>
        <w:rPr>
          <w:rFonts w:ascii="Times New Roman" w:hAnsi="Times New Roman"/>
          <w:sz w:val="20"/>
          <w:u w:val="single"/>
        </w:rPr>
        <w:t>Valid Issuance</w:t>
      </w:r>
      <w:r>
        <w:rPr>
          <w:rFonts w:ascii="Times New Roman" w:hAnsi="Times New Roman"/>
          <w:sz w:val="20"/>
        </w:rPr>
        <w:t xml:space="preserve">. All Ordinary Shares issued upon the proper exercise of a Warrant in conformity with this Agreement and the amended and restated memorandum and articles of association of the Company shall be validly issued, fully paid and nonassessable. </w:t>
      </w:r>
    </w:p>
    <w:p>
      <w:pPr>
        <w:pStyle w:val="TextBody"/>
        <w:spacing w:before="240" w:after="0"/>
        <w:jc w:val="left"/>
        <w:rPr>
          <w:rFonts w:ascii="Times New Roman" w:hAnsi="Times New Roman"/>
          <w:sz w:val="20"/>
        </w:rPr>
      </w:pPr>
      <w:r>
        <w:rPr>
          <w:rFonts w:ascii="Times New Roman" w:hAnsi="Times New Roman"/>
          <w:sz w:val="20"/>
        </w:rPr>
        <w:t xml:space="preserve">3.3.4. </w:t>
      </w:r>
      <w:r>
        <w:rPr>
          <w:rFonts w:ascii="Times New Roman" w:hAnsi="Times New Roman"/>
          <w:sz w:val="20"/>
          <w:u w:val="single"/>
        </w:rPr>
        <w:t>Date of Issuance</w:t>
      </w:r>
      <w:r>
        <w:rPr>
          <w:rFonts w:ascii="Times New Roman" w:hAnsi="Times New Roman"/>
          <w:sz w:val="20"/>
        </w:rPr>
        <w:t xml:space="preserve">. Each person in whose name any book-entry position or certificate, as applicable, for Ordinary Shares is issued and who is registered in the register of members of the Company shall for all purposes be deemed to have become the holder of record of such Ordinary Shares on the date on which the Warrant, or book-entry position representing such Warrant, was surrendered and payment of the Warrant Price was made, irrespective of the date of delivery of such certificate in the case of a certificated Warrant, except that, if the date of such surrender and payment is a date when the register of members of the Company or book-entry system of the Warrant Agent are closed, such person shall be deemed to have become the holder of such shares at the close of business on the next succeeding date on which the share transfer books or book-entry system are open. </w:t>
      </w:r>
    </w:p>
    <w:p>
      <w:pPr>
        <w:pStyle w:val="TextBody"/>
        <w:spacing w:before="240" w:after="0"/>
        <w:jc w:val="left"/>
        <w:rPr>
          <w:rFonts w:ascii="Times New Roman" w:hAnsi="Times New Roman"/>
          <w:sz w:val="20"/>
        </w:rPr>
      </w:pPr>
      <w:r>
        <w:rPr>
          <w:rFonts w:ascii="Times New Roman" w:hAnsi="Times New Roman"/>
          <w:sz w:val="20"/>
        </w:rPr>
        <w:t xml:space="preserve">3.3.5. </w:t>
      </w:r>
      <w:r>
        <w:rPr>
          <w:rFonts w:ascii="Times New Roman" w:hAnsi="Times New Roman"/>
          <w:sz w:val="20"/>
          <w:u w:val="single"/>
        </w:rPr>
        <w:t>Maximum Percentage</w:t>
      </w:r>
      <w:r>
        <w:rPr>
          <w:rFonts w:ascii="Times New Roman" w:hAnsi="Times New Roman"/>
          <w:sz w:val="20"/>
        </w:rPr>
        <w:t xml:space="preserve">. A holder of a Warrant may notify the Company in writing in the event it elects to be subject to the provisions contained in this </w:t>
      </w:r>
      <w:r>
        <w:rPr>
          <w:rFonts w:ascii="Times New Roman" w:hAnsi="Times New Roman"/>
          <w:sz w:val="20"/>
          <w:u w:val="single"/>
        </w:rPr>
        <w:t>subsection 3.3.5</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no holder of a Warrant shall be subject to this </w:t>
      </w:r>
      <w:r>
        <w:rPr>
          <w:rFonts w:ascii="Times New Roman" w:hAnsi="Times New Roman"/>
          <w:sz w:val="20"/>
          <w:u w:val="single"/>
        </w:rPr>
        <w:t>subsection 3.3.5</w:t>
      </w:r>
      <w:r>
        <w:rPr>
          <w:rFonts w:ascii="Times New Roman" w:hAnsi="Times New Roman"/>
          <w:sz w:val="20"/>
        </w:rPr>
        <w:t xml:space="preserve"> unless he, she or it makes such election. If the election is made by a holder, the Warrant Agent shall not effect the exercise of the holders Warrant, and such holder shall not have the right to exercise such Warrant, to the extent that after giving effect to such exercise, such person (together with such persons affiliates), to the Warrant Agents actual knowledge, would beneficially own in excess of 9.8% (the </w:t>
      </w:r>
      <w:r>
        <w:rPr>
          <w:rFonts w:ascii="Times New Roman" w:hAnsi="Times New Roman"/>
          <w:b/>
          <w:i/>
          <w:sz w:val="20"/>
        </w:rPr>
        <w:t>Maximum Percentage</w:t>
      </w:r>
      <w:r>
        <w:rPr>
          <w:rFonts w:ascii="Times New Roman" w:hAnsi="Times New Roman"/>
          <w:sz w:val="20"/>
        </w:rPr>
        <w:t>) of the Ordinary Shares outstanding immediately after giving effect to such exercise. For purposes of the foregoing sentence, the aggregate number of Ordinary Shares beneficially owned by such person and its affiliates shall include the number of Ordinary Shares issuable upon exercise of the Warrant with respect to which the determination of such sentence is being made, but shall exclude Ordinary Shares that would be issuable upon (x) exercise of the remaining, unexercised portion of the Warrant beneficially owned by such person and its affiliates and (y) exercise or conversion of the unexercised or unconverted portion of any other securities of the Company beneficially owned by such person and its affiliates (including, without limitation, any convertible notes or convertible preferred shares or warrants) subject to a limitation on conversion or exercise analogous to the limitation contained herein. Except as set forth in the preceding sentence, for purposes of this paragraph, beneficial ownership shall be calculated in accordance with Section 13(d) of the Securities Exchange Act of 1934, as amended (the </w:t>
      </w:r>
      <w:r>
        <w:rPr>
          <w:rFonts w:ascii="Times New Roman" w:hAnsi="Times New Roman"/>
          <w:b/>
          <w:i/>
          <w:sz w:val="20"/>
        </w:rPr>
        <w:t>Exchange Act</w:t>
      </w:r>
      <w:r>
        <w:rPr>
          <w:rFonts w:ascii="Times New Roman" w:hAnsi="Times New Roman"/>
          <w:sz w:val="20"/>
        </w:rPr>
        <w:t>). For purposes of the Warrant, in determining the number of outstanding Ordinary Shares, the holder may rely on the number of outstanding Ordinary Shares as reflected in (1) the Companys most recent Annual Report on Form 10-K, Quarterly Report on Form 10-Q, Current Report on Form 8-K or other public filing with the Commission as the case may be, (2) a more recent public announcement by the Company or (3) any other notice by the Company or Continental Stock Transfer &amp; Trust Company, as transfer agent (in such capacity, the </w:t>
      </w:r>
      <w:r>
        <w:rPr>
          <w:rFonts w:ascii="Times New Roman" w:hAnsi="Times New Roman"/>
          <w:b/>
          <w:i/>
          <w:sz w:val="20"/>
        </w:rPr>
        <w:t>Transfer Agent</w:t>
      </w:r>
      <w:r>
        <w:rPr>
          <w:rFonts w:ascii="Times New Roman" w:hAnsi="Times New Roman"/>
          <w:sz w:val="20"/>
        </w:rPr>
        <w:t xml:space="preserve">), setting forth the number of Ordinary Shares outstanding. For any reason at any time, upon the written request of the holder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of the Warrant, the Company shall, within two (2) Business Days, confirm orally and in writing to such holder the number of Ordinary Shares then outstanding. In any case, the number of issued and outstanding Ordinary Shares shall be determined after giving effect to the conversion or exercise of equity securities of the Company by the holder and its affiliates since the date as of which such number of issued and outstanding Ordinary Shares was reported. By written notice to the Company, the holder of a Warrant may from time to time increase or decrease the Maximum Percentage applicable to such holder to any other percentage specified in such notice;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any such increase shall not be effective until the sixty-first (61st) day after such notice is delivered to the Company. </w:t>
      </w:r>
    </w:p>
    <w:p>
      <w:pPr>
        <w:pStyle w:val="TextBody"/>
        <w:spacing w:before="36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Adjustments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4.1. </w:t>
      </w:r>
      <w:r>
        <w:rPr>
          <w:rFonts w:ascii="Times New Roman" w:hAnsi="Times New Roman"/>
          <w:sz w:val="20"/>
          <w:u w:val="single"/>
        </w:rPr>
        <w:t>Share Capitalizations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4.1.1. </w:t>
      </w:r>
      <w:r>
        <w:rPr>
          <w:rFonts w:ascii="Times New Roman" w:hAnsi="Times New Roman"/>
          <w:sz w:val="20"/>
          <w:u w:val="single"/>
        </w:rPr>
        <w:t>Sub-Divisions</w:t>
      </w:r>
      <w:r>
        <w:rPr>
          <w:rFonts w:ascii="Times New Roman" w:hAnsi="Times New Roman"/>
          <w:sz w:val="20"/>
        </w:rPr>
        <w:t xml:space="preserve">. If after the date hereof, and subject to the provisions of </w:t>
      </w:r>
      <w:r>
        <w:rPr>
          <w:rFonts w:ascii="Times New Roman" w:hAnsi="Times New Roman"/>
          <w:sz w:val="20"/>
          <w:u w:val="single"/>
        </w:rPr>
        <w:t>Section 4.6</w:t>
      </w:r>
      <w:r>
        <w:rPr>
          <w:rFonts w:ascii="Times New Roman" w:hAnsi="Times New Roman"/>
          <w:sz w:val="20"/>
        </w:rPr>
        <w:t xml:space="preserve"> below, the number of issued and outstanding Ordinary Shares is increased by a capitalization or share dividend of Ordinary Shares, or by a sub-division of Ordinary Shares or other similar event, then, on the effective date of such share capitalization, sub-division or similar event, the number of Ordinary Shares issuable on exercise of each Warrant shall be increased in proportion to such increase in the issued and outstanding Ordinary Shares. A rights offering made to all or substantially all holders of Ordinary Shares entitling holders to purchase Ordinary Shares at a price less than the Historical Fair Market Value (as defined below) shall be deemed a capitalization of a number of Ordinary Shares equal to the product of (i) the number of Ordinary Shares actually sold in such rights offering (or issuable under any other equity securities sold in such rights offering that are convertible into or exercisable for the Ordinary Shares) multiplied by (ii) one (1) minus the quotient of (x) the price per Ordinary Share paid in such rights offering divided by (y) the Historical Fair Market Value. For purposes of this </w:t>
      </w:r>
      <w:r>
        <w:rPr>
          <w:rFonts w:ascii="Times New Roman" w:hAnsi="Times New Roman"/>
          <w:sz w:val="20"/>
          <w:u w:val="single"/>
        </w:rPr>
        <w:t>subsection 4.1.1</w:t>
      </w:r>
      <w:r>
        <w:rPr>
          <w:rFonts w:ascii="Times New Roman" w:hAnsi="Times New Roman"/>
          <w:sz w:val="20"/>
        </w:rPr>
        <w:t>, (i) if the rights offering is for securities convertible into or exercisable for Ordinary Shares, in determining the price payable for Ordinary Shares, there shall be taken into account any consideration received for such rights, as well as any additional amount payable upon exercise or conversion and (ii) </w:t>
      </w:r>
      <w:r>
        <w:rPr>
          <w:rFonts w:ascii="Times New Roman" w:hAnsi="Times New Roman"/>
          <w:b/>
          <w:i/>
          <w:sz w:val="20"/>
        </w:rPr>
        <w:t>Historical Fair Market Value</w:t>
      </w:r>
      <w:r>
        <w:rPr>
          <w:rFonts w:ascii="Times New Roman" w:hAnsi="Times New Roman"/>
          <w:sz w:val="20"/>
        </w:rPr>
        <w:t xml:space="preserve"> means the volume weighted average price of the Ordinary Shares during the ten (10) trading day period ending on the trading day prior to the first date on which the Ordinary Shares trade on the applicable exchange or in the applicable market, regular way, without the right to receive such rights. No Ordinary Shares shall be issued at less than their par value. </w:t>
      </w:r>
    </w:p>
    <w:p>
      <w:pPr>
        <w:pStyle w:val="TextBody"/>
        <w:spacing w:before="240" w:after="0"/>
        <w:jc w:val="left"/>
        <w:rPr>
          <w:rFonts w:ascii="Times New Roman" w:hAnsi="Times New Roman"/>
          <w:sz w:val="20"/>
        </w:rPr>
      </w:pPr>
      <w:r>
        <w:rPr>
          <w:rFonts w:ascii="Times New Roman" w:hAnsi="Times New Roman"/>
          <w:sz w:val="20"/>
        </w:rPr>
        <w:t xml:space="preserve">4.1.2. </w:t>
      </w:r>
      <w:r>
        <w:rPr>
          <w:rFonts w:ascii="Times New Roman" w:hAnsi="Times New Roman"/>
          <w:sz w:val="20"/>
          <w:u w:val="single"/>
        </w:rPr>
        <w:t>Extraordinary Dividends</w:t>
      </w:r>
      <w:r>
        <w:rPr>
          <w:rFonts w:ascii="Times New Roman" w:hAnsi="Times New Roman"/>
          <w:sz w:val="20"/>
        </w:rPr>
        <w:t>. If the Company, at any time while the Warrants are outstanding and unexpired, pays to all or substantially all of the holders of the Ordinary Shares a dividend or make a distribution in cash, securities or other assets on account of such Ordinary Shares (or other shares into which the Warrants are convertible), other than (a) as described in</w:t>
      </w:r>
      <w:r>
        <w:rPr>
          <w:rFonts w:ascii="Times New Roman" w:hAnsi="Times New Roman"/>
          <w:sz w:val="20"/>
          <w:u w:val="single"/>
        </w:rPr>
        <w:t xml:space="preserve"> subsection 4.1.1</w:t>
      </w:r>
      <w:r>
        <w:rPr>
          <w:rFonts w:ascii="Times New Roman" w:hAnsi="Times New Roman"/>
          <w:sz w:val="20"/>
        </w:rPr>
        <w:t xml:space="preserve"> above, (b) Ordinary Cash Dividends (as defined below), (c) to satisfy the redemption rights of the holders of the Ordinary Shares in connection with a proposed initial Business Combination, (d) to satisfy the redemption rights of the holders of the Ordinary Shares in connection with a shareholder vote to amend the Companys amended and restated memorandum and articles of association (i) to modify the substance or timing of the Companys obligation to provide holders of Ordinary Shares the right to have their shares redeemed in connection with the Companys initial Business Combination or to redeem 100% of the Companys public shares if it does not complete its initial Business Combination within the time period required by the Companys Amended and Restated Memorandum and Articles of Association, as amended from time to time, or (ii) with respect to any other provision relating to the rights of holders of Ordinary Shares, (e) as a result of the repurchase of Ordinary Shares by the Company if a proposed initial Business Combination is presented to the shareholders of the Company for approval or (f) in connection with the redemption of public shares upon the failure of the Company to complete its initial Business Combination and any subsequent distribution of its assets upon its liquidation (any such non-excluded event being referred to herein as an </w:t>
      </w:r>
      <w:r>
        <w:rPr>
          <w:rFonts w:ascii="Times New Roman" w:hAnsi="Times New Roman"/>
          <w:b/>
          <w:i/>
          <w:sz w:val="20"/>
        </w:rPr>
        <w:t>Extraordinary Dividend</w:t>
      </w:r>
      <w:r>
        <w:rPr>
          <w:rFonts w:ascii="Times New Roman" w:hAnsi="Times New Roman"/>
          <w:sz w:val="20"/>
        </w:rPr>
        <w:t>), then the Warrant Price shall be decreased, effective immediately after the effective date of such Extraordinary Dividend, by the amount of cash and/or the fair market value (as determined by the Companys board of directors (the </w:t>
      </w:r>
      <w:r>
        <w:rPr>
          <w:rFonts w:ascii="Times New Roman" w:hAnsi="Times New Roman"/>
          <w:b/>
          <w:i/>
          <w:sz w:val="20"/>
        </w:rPr>
        <w:t>Board</w:t>
      </w:r>
      <w:r>
        <w:rPr>
          <w:rFonts w:ascii="Times New Roman" w:hAnsi="Times New Roman"/>
          <w:sz w:val="20"/>
        </w:rPr>
        <w:t xml:space="preserve">), in good faith) of any securities or other assets paid on each Ordinary Share in respect of such Extraordinary Dividend. For purposes of this </w:t>
      </w:r>
      <w:r>
        <w:rPr>
          <w:rFonts w:ascii="Times New Roman" w:hAnsi="Times New Roman"/>
          <w:sz w:val="20"/>
          <w:u w:val="single"/>
        </w:rPr>
        <w:t>subsection 4.1.2</w:t>
      </w:r>
      <w:r>
        <w:rPr>
          <w:rFonts w:ascii="Times New Roman" w:hAnsi="Times New Roman"/>
          <w:sz w:val="20"/>
        </w:rPr>
        <w:t>, </w:t>
      </w:r>
      <w:r>
        <w:rPr>
          <w:rFonts w:ascii="Times New Roman" w:hAnsi="Times New Roman"/>
          <w:b/>
          <w:i/>
          <w:sz w:val="20"/>
        </w:rPr>
        <w:t>Ordinary Cash Dividends</w:t>
      </w:r>
      <w:r>
        <w:rPr>
          <w:rFonts w:ascii="Times New Roman" w:hAnsi="Times New Roman"/>
          <w:sz w:val="20"/>
        </w:rPr>
        <w:t xml:space="preserve"> means any cash dividend or cash distribution which, when combined on a per share basis, with the per share amounts of all other cash dividends and cash distributions paid on the Ordinary Shares during the 365-day period ending on the date of declaration of such dividend or distribution to the extent it does not exceed $0.50 (which amount shall be adjusted to appropriately reflect any of the events referred to in other subsections of this </w:t>
      </w:r>
      <w:r>
        <w:rPr>
          <w:rFonts w:ascii="Times New Roman" w:hAnsi="Times New Roman"/>
          <w:sz w:val="20"/>
          <w:u w:val="single"/>
        </w:rPr>
        <w:t>Section 4</w:t>
      </w:r>
      <w:r>
        <w:rPr>
          <w:rFonts w:ascii="Times New Roman" w:hAnsi="Times New Roman"/>
          <w:sz w:val="20"/>
        </w:rPr>
        <w:t xml:space="preserve"> and excluding cash dividends or cash distributions that resulted in an adjustment to the Warrant Price or to the number of Ordinary Shares issuable on exercise of each Warrant).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4.2. </w:t>
      </w:r>
      <w:r>
        <w:rPr>
          <w:rFonts w:ascii="Times New Roman" w:hAnsi="Times New Roman"/>
          <w:sz w:val="20"/>
          <w:u w:val="single"/>
        </w:rPr>
        <w:t>Aggregation of Shares</w:t>
      </w:r>
      <w:r>
        <w:rPr>
          <w:rFonts w:ascii="Times New Roman" w:hAnsi="Times New Roman"/>
          <w:sz w:val="20"/>
        </w:rPr>
        <w:t xml:space="preserve">. If after the date hereof, and subject to the provisions of </w:t>
      </w:r>
      <w:r>
        <w:rPr>
          <w:rFonts w:ascii="Times New Roman" w:hAnsi="Times New Roman"/>
          <w:sz w:val="20"/>
          <w:u w:val="single"/>
        </w:rPr>
        <w:t>Section 4.6</w:t>
      </w:r>
      <w:r>
        <w:rPr>
          <w:rFonts w:ascii="Times New Roman" w:hAnsi="Times New Roman"/>
          <w:sz w:val="20"/>
        </w:rPr>
        <w:t xml:space="preserve"> hereof, the number of issued and outstanding Ordinary Shares is decreased by a consolidation, combination, or reclassification of Ordinary Shares or other similar event, then, on the effective date of such consolidation, combination, reclassification or similar event, the number of Ordinary Shares issuable on exercise of each Warrant shall be decreased in proportion to such decrease in issued and outstanding Ordinary Shares. </w:t>
      </w:r>
    </w:p>
    <w:p>
      <w:pPr>
        <w:pStyle w:val="TextBody"/>
        <w:spacing w:before="240" w:after="0"/>
        <w:jc w:val="left"/>
        <w:rPr>
          <w:rFonts w:ascii="Times New Roman" w:hAnsi="Times New Roman"/>
          <w:sz w:val="20"/>
        </w:rPr>
      </w:pPr>
      <w:r>
        <w:rPr>
          <w:rFonts w:ascii="Times New Roman" w:hAnsi="Times New Roman"/>
          <w:sz w:val="20"/>
        </w:rPr>
        <w:t xml:space="preserve">4.3. </w:t>
      </w:r>
      <w:r>
        <w:rPr>
          <w:rFonts w:ascii="Times New Roman" w:hAnsi="Times New Roman"/>
          <w:sz w:val="20"/>
          <w:u w:val="single"/>
        </w:rPr>
        <w:t>Adjustments in Exercise Price</w:t>
      </w:r>
      <w:r>
        <w:rPr>
          <w:rFonts w:ascii="Times New Roman" w:hAnsi="Times New Roman"/>
          <w:sz w:val="20"/>
        </w:rPr>
        <w:t>. Whenever the number of Ordinary Shares purchasable upon the exercise of the Warrants is adjusted, as provided in</w:t>
      </w:r>
      <w:r>
        <w:rPr>
          <w:rFonts w:ascii="Times New Roman" w:hAnsi="Times New Roman"/>
          <w:sz w:val="20"/>
          <w:u w:val="single"/>
        </w:rPr>
        <w:t xml:space="preserve"> subsection 4.1.1</w:t>
      </w:r>
      <w:r>
        <w:rPr>
          <w:rFonts w:ascii="Times New Roman" w:hAnsi="Times New Roman"/>
          <w:sz w:val="20"/>
        </w:rPr>
        <w:t xml:space="preserve"> or </w:t>
      </w:r>
      <w:r>
        <w:rPr>
          <w:rFonts w:ascii="Times New Roman" w:hAnsi="Times New Roman"/>
          <w:sz w:val="20"/>
          <w:u w:val="single"/>
        </w:rPr>
        <w:t>Section 4.2</w:t>
      </w:r>
      <w:r>
        <w:rPr>
          <w:rFonts w:ascii="Times New Roman" w:hAnsi="Times New Roman"/>
          <w:sz w:val="20"/>
        </w:rPr>
        <w:t xml:space="preserve"> above, the Warrant Price shall be adjusted (to the nearest cent) by multiplying such Warrant Price immediately prior to such adjustment by a fraction (x) the numerator of which shall be the number of Ordinary Shares purchasable upon the exercise of the Warrants immediately prior to such adjustment, and (y) the denominator of which shall be the number of Ordinary Shares so purchasable immediately thereafter. </w:t>
      </w:r>
    </w:p>
    <w:p>
      <w:pPr>
        <w:pStyle w:val="TextBody"/>
        <w:spacing w:before="240" w:after="0"/>
        <w:jc w:val="left"/>
        <w:rPr>
          <w:rFonts w:ascii="Times New Roman" w:hAnsi="Times New Roman"/>
          <w:sz w:val="20"/>
        </w:rPr>
      </w:pPr>
      <w:r>
        <w:rPr>
          <w:rFonts w:ascii="Times New Roman" w:hAnsi="Times New Roman"/>
          <w:sz w:val="20"/>
        </w:rPr>
        <w:t xml:space="preserve">4.4. </w:t>
      </w:r>
      <w:r>
        <w:rPr>
          <w:rFonts w:ascii="Times New Roman" w:hAnsi="Times New Roman"/>
          <w:sz w:val="20"/>
          <w:u w:val="single"/>
        </w:rPr>
        <w:t>Raising of the Capital in Connection with the Initial Business Combination</w:t>
      </w:r>
      <w:r>
        <w:rPr>
          <w:rFonts w:ascii="Times New Roman" w:hAnsi="Times New Roman"/>
          <w:sz w:val="20"/>
        </w:rPr>
        <w:t>. If (x) the Company issues additional Ordinary Shares or equity-linked securities for capital raising purposes in connection with the closing of its initial Business Combination at an issue price or effective issue price of less than $9.20 per Ordinary Share (with such issue price or effective issue price to be determined in good faith by the Board and, in the case of any such issuance to the Sponsor or its affiliates, without taking into account any Class B ordinary shares, par value $0.0001 per share, of the Company held by the Sponsor or such affiliates, as applicable, prior to such issuance) (the </w:t>
      </w:r>
      <w:r>
        <w:rPr>
          <w:rFonts w:ascii="Times New Roman" w:hAnsi="Times New Roman"/>
          <w:b/>
          <w:i/>
          <w:sz w:val="20"/>
        </w:rPr>
        <w:t>Newly Issued Price</w:t>
      </w:r>
      <w:r>
        <w:rPr>
          <w:rFonts w:ascii="Times New Roman" w:hAnsi="Times New Roman"/>
          <w:sz w:val="20"/>
        </w:rPr>
        <w:t>), (y) the aggregate gross proceeds from such issuances represent more than 60% of the total equity proceeds, and interest thereon, available for the funding of the Companys initial Business Combination on the date of the completion of the Companys initial Business Combination (net of redemptions), and (z) the volume-weighted average trading price of Ordinary Shares during the twenty (20) trading day period starting on the trading day prior to the day on which the Company consummates its initial Business Combination (such price, the </w:t>
      </w:r>
      <w:r>
        <w:rPr>
          <w:rFonts w:ascii="Times New Roman" w:hAnsi="Times New Roman"/>
          <w:b/>
          <w:i/>
          <w:sz w:val="20"/>
        </w:rPr>
        <w:t>Market Value</w:t>
      </w:r>
      <w:r>
        <w:rPr>
          <w:rFonts w:ascii="Times New Roman" w:hAnsi="Times New Roman"/>
          <w:sz w:val="20"/>
        </w:rPr>
        <w:t xml:space="preserve">) is below $9.20 per share, the Warrant Price shall be adjusted (to the nearest cent) to be equal to 115% of the higher of the Market Value and the Newly Issued Price, the $18.00 per share redemption trigger price described in </w:t>
      </w:r>
      <w:r>
        <w:rPr>
          <w:rFonts w:ascii="Times New Roman" w:hAnsi="Times New Roman"/>
          <w:sz w:val="20"/>
          <w:u w:val="single"/>
        </w:rPr>
        <w:t>Section 6.1</w:t>
      </w:r>
      <w:r>
        <w:rPr>
          <w:rFonts w:ascii="Times New Roman" w:hAnsi="Times New Roman"/>
          <w:sz w:val="20"/>
        </w:rPr>
        <w:t xml:space="preserve"> and </w:t>
      </w:r>
      <w:r>
        <w:rPr>
          <w:rFonts w:ascii="Times New Roman" w:hAnsi="Times New Roman"/>
          <w:sz w:val="20"/>
          <w:u w:val="single"/>
        </w:rPr>
        <w:t>Section 6.2</w:t>
      </w:r>
      <w:r>
        <w:rPr>
          <w:rFonts w:ascii="Times New Roman" w:hAnsi="Times New Roman"/>
          <w:sz w:val="20"/>
        </w:rPr>
        <w:t xml:space="preserve"> shall be adjusted (to the nearest cent) to be equal to 180% of the higher of the Market Value and the Newly Issued Price and the $10.00 per share redemption trigger price described in Section 6.2 shall be adjusted (to the nearest cent) to be equal to the higher of the Market Value and the Newly Issued Price. </w:t>
      </w:r>
    </w:p>
    <w:p>
      <w:pPr>
        <w:pStyle w:val="TextBody"/>
        <w:spacing w:before="240" w:after="0"/>
        <w:jc w:val="left"/>
        <w:rPr>
          <w:rFonts w:ascii="Times New Roman" w:hAnsi="Times New Roman"/>
          <w:sz w:val="20"/>
        </w:rPr>
      </w:pPr>
      <w:r>
        <w:rPr>
          <w:rFonts w:ascii="Times New Roman" w:hAnsi="Times New Roman"/>
          <w:sz w:val="20"/>
        </w:rPr>
        <w:t>4.5.</w:t>
      </w:r>
      <w:r>
        <w:rPr>
          <w:rFonts w:ascii="Times New Roman" w:hAnsi="Times New Roman"/>
          <w:sz w:val="20"/>
          <w:u w:val="single"/>
        </w:rPr>
        <w:t xml:space="preserve"> Replacement of Securities upon Reorganization, etc</w:t>
      </w:r>
      <w:r>
        <w:rPr>
          <w:rFonts w:ascii="Times New Roman" w:hAnsi="Times New Roman"/>
          <w:sz w:val="20"/>
        </w:rPr>
        <w:t xml:space="preserve">. In case of any reclassification or reorganization of the issued and outstanding Ordinary Shares (other than a change under </w:t>
      </w:r>
      <w:r>
        <w:rPr>
          <w:rFonts w:ascii="Times New Roman" w:hAnsi="Times New Roman"/>
          <w:sz w:val="20"/>
          <w:u w:val="single"/>
        </w:rPr>
        <w:t>Section 4.1</w:t>
      </w:r>
      <w:r>
        <w:rPr>
          <w:rFonts w:ascii="Times New Roman" w:hAnsi="Times New Roman"/>
          <w:sz w:val="20"/>
        </w:rPr>
        <w:t xml:space="preserve"> or </w:t>
      </w:r>
      <w:r>
        <w:rPr>
          <w:rFonts w:ascii="Times New Roman" w:hAnsi="Times New Roman"/>
          <w:sz w:val="20"/>
          <w:u w:val="single"/>
        </w:rPr>
        <w:t>Section 4.2</w:t>
      </w:r>
      <w:r>
        <w:rPr>
          <w:rFonts w:ascii="Times New Roman" w:hAnsi="Times New Roman"/>
          <w:sz w:val="20"/>
        </w:rPr>
        <w:t xml:space="preserve"> hereof or that solely affects the par value of such Ordinary Shares), or in the case of any merger or consolidation of the Company with or into another corporation (other than a consolidation or merger in which the Company is the continuing corporation and that does not result in any reclassification or reorganization of the issued and outstanding Ordinary Shares), or in the case of any sale or conveyance to another corporation or entity of the assets or other property of the Company as an entirety or substantially as an entirety in connection with which the Company is dissolved, the holders of the Warrants shall thereafter have the right to purchase and receive, upon the basis and upon the terms and conditions specified in the Warrants and in lieu of the Ordinary Shares of the Company immediately theretofore purchasable and receivable upon the exercise of the rights represented thereby, the kind and amount of shares or stock or other securities or property (including cash) receivable upon such reclassification, reorganization, merger or consolidation, or upon a dissolution following any such sale or transfer, that the holder of the Warrants would have received if such holder had exercised his, her or its Warrant(s) immediately prior to such event (the </w:t>
      </w:r>
      <w:r>
        <w:rPr>
          <w:rFonts w:ascii="Times New Roman" w:hAnsi="Times New Roman"/>
          <w:b/>
          <w:i/>
          <w:sz w:val="20"/>
        </w:rPr>
        <w:t>Alternative Issuance</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 if the holders of the Ordinary Shares were entitled to exercise a right of election as to the kind or amount of securities, cash or other assets receivable upon such consolidation or merger, then the kind and amount of securities, cash or other assets constituting the Alternative Issuance for which each Warrant shall become exercisable shall be deemed to be the weighted average of the kind and amount received per share by the holders of the Ordinary Shares in such consolidation or merger that affirmatively make such election, and (ii) if a tender, exchange or redemption offer shall have been made to and accepted by the holders of the Ordinary Shares (other than a tender, exchange or redemption offer made by the Company in connection with redemption rights held by shareholders of the Company as provided for in the Companys amended and restated memorandum and articles of association or as a result of the repurchase of Ordinary Shares by the Company if a proposed initial Business Combination is presented to the shareholders of the Company for approval) under circumstances in which, upon completion of such tender or exchange offer, the maker thereof, together with members of any group (within the meaning of Rule 13d-5(b)(1) under the Exchange Act) of which such maker is a part, and together with any affiliate or associate of such maker (within the meaning of Rule 12b-2 under the Exchange Act) and any members of any such group of which any such affiliate or associate is a part, own beneficially (within the meaning of Rule 13d-3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under the Exchange Act) more than 50% of the issued and outstanding Ordinary Shares, the holder of a Warrant shall be entitled to receive as the Alternative Issuance, the highest amount of cash, securities or other property to which such holder would actually have been entitled as a shareholder if such Warrant holder had exercised the Warrant prior to the expiration of such tender or exchange offer, accepted such offer and all of the Ordinary Shares held by such holder had been purchased pursuant to such tender or exchange offer, subject to adjustments (from and after the consummation of such tender or exchange offer) as nearly equivalent as possible to the adjustments provided for in this </w:t>
      </w:r>
      <w:r>
        <w:rPr>
          <w:rFonts w:ascii="Times New Roman" w:hAnsi="Times New Roman"/>
          <w:sz w:val="20"/>
          <w:u w:val="single"/>
        </w:rPr>
        <w:t>Section 4</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if less than 70% of the consideration receivable by the holders of the Ordinary Shares in the applicable event is payable in the form of shares in the successor entity that is listed for trading on a national securities exchange or is quoted in an established over-the-counter market, or is to be so listed for trading or quoted immediately following such event, and if the Registered Holder properly exercises the Warrant within thirty (30) days following the public disclosure of the consummation of such applicable event by the Company pursuant to a Current Report on Form 8-K filed with the Commission, the Warrant Price shall be reduced by an amount (in dollars) equal to the difference of (i) the Warrant Price in effect prior to such reduction minus (ii) (A) the Per Share Consideration (as defined below) (but in no event less than zero) minus (B) the Black-Scholes Warrant Value (as defined below). The </w:t>
      </w:r>
      <w:r>
        <w:rPr>
          <w:rFonts w:ascii="Times New Roman" w:hAnsi="Times New Roman"/>
          <w:b/>
          <w:i/>
          <w:sz w:val="20"/>
        </w:rPr>
        <w:t>Black-Scholes Warrant Value</w:t>
      </w:r>
      <w:r>
        <w:rPr>
          <w:rFonts w:ascii="Times New Roman" w:hAnsi="Times New Roman"/>
          <w:sz w:val="20"/>
        </w:rPr>
        <w:t> means the value of a Warrant immediately prior to the consummation of the applicable event based on the Black-Scholes Warrant Model for a Capped American Call on Bloomberg Financial Markets (assuming zero dividends) (</w:t>
      </w:r>
      <w:r>
        <w:rPr>
          <w:rFonts w:ascii="Times New Roman" w:hAnsi="Times New Roman"/>
          <w:b/>
          <w:i/>
          <w:sz w:val="20"/>
        </w:rPr>
        <w:t>Bloomberg</w:t>
      </w:r>
      <w:r>
        <w:rPr>
          <w:rFonts w:ascii="Times New Roman" w:hAnsi="Times New Roman"/>
          <w:sz w:val="20"/>
        </w:rPr>
        <w:t>). For purposes of calculating such amount, (i) </w:t>
      </w:r>
      <w:r>
        <w:rPr>
          <w:rFonts w:ascii="Times New Roman" w:hAnsi="Times New Roman"/>
          <w:sz w:val="20"/>
          <w:u w:val="single"/>
        </w:rPr>
        <w:t>Section 6</w:t>
      </w:r>
      <w:r>
        <w:rPr>
          <w:rFonts w:ascii="Times New Roman" w:hAnsi="Times New Roman"/>
          <w:sz w:val="20"/>
        </w:rPr>
        <w:t xml:space="preserve"> of this Agreement shall be taken into account, (ii) the price of each Ordinary Share shall be the volume weighted average price of the Ordinary Shares during the ten (10) trading day period ending on the trading day prior to the effective date of the applicable event, (iii) the assumed volatility shall be the 90 day volatility obtained from the HVT function on Bloomberg determined as of the trading day immediately prior to the day of the announcement of the applicable event and (iv) the assumed risk-free interest rate shall correspond to the U.S. Treasury rate for a period equal to the remaining term of the Warrant. </w:t>
      </w:r>
      <w:r>
        <w:rPr>
          <w:rFonts w:ascii="Times New Roman" w:hAnsi="Times New Roman"/>
          <w:b/>
          <w:i/>
          <w:sz w:val="20"/>
        </w:rPr>
        <w:t>Per Share Consideration</w:t>
      </w:r>
      <w:r>
        <w:rPr>
          <w:rFonts w:ascii="Times New Roman" w:hAnsi="Times New Roman"/>
          <w:sz w:val="20"/>
        </w:rPr>
        <w:t xml:space="preserve"> means (i) if the consideration paid to holders of the Ordinary Shares consists exclusively of cash, the amount of such cash per Ordinary Share, and (ii) in all other cases, the volume weighted average price of the Ordinary Shares during the ten (10) trading day period ending on the trading day prior to the effective date of the applicable event. If any reclassification or reorganization also results in a change in Ordinary Shares covered by </w:t>
      </w:r>
      <w:r>
        <w:rPr>
          <w:rFonts w:ascii="Times New Roman" w:hAnsi="Times New Roman"/>
          <w:sz w:val="20"/>
          <w:u w:val="single"/>
        </w:rPr>
        <w:t>subsection 4.1.1</w:t>
      </w:r>
      <w:r>
        <w:rPr>
          <w:rFonts w:ascii="Times New Roman" w:hAnsi="Times New Roman"/>
          <w:sz w:val="20"/>
        </w:rPr>
        <w:t xml:space="preserve">, then such adjustment shall be made pursuant to </w:t>
      </w:r>
      <w:r>
        <w:rPr>
          <w:rFonts w:ascii="Times New Roman" w:hAnsi="Times New Roman"/>
          <w:sz w:val="20"/>
          <w:u w:val="single"/>
        </w:rPr>
        <w:t>subsection 4.1.1</w:t>
      </w:r>
      <w:r>
        <w:rPr>
          <w:rFonts w:ascii="Times New Roman" w:hAnsi="Times New Roman"/>
          <w:sz w:val="20"/>
        </w:rPr>
        <w:t xml:space="preserve"> or </w:t>
      </w:r>
      <w:r>
        <w:rPr>
          <w:rFonts w:ascii="Times New Roman" w:hAnsi="Times New Roman"/>
          <w:sz w:val="20"/>
          <w:u w:val="single"/>
        </w:rPr>
        <w:t>Sections 4.2</w:t>
      </w:r>
      <w:r>
        <w:rPr>
          <w:rFonts w:ascii="Times New Roman" w:hAnsi="Times New Roman"/>
          <w:sz w:val="20"/>
        </w:rPr>
        <w:t xml:space="preserve">, </w:t>
      </w:r>
      <w:r>
        <w:rPr>
          <w:rFonts w:ascii="Times New Roman" w:hAnsi="Times New Roman"/>
          <w:sz w:val="20"/>
          <w:u w:val="single"/>
        </w:rPr>
        <w:t>4.3</w:t>
      </w:r>
      <w:r>
        <w:rPr>
          <w:rFonts w:ascii="Times New Roman" w:hAnsi="Times New Roman"/>
          <w:sz w:val="20"/>
        </w:rPr>
        <w:t xml:space="preserve"> and this </w:t>
      </w:r>
      <w:r>
        <w:rPr>
          <w:rFonts w:ascii="Times New Roman" w:hAnsi="Times New Roman"/>
          <w:sz w:val="20"/>
          <w:u w:val="single"/>
        </w:rPr>
        <w:t>Section 4.4</w:t>
      </w:r>
      <w:r>
        <w:rPr>
          <w:rFonts w:ascii="Times New Roman" w:hAnsi="Times New Roman"/>
          <w:sz w:val="20"/>
        </w:rPr>
        <w:t xml:space="preserve">. The provisions of this </w:t>
      </w:r>
      <w:r>
        <w:rPr>
          <w:rFonts w:ascii="Times New Roman" w:hAnsi="Times New Roman"/>
          <w:sz w:val="20"/>
          <w:u w:val="single"/>
        </w:rPr>
        <w:t>Section 4.4</w:t>
      </w:r>
      <w:r>
        <w:rPr>
          <w:rFonts w:ascii="Times New Roman" w:hAnsi="Times New Roman"/>
          <w:sz w:val="20"/>
        </w:rPr>
        <w:t xml:space="preserve"> shall similarly apply to successive reclassifications, reorganizations, mergers or consolidations, sales or other transfers. In no event shall the Warrant Price be reduced to less than the par value per share issuable upon exercise of such Warrant. </w:t>
      </w:r>
    </w:p>
    <w:p>
      <w:pPr>
        <w:pStyle w:val="TextBody"/>
        <w:spacing w:before="240" w:after="0"/>
        <w:jc w:val="left"/>
        <w:rPr>
          <w:rFonts w:ascii="Times New Roman" w:hAnsi="Times New Roman"/>
          <w:sz w:val="20"/>
        </w:rPr>
      </w:pPr>
      <w:r>
        <w:rPr>
          <w:rFonts w:ascii="Times New Roman" w:hAnsi="Times New Roman"/>
          <w:sz w:val="20"/>
        </w:rPr>
        <w:t xml:space="preserve">4.6. </w:t>
      </w:r>
      <w:r>
        <w:rPr>
          <w:rFonts w:ascii="Times New Roman" w:hAnsi="Times New Roman"/>
          <w:sz w:val="20"/>
          <w:u w:val="single"/>
        </w:rPr>
        <w:t>Notices of Changes in Warrant</w:t>
      </w:r>
      <w:r>
        <w:rPr>
          <w:rFonts w:ascii="Times New Roman" w:hAnsi="Times New Roman"/>
          <w:sz w:val="20"/>
        </w:rPr>
        <w:t xml:space="preserve">. Upon every adjustment of the Warrant Price or the number of shares issuable upon exercise of a Warrant, the Company shall give written notice thereof to the Warrant Agent, which notice shall state the Warrant Price resulting from such adjustment and the increase or decrease, if any, in the number of shares purchasable at such price upon the exercise of a Warrant, setting forth in reasonable detail the method of calculation and the facts upon which such calculation is based. Upon the occurrence of any event specified in </w:t>
      </w:r>
      <w:r>
        <w:rPr>
          <w:rFonts w:ascii="Times New Roman" w:hAnsi="Times New Roman"/>
          <w:sz w:val="20"/>
          <w:u w:val="single"/>
        </w:rPr>
        <w:t>Sections 4.1</w:t>
      </w:r>
      <w:r>
        <w:rPr>
          <w:rFonts w:ascii="Times New Roman" w:hAnsi="Times New Roman"/>
          <w:sz w:val="20"/>
        </w:rPr>
        <w:t xml:space="preserve">, </w:t>
      </w:r>
      <w:r>
        <w:rPr>
          <w:rFonts w:ascii="Times New Roman" w:hAnsi="Times New Roman"/>
          <w:sz w:val="20"/>
          <w:u w:val="single"/>
        </w:rPr>
        <w:t>4.2</w:t>
      </w:r>
      <w:r>
        <w:rPr>
          <w:rFonts w:ascii="Times New Roman" w:hAnsi="Times New Roman"/>
          <w:sz w:val="20"/>
        </w:rPr>
        <w:t xml:space="preserve">, </w:t>
      </w:r>
      <w:r>
        <w:rPr>
          <w:rFonts w:ascii="Times New Roman" w:hAnsi="Times New Roman"/>
          <w:sz w:val="20"/>
          <w:u w:val="single"/>
        </w:rPr>
        <w:t>4.3</w:t>
      </w:r>
      <w:r>
        <w:rPr>
          <w:rFonts w:ascii="Times New Roman" w:hAnsi="Times New Roman"/>
          <w:sz w:val="20"/>
        </w:rPr>
        <w:t>,</w:t>
      </w:r>
      <w:r>
        <w:rPr>
          <w:rFonts w:ascii="Times New Roman" w:hAnsi="Times New Roman"/>
          <w:sz w:val="20"/>
          <w:u w:val="single"/>
        </w:rPr>
        <w:t xml:space="preserve"> 4.4</w:t>
      </w:r>
      <w:r>
        <w:rPr>
          <w:rFonts w:ascii="Times New Roman" w:hAnsi="Times New Roman"/>
          <w:sz w:val="20"/>
        </w:rPr>
        <w:t xml:space="preserve"> or </w:t>
      </w:r>
      <w:r>
        <w:rPr>
          <w:rFonts w:ascii="Times New Roman" w:hAnsi="Times New Roman"/>
          <w:sz w:val="20"/>
          <w:u w:val="single"/>
        </w:rPr>
        <w:t>4.5</w:t>
      </w:r>
      <w:r>
        <w:rPr>
          <w:rFonts w:ascii="Times New Roman" w:hAnsi="Times New Roman"/>
          <w:sz w:val="20"/>
        </w:rPr>
        <w:t xml:space="preserve">, the Company shall give written notice of the occurrence of such event to each holder of a Warrant, at the last address set forth for such holder in the Warrant Register, of the record date or the effective date of the event. Failure to give such notice, or any defect therein, shall not affect the legality or validity of such event. </w:t>
      </w:r>
    </w:p>
    <w:p>
      <w:pPr>
        <w:pStyle w:val="TextBody"/>
        <w:spacing w:before="240" w:after="0"/>
        <w:jc w:val="left"/>
        <w:rPr>
          <w:rFonts w:ascii="Times New Roman" w:hAnsi="Times New Roman"/>
          <w:sz w:val="20"/>
        </w:rPr>
      </w:pPr>
      <w:r>
        <w:rPr>
          <w:rFonts w:ascii="Times New Roman" w:hAnsi="Times New Roman"/>
          <w:sz w:val="20"/>
        </w:rPr>
        <w:t xml:space="preserve">4.7. </w:t>
      </w:r>
      <w:r>
        <w:rPr>
          <w:rFonts w:ascii="Times New Roman" w:hAnsi="Times New Roman"/>
          <w:sz w:val="20"/>
          <w:u w:val="single"/>
        </w:rPr>
        <w:t>No Fractional Shares</w:t>
      </w:r>
      <w:r>
        <w:rPr>
          <w:rFonts w:ascii="Times New Roman" w:hAnsi="Times New Roman"/>
          <w:sz w:val="20"/>
        </w:rPr>
        <w:t xml:space="preserve">. Notwithstanding any provision contained in this Agreement to the contrary, the Company shall not issue fractional shares upon the exercise of Warrants. If, by reason of any adjustment made pursuant to this </w:t>
      </w:r>
      <w:r>
        <w:rPr>
          <w:rFonts w:ascii="Times New Roman" w:hAnsi="Times New Roman"/>
          <w:sz w:val="20"/>
          <w:u w:val="single"/>
        </w:rPr>
        <w:t>Section 4</w:t>
      </w:r>
      <w:r>
        <w:rPr>
          <w:rFonts w:ascii="Times New Roman" w:hAnsi="Times New Roman"/>
          <w:sz w:val="20"/>
        </w:rPr>
        <w:t xml:space="preserve">, the holder of any Warrant would be entitled, upon the exercise of such Warrant, to receive a fractional interest in a share, the Company shall, upon such exercise, round down to the nearest whole number the number of Ordinary Shares to be issued to such holder. </w:t>
      </w:r>
    </w:p>
    <w:p>
      <w:pPr>
        <w:pStyle w:val="TextBody"/>
        <w:spacing w:before="240" w:after="0"/>
        <w:jc w:val="left"/>
        <w:rPr>
          <w:rFonts w:ascii="Times New Roman" w:hAnsi="Times New Roman"/>
          <w:sz w:val="20"/>
        </w:rPr>
      </w:pPr>
      <w:r>
        <w:rPr>
          <w:rFonts w:ascii="Times New Roman" w:hAnsi="Times New Roman"/>
          <w:sz w:val="20"/>
        </w:rPr>
        <w:t xml:space="preserve">4.8. </w:t>
      </w:r>
      <w:r>
        <w:rPr>
          <w:rFonts w:ascii="Times New Roman" w:hAnsi="Times New Roman"/>
          <w:sz w:val="20"/>
          <w:u w:val="single"/>
        </w:rPr>
        <w:t>Form of Warrant</w:t>
      </w:r>
      <w:r>
        <w:rPr>
          <w:rFonts w:ascii="Times New Roman" w:hAnsi="Times New Roman"/>
          <w:sz w:val="20"/>
        </w:rPr>
        <w:t xml:space="preserve">. The form of Warrant need not be changed because of any adjustment pursuant to this </w:t>
      </w:r>
      <w:r>
        <w:rPr>
          <w:rFonts w:ascii="Times New Roman" w:hAnsi="Times New Roman"/>
          <w:sz w:val="20"/>
          <w:u w:val="single"/>
        </w:rPr>
        <w:t>Section 4</w:t>
      </w:r>
      <w:r>
        <w:rPr>
          <w:rFonts w:ascii="Times New Roman" w:hAnsi="Times New Roman"/>
          <w:sz w:val="20"/>
        </w:rPr>
        <w:t xml:space="preserve">, and Warrants issued after such adjustment may state the same Warrant Price and the same number of shares as is stated in the Warrants initially issued pursuant to this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Company may at any time in its sole discretion make any change in the form of Warrant that the Company may deem appropriate and that does not affect the substance thereof, and any Warrant thereafter issued or countersigned, whether in exchange or substitution for an outstanding Warrant or otherwise, may be in the form as so changed. </w:t>
      </w:r>
    </w:p>
    <w:p>
      <w:pPr>
        <w:pStyle w:val="TextBody"/>
        <w:spacing w:before="360" w:after="0"/>
        <w:jc w:val="left"/>
        <w:rPr>
          <w:rFonts w:ascii="Times New Roman" w:hAnsi="Times New Roman"/>
          <w:sz w:val="20"/>
        </w:rPr>
      </w:pPr>
      <w:r>
        <w:rPr>
          <w:rFonts w:ascii="Times New Roman" w:hAnsi="Times New Roman"/>
          <w:sz w:val="20"/>
        </w:rPr>
        <w:t>5.</w:t>
      </w:r>
      <w:r>
        <w:rPr>
          <w:rFonts w:ascii="Times New Roman" w:hAnsi="Times New Roman"/>
          <w:sz w:val="20"/>
          <w:u w:val="single"/>
        </w:rPr>
        <w:t xml:space="preserve"> Transfer and Exchange of Warrants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5.1. </w:t>
      </w:r>
      <w:r>
        <w:rPr>
          <w:rFonts w:ascii="Times New Roman" w:hAnsi="Times New Roman"/>
          <w:sz w:val="20"/>
          <w:u w:val="single"/>
        </w:rPr>
        <w:t>Registration of Transfer</w:t>
      </w:r>
      <w:r>
        <w:rPr>
          <w:rFonts w:ascii="Times New Roman" w:hAnsi="Times New Roman"/>
          <w:sz w:val="20"/>
        </w:rPr>
        <w:t xml:space="preserve">. The Warrant Agent shall register the transfer, from time to time, of any outstanding Warrant upon the Warrant Register, upon surrender of such Warrant for transfer, properly endorsed with signatures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properly guaranteed and accompanied by appropriate instructions for transfer. Upon any such transfer, a new Warrant representing an equal aggregate number of Warrants shall be issued and the old Warrant shall be cancelled by the Warrant Agent. In the case of certificated Warrants, the Warrants so cancelled shall be delivered by the Warrant Agent to the Company from time to time upon request. </w:t>
      </w:r>
    </w:p>
    <w:p>
      <w:pPr>
        <w:pStyle w:val="TextBody"/>
        <w:spacing w:before="240" w:after="0"/>
        <w:jc w:val="left"/>
        <w:rPr>
          <w:rFonts w:ascii="Times New Roman" w:hAnsi="Times New Roman"/>
          <w:sz w:val="20"/>
        </w:rPr>
      </w:pPr>
      <w:r>
        <w:rPr>
          <w:rFonts w:ascii="Times New Roman" w:hAnsi="Times New Roman"/>
          <w:sz w:val="20"/>
        </w:rPr>
        <w:t xml:space="preserve">5.2. </w:t>
      </w:r>
      <w:r>
        <w:rPr>
          <w:rFonts w:ascii="Times New Roman" w:hAnsi="Times New Roman"/>
          <w:sz w:val="20"/>
          <w:u w:val="single"/>
        </w:rPr>
        <w:t>Procedure for Surrender of Warrants</w:t>
      </w:r>
      <w:r>
        <w:rPr>
          <w:rFonts w:ascii="Times New Roman" w:hAnsi="Times New Roman"/>
          <w:sz w:val="20"/>
        </w:rPr>
        <w:t xml:space="preserve">. Warrants may be surrendered to the Warrant Agent, together with a written request for exchange or transfer, and thereupon the Warrant Agent shall issue in exchange therefor one or more new Warrants as requested by the Registered Holder of the Warrants so surrendered, representing an equal aggregate number of Warrants;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except as otherwise provided herein or with respect to any Book-Entry Warrant, each Book-Entry Warrant may be transferred only in whole and only to the Depositary, to another nominee of the Depositary, to a successor depository, or to a nominee of a successor depository;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the event that a Warrant surrendered for transfer bears a restrictive legend (as in the case of the Private Placement Warrants), the Warrant Agent shall not cancel such Warrant and issue new Warrants in exchange thereof until the Warrant Agent has received an opinion of counsel for the Company stating that such transfer may be made and indicating whether the new Warrants must also bear a restrictive legend. </w:t>
      </w:r>
    </w:p>
    <w:p>
      <w:pPr>
        <w:pStyle w:val="TextBody"/>
        <w:spacing w:before="240" w:after="0"/>
        <w:jc w:val="left"/>
        <w:rPr>
          <w:rFonts w:ascii="Times New Roman" w:hAnsi="Times New Roman"/>
          <w:sz w:val="20"/>
        </w:rPr>
      </w:pPr>
      <w:r>
        <w:rPr>
          <w:rFonts w:ascii="Times New Roman" w:hAnsi="Times New Roman"/>
          <w:sz w:val="20"/>
        </w:rPr>
        <w:t xml:space="preserve">5.3. </w:t>
      </w:r>
      <w:r>
        <w:rPr>
          <w:rFonts w:ascii="Times New Roman" w:hAnsi="Times New Roman"/>
          <w:sz w:val="20"/>
          <w:u w:val="single"/>
        </w:rPr>
        <w:t>Fractional Warrants</w:t>
      </w:r>
      <w:r>
        <w:rPr>
          <w:rFonts w:ascii="Times New Roman" w:hAnsi="Times New Roman"/>
          <w:sz w:val="20"/>
        </w:rPr>
        <w:t xml:space="preserve">. The Warrant Agent shall not be required to effect any registration of transfer or exchange which shall result in the issuance of a warrant certificate or book-entry position for a fraction of a warrant, except as part of the Units. </w:t>
      </w:r>
    </w:p>
    <w:p>
      <w:pPr>
        <w:pStyle w:val="TextBody"/>
        <w:spacing w:before="240" w:after="0"/>
        <w:jc w:val="left"/>
        <w:rPr>
          <w:rFonts w:ascii="Times New Roman" w:hAnsi="Times New Roman"/>
          <w:sz w:val="20"/>
        </w:rPr>
      </w:pPr>
      <w:r>
        <w:rPr>
          <w:rFonts w:ascii="Times New Roman" w:hAnsi="Times New Roman"/>
          <w:sz w:val="20"/>
        </w:rPr>
        <w:t xml:space="preserve">5.4. </w:t>
      </w:r>
      <w:r>
        <w:rPr>
          <w:rFonts w:ascii="Times New Roman" w:hAnsi="Times New Roman"/>
          <w:sz w:val="20"/>
          <w:u w:val="single"/>
        </w:rPr>
        <w:t>Service Charges</w:t>
      </w:r>
      <w:r>
        <w:rPr>
          <w:rFonts w:ascii="Times New Roman" w:hAnsi="Times New Roman"/>
          <w:sz w:val="20"/>
        </w:rPr>
        <w:t xml:space="preserve">. No service charge shall be made for any exchange or registration of transfer of Warrants. </w:t>
      </w:r>
    </w:p>
    <w:p>
      <w:pPr>
        <w:pStyle w:val="TextBody"/>
        <w:spacing w:before="240" w:after="0"/>
        <w:jc w:val="left"/>
        <w:rPr>
          <w:rFonts w:ascii="Times New Roman" w:hAnsi="Times New Roman"/>
          <w:sz w:val="20"/>
        </w:rPr>
      </w:pPr>
      <w:r>
        <w:rPr>
          <w:rFonts w:ascii="Times New Roman" w:hAnsi="Times New Roman"/>
          <w:sz w:val="20"/>
        </w:rPr>
        <w:t xml:space="preserve">5.5. </w:t>
      </w:r>
      <w:r>
        <w:rPr>
          <w:rFonts w:ascii="Times New Roman" w:hAnsi="Times New Roman"/>
          <w:sz w:val="20"/>
          <w:u w:val="single"/>
        </w:rPr>
        <w:t>Warrant Execution and Countersignature</w:t>
      </w:r>
      <w:r>
        <w:rPr>
          <w:rFonts w:ascii="Times New Roman" w:hAnsi="Times New Roman"/>
          <w:sz w:val="20"/>
        </w:rPr>
        <w:t xml:space="preserve">. The Warrant Agent is hereby authorized to countersign and to deliver, in accordance with the terms of this Agreement, the Warrants required to be issued pursuant to the provisions of this </w:t>
      </w:r>
      <w:r>
        <w:rPr>
          <w:rFonts w:ascii="Times New Roman" w:hAnsi="Times New Roman"/>
          <w:sz w:val="20"/>
          <w:u w:val="single"/>
        </w:rPr>
        <w:t>Section 5</w:t>
      </w:r>
      <w:r>
        <w:rPr>
          <w:rFonts w:ascii="Times New Roman" w:hAnsi="Times New Roman"/>
          <w:sz w:val="20"/>
        </w:rPr>
        <w:t xml:space="preserve">, and the Company, whenever required by the Warrant Agent, shall supply the Warrant Agent with Warrants duly executed on behalf of the Company for such purpose. </w:t>
      </w:r>
    </w:p>
    <w:p>
      <w:pPr>
        <w:pStyle w:val="TextBody"/>
        <w:spacing w:before="240" w:after="0"/>
        <w:jc w:val="left"/>
        <w:rPr>
          <w:rFonts w:ascii="Times New Roman" w:hAnsi="Times New Roman"/>
          <w:sz w:val="20"/>
        </w:rPr>
      </w:pPr>
      <w:r>
        <w:rPr>
          <w:rFonts w:ascii="Times New Roman" w:hAnsi="Times New Roman"/>
          <w:sz w:val="20"/>
        </w:rPr>
        <w:t xml:space="preserve">5.6. </w:t>
      </w:r>
      <w:r>
        <w:rPr>
          <w:rFonts w:ascii="Times New Roman" w:hAnsi="Times New Roman"/>
          <w:sz w:val="20"/>
          <w:u w:val="single"/>
        </w:rPr>
        <w:t>Transfer of Warrants</w:t>
      </w:r>
      <w:r>
        <w:rPr>
          <w:rFonts w:ascii="Times New Roman" w:hAnsi="Times New Roman"/>
          <w:sz w:val="20"/>
        </w:rPr>
        <w:t xml:space="preserve">. Prior to the Detachment Date, the Public Warrants may be transferred or exchanged only together with the Unit in which such Warrant is included, and only for the purpose of effecting, or in conjunction with, a transfer or exchange of such Unit. Furthermore, each transfer of a Unit on the register relating to such Units shall operate also to transfer the Warrants included in such Unit. Notwithstanding the foregoing, the provisions of this </w:t>
      </w:r>
      <w:r>
        <w:rPr>
          <w:rFonts w:ascii="Times New Roman" w:hAnsi="Times New Roman"/>
          <w:sz w:val="20"/>
          <w:u w:val="single"/>
        </w:rPr>
        <w:t>Section 5.6</w:t>
      </w:r>
      <w:r>
        <w:rPr>
          <w:rFonts w:ascii="Times New Roman" w:hAnsi="Times New Roman"/>
          <w:sz w:val="20"/>
        </w:rPr>
        <w:t xml:space="preserve"> shall have no effect on any transfer of Warrants on and after the Detachment Date. </w:t>
      </w:r>
    </w:p>
    <w:p>
      <w:pPr>
        <w:pStyle w:val="TextBody"/>
        <w:spacing w:before="36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Redemption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6.1. </w:t>
      </w:r>
      <w:r>
        <w:rPr>
          <w:rFonts w:ascii="Times New Roman" w:hAnsi="Times New Roman"/>
          <w:sz w:val="20"/>
          <w:u w:val="single"/>
        </w:rPr>
        <w:t>Redemption of Warrants for Cash</w:t>
      </w:r>
      <w:r>
        <w:rPr>
          <w:rFonts w:ascii="Times New Roman" w:hAnsi="Times New Roman"/>
          <w:sz w:val="20"/>
        </w:rPr>
        <w:t xml:space="preserve">. Subject to </w:t>
      </w:r>
      <w:r>
        <w:rPr>
          <w:rFonts w:ascii="Times New Roman" w:hAnsi="Times New Roman"/>
          <w:sz w:val="20"/>
          <w:u w:val="single"/>
        </w:rPr>
        <w:t>Section 6.5</w:t>
      </w:r>
      <w:r>
        <w:rPr>
          <w:rFonts w:ascii="Times New Roman" w:hAnsi="Times New Roman"/>
          <w:sz w:val="20"/>
        </w:rPr>
        <w:t xml:space="preserve"> hereof, not less than all of the outstanding Warrants may be redeemed, at the option of the Company, at any time during the Exercise Period, at the office of the Warrant Agent, upon notice to the Registered Holders of the Warrants, as described in </w:t>
      </w:r>
      <w:r>
        <w:rPr>
          <w:rFonts w:ascii="Times New Roman" w:hAnsi="Times New Roman"/>
          <w:sz w:val="20"/>
          <w:u w:val="single"/>
        </w:rPr>
        <w:t>Section 6.3</w:t>
      </w:r>
      <w:r>
        <w:rPr>
          <w:rFonts w:ascii="Times New Roman" w:hAnsi="Times New Roman"/>
          <w:sz w:val="20"/>
        </w:rPr>
        <w:t xml:space="preserve"> below, at a Redemption Price of $0.01 per Warrant, </w:t>
      </w:r>
      <w:r>
        <w:rPr>
          <w:rFonts w:ascii="Times New Roman" w:hAnsi="Times New Roman"/>
          <w:sz w:val="20"/>
          <w:u w:val="single"/>
        </w:rPr>
        <w:t>provided</w:t>
      </w:r>
      <w:r>
        <w:rPr>
          <w:rFonts w:ascii="Times New Roman" w:hAnsi="Times New Roman"/>
          <w:sz w:val="20"/>
        </w:rPr>
        <w:t xml:space="preserve"> that (a) the Reference Value equals or exceeds $18.00 per share (subject to adjustment in compliance with </w:t>
      </w:r>
      <w:r>
        <w:rPr>
          <w:rFonts w:ascii="Times New Roman" w:hAnsi="Times New Roman"/>
          <w:sz w:val="20"/>
          <w:u w:val="single"/>
        </w:rPr>
        <w:t>Section 4</w:t>
      </w:r>
      <w:r>
        <w:rPr>
          <w:rFonts w:ascii="Times New Roman" w:hAnsi="Times New Roman"/>
          <w:sz w:val="20"/>
        </w:rPr>
        <w:t xml:space="preserve"> hereof) and (b) there is an effective registration statement covering the issuance of the Ordinary Shares issuable upon exercise of the Warrants, and a current prospectus relating thereto, available throughout the 30-day Redemption Period (as defined in </w:t>
      </w:r>
      <w:r>
        <w:rPr>
          <w:rFonts w:ascii="Times New Roman" w:hAnsi="Times New Roman"/>
          <w:sz w:val="20"/>
          <w:u w:val="single"/>
        </w:rPr>
        <w:t>Section 6.3</w:t>
      </w:r>
      <w:r>
        <w:rPr>
          <w:rFonts w:ascii="Times New Roman" w:hAnsi="Times New Roman"/>
          <w:sz w:val="20"/>
        </w:rPr>
        <w:t xml:space="preserve"> below). </w:t>
      </w:r>
    </w:p>
    <w:p>
      <w:pPr>
        <w:pStyle w:val="TextBody"/>
        <w:spacing w:before="240" w:after="0"/>
        <w:jc w:val="left"/>
        <w:rPr>
          <w:rFonts w:ascii="Times New Roman" w:hAnsi="Times New Roman"/>
          <w:sz w:val="20"/>
        </w:rPr>
      </w:pPr>
      <w:r>
        <w:rPr>
          <w:rFonts w:ascii="Times New Roman" w:hAnsi="Times New Roman"/>
          <w:sz w:val="20"/>
        </w:rPr>
        <w:t xml:space="preserve">6.2. </w:t>
      </w:r>
      <w:r>
        <w:rPr>
          <w:rFonts w:ascii="Times New Roman" w:hAnsi="Times New Roman"/>
          <w:sz w:val="20"/>
          <w:u w:val="single"/>
        </w:rPr>
        <w:t>Redemption of Warrants for Ordinary Shares</w:t>
      </w:r>
      <w:r>
        <w:rPr>
          <w:rFonts w:ascii="Times New Roman" w:hAnsi="Times New Roman"/>
          <w:sz w:val="20"/>
        </w:rPr>
        <w:t xml:space="preserve">. Subject to </w:t>
      </w:r>
      <w:r>
        <w:rPr>
          <w:rFonts w:ascii="Times New Roman" w:hAnsi="Times New Roman"/>
          <w:sz w:val="20"/>
          <w:u w:val="single"/>
        </w:rPr>
        <w:t>Section 6.5</w:t>
      </w:r>
      <w:r>
        <w:rPr>
          <w:rFonts w:ascii="Times New Roman" w:hAnsi="Times New Roman"/>
          <w:sz w:val="20"/>
        </w:rPr>
        <w:t xml:space="preserve"> hereof, not less than all of the outstanding Warrants may be redeemed, at the option of the Company, at any time during the Exercise Period, at the office of the Warrant Agent, upon notice to the Registered Holders of the Warrants, as described in </w:t>
      </w:r>
      <w:r>
        <w:rPr>
          <w:rFonts w:ascii="Times New Roman" w:hAnsi="Times New Roman"/>
          <w:sz w:val="20"/>
          <w:u w:val="single"/>
        </w:rPr>
        <w:t>Section 6.3</w:t>
      </w:r>
      <w:r>
        <w:rPr>
          <w:rFonts w:ascii="Times New Roman" w:hAnsi="Times New Roman"/>
          <w:sz w:val="20"/>
        </w:rPr>
        <w:t xml:space="preserve"> below, at a Redemption Price of $0.10 per Warrant, </w:t>
      </w:r>
      <w:r>
        <w:rPr>
          <w:rFonts w:ascii="Times New Roman" w:hAnsi="Times New Roman"/>
          <w:sz w:val="20"/>
          <w:u w:val="single"/>
        </w:rPr>
        <w:t>provided</w:t>
      </w:r>
      <w:r>
        <w:rPr>
          <w:rFonts w:ascii="Times New Roman" w:hAnsi="Times New Roman"/>
          <w:sz w:val="20"/>
        </w:rPr>
        <w:t xml:space="preserve"> that (i) the Reference Value equals or exceeds $10.00 per share (subject to adjustment in compliance with </w:t>
      </w:r>
      <w:r>
        <w:rPr>
          <w:rFonts w:ascii="Times New Roman" w:hAnsi="Times New Roman"/>
          <w:sz w:val="20"/>
          <w:u w:val="single"/>
        </w:rPr>
        <w:t>Section 4</w:t>
      </w:r>
      <w:r>
        <w:rPr>
          <w:rFonts w:ascii="Times New Roman" w:hAnsi="Times New Roman"/>
          <w:sz w:val="20"/>
        </w:rPr>
        <w:t xml:space="preserve"> hereof) and (ii) if the Reference Value is less than $18.00 per share (subject to adjustment in compliance with </w:t>
      </w:r>
      <w:r>
        <w:rPr>
          <w:rFonts w:ascii="Times New Roman" w:hAnsi="Times New Roman"/>
          <w:sz w:val="20"/>
          <w:u w:val="single"/>
        </w:rPr>
        <w:t>Section 4</w:t>
      </w:r>
      <w:r>
        <w:rPr>
          <w:rFonts w:ascii="Times New Roman" w:hAnsi="Times New Roman"/>
          <w:sz w:val="20"/>
        </w:rPr>
        <w:t xml:space="preserve"> hereof), the Private Placement Warrants are also concurrently called for redemption on the same terms as the outstanding Public Warrants. During the 30-day Redemption Period in connection with a redemption pursuant to this </w:t>
      </w:r>
      <w:r>
        <w:rPr>
          <w:rFonts w:ascii="Times New Roman" w:hAnsi="Times New Roman"/>
          <w:sz w:val="20"/>
          <w:u w:val="single"/>
        </w:rPr>
        <w:t>Section 6.2</w:t>
      </w:r>
      <w:r>
        <w:rPr>
          <w:rFonts w:ascii="Times New Roman" w:hAnsi="Times New Roman"/>
          <w:sz w:val="20"/>
        </w:rPr>
        <w:t xml:space="preserve">, Registered Holders of the Warrants may elect to exercise their Warrants on a cashless basis pursuant to </w:t>
      </w:r>
      <w:r>
        <w:rPr>
          <w:rFonts w:ascii="Times New Roman" w:hAnsi="Times New Roman"/>
          <w:sz w:val="20"/>
          <w:u w:val="single"/>
        </w:rPr>
        <w:t>subsection 3.3.1</w:t>
      </w:r>
      <w:r>
        <w:rPr>
          <w:rFonts w:ascii="Times New Roman" w:hAnsi="Times New Roman"/>
          <w:sz w:val="20"/>
        </w:rPr>
        <w:t xml:space="preserve"> and receive a number of Ordinary Shares determined by reference to the table below, based on the Redemption Date (calculated for purposes of the table as the period to expiration of the Warrants) and the Redemption Fair Market Value (as such term is defined in this </w:t>
      </w:r>
      <w:r>
        <w:rPr>
          <w:rFonts w:ascii="Times New Roman" w:hAnsi="Times New Roman"/>
          <w:sz w:val="20"/>
          <w:u w:val="single"/>
        </w:rPr>
        <w:t>Section 6.2</w:t>
      </w:r>
      <w:r>
        <w:rPr>
          <w:rFonts w:ascii="Times New Roman" w:hAnsi="Times New Roman"/>
          <w:sz w:val="20"/>
        </w:rPr>
        <w:t>) (a </w:t>
      </w:r>
      <w:r>
        <w:rPr>
          <w:rFonts w:ascii="Times New Roman" w:hAnsi="Times New Roman"/>
          <w:b/>
          <w:i/>
          <w:sz w:val="20"/>
        </w:rPr>
        <w:t>Make-Whole Exercise</w:t>
      </w:r>
      <w:r>
        <w:rPr>
          <w:rFonts w:ascii="Times New Roman" w:hAnsi="Times New Roman"/>
          <w:sz w:val="20"/>
        </w:rPr>
        <w:t xml:space="preserve">). Solely for purposes of this </w:t>
      </w:r>
      <w:r>
        <w:rPr>
          <w:rFonts w:ascii="Times New Roman" w:hAnsi="Times New Roman"/>
          <w:sz w:val="20"/>
          <w:u w:val="single"/>
        </w:rPr>
        <w:t>Section 6.2</w:t>
      </w:r>
      <w:r>
        <w:rPr>
          <w:rFonts w:ascii="Times New Roman" w:hAnsi="Times New Roman"/>
          <w:sz w:val="20"/>
        </w:rPr>
        <w:t>, the </w:t>
      </w:r>
      <w:r>
        <w:rPr>
          <w:rFonts w:ascii="Times New Roman" w:hAnsi="Times New Roman"/>
          <w:b/>
          <w:i/>
          <w:sz w:val="20"/>
        </w:rPr>
        <w:t>Redemption Fair Market Value</w:t>
      </w:r>
      <w:r>
        <w:rPr>
          <w:rFonts w:ascii="Times New Roman" w:hAnsi="Times New Roman"/>
          <w:sz w:val="20"/>
        </w:rPr>
        <w:t xml:space="preserve"> shall mean the volume weighted average price of the Ordinary Shares for the ten (10) trading days immediately following the date on which notice of redemption pursuant to this </w:t>
      </w:r>
      <w:r>
        <w:rPr>
          <w:rFonts w:ascii="Times New Roman" w:hAnsi="Times New Roman"/>
          <w:sz w:val="20"/>
          <w:u w:val="single"/>
        </w:rPr>
        <w:t>Section 6.2</w:t>
      </w:r>
      <w:r>
        <w:rPr>
          <w:rFonts w:ascii="Times New Roman" w:hAnsi="Times New Roman"/>
          <w:sz w:val="20"/>
        </w:rPr>
        <w:t xml:space="preserve"> is sent to the Registered Holders. In connection with any redemption pursuant to this </w:t>
      </w:r>
      <w:r>
        <w:rPr>
          <w:rFonts w:ascii="Times New Roman" w:hAnsi="Times New Roman"/>
          <w:sz w:val="20"/>
          <w:u w:val="single"/>
        </w:rPr>
        <w:t>Section 6.2</w:t>
      </w:r>
      <w:r>
        <w:rPr>
          <w:rFonts w:ascii="Times New Roman" w:hAnsi="Times New Roman"/>
          <w:sz w:val="20"/>
        </w:rPr>
        <w:t xml:space="preserve">, the Company shall provide the Registered Holders with the Redemption Fair Market Value no later than one (1) Business Day after the ten (10) trading day period described above ends. </w:t>
      </w:r>
      <w:r>
        <w:br w:type="page"/>
      </w:r>
    </w:p>
    <w:p>
      <w:pPr>
        <w:pStyle w:val="HorizontalLine"/>
        <w:pBdr>
          <w:bottom w:val="double" w:sz="6" w:space="0" w:color="808080"/>
        </w:pBdr>
        <w:rPr/>
      </w:pPr>
      <w:r>
        <w:rPr/>
      </w:r>
    </w:p>
    <w:tbl>
      <w:tblPr>
        <w:tblW w:w="5000" w:type="pct"/>
        <w:jc w:val="center"/>
        <w:tblInd w:w="0" w:type="dxa"/>
        <w:tblCellMar>
          <w:top w:w="0" w:type="dxa"/>
          <w:left w:w="0" w:type="dxa"/>
          <w:bottom w:w="0" w:type="dxa"/>
          <w:right w:w="0" w:type="dxa"/>
        </w:tblCellMar>
      </w:tblPr>
      <w:tblGrid>
        <w:gridCol w:w="2888"/>
        <w:gridCol w:w="132"/>
        <w:gridCol w:w="60"/>
        <w:gridCol w:w="560"/>
        <w:gridCol w:w="60"/>
        <w:gridCol w:w="132"/>
        <w:gridCol w:w="60"/>
        <w:gridCol w:w="560"/>
        <w:gridCol w:w="60"/>
        <w:gridCol w:w="132"/>
        <w:gridCol w:w="60"/>
        <w:gridCol w:w="560"/>
        <w:gridCol w:w="60"/>
        <w:gridCol w:w="132"/>
        <w:gridCol w:w="60"/>
        <w:gridCol w:w="559"/>
        <w:gridCol w:w="60"/>
        <w:gridCol w:w="132"/>
        <w:gridCol w:w="60"/>
        <w:gridCol w:w="560"/>
        <w:gridCol w:w="60"/>
        <w:gridCol w:w="132"/>
        <w:gridCol w:w="60"/>
        <w:gridCol w:w="560"/>
        <w:gridCol w:w="60"/>
        <w:gridCol w:w="132"/>
        <w:gridCol w:w="60"/>
        <w:gridCol w:w="560"/>
        <w:gridCol w:w="60"/>
        <w:gridCol w:w="132"/>
        <w:gridCol w:w="60"/>
        <w:gridCol w:w="560"/>
        <w:gridCol w:w="59"/>
        <w:gridCol w:w="132"/>
        <w:gridCol w:w="60"/>
        <w:gridCol w:w="560"/>
        <w:gridCol w:w="71"/>
      </w:tblGrid>
      <w:tr>
        <w:trPr/>
        <w:tc>
          <w:tcPr>
            <w:tcW w:w="2888"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5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59"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71" w:type="dxa"/>
            <w:tcBorders/>
            <w:shd w:fill="auto" w:val="clear"/>
            <w:vAlign w:val="center"/>
          </w:tcPr>
          <w:p>
            <w:pPr>
              <w:pStyle w:val="TableContents"/>
              <w:spacing w:before="0" w:after="283"/>
              <w:rPr>
                <w:sz w:val="4"/>
                <w:szCs w:val="4"/>
              </w:rPr>
            </w:pPr>
            <w:r>
              <w:rPr>
                <w:sz w:val="4"/>
                <w:szCs w:val="4"/>
              </w:rPr>
            </w:r>
          </w:p>
        </w:tc>
      </w:tr>
      <w:tr>
        <w:trPr/>
        <w:tc>
          <w:tcPr>
            <w:tcW w:w="2888"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7114" w:type="dxa"/>
            <w:gridSpan w:val="34"/>
            <w:tcBorders/>
            <w:shd w:fill="auto" w:val="clear"/>
            <w:vAlign w:val="bottom"/>
          </w:tcPr>
          <w:p>
            <w:pPr>
              <w:pStyle w:val="TableContents"/>
              <w:spacing w:before="0" w:after="283"/>
              <w:jc w:val="center"/>
              <w:rPr>
                <w:b/>
              </w:rPr>
            </w:pPr>
            <w:r>
              <w:rPr>
                <w:b/>
              </w:rPr>
              <w:t>Redemption Fair Market Value of Ordinary Shares (period to expiration</w:t>
            </w:r>
          </w:p>
        </w:tc>
        <w:tc>
          <w:tcPr>
            <w:tcW w:w="71" w:type="dxa"/>
            <w:tcBorders/>
            <w:shd w:fill="auto" w:val="clear"/>
            <w:vAlign w:val="bottom"/>
          </w:tcPr>
          <w:p>
            <w:pPr>
              <w:pStyle w:val="TableContents"/>
              <w:spacing w:before="0" w:after="283"/>
              <w:rPr/>
            </w:pPr>
            <w:r>
              <w:rPr/>
              <w:t> </w:t>
            </w:r>
          </w:p>
        </w:tc>
      </w:tr>
      <w:tr>
        <w:trPr/>
        <w:tc>
          <w:tcPr>
            <w:tcW w:w="2888"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7114" w:type="dxa"/>
            <w:gridSpan w:val="34"/>
            <w:tcBorders>
              <w:bottom w:val="single" w:sz="8" w:space="0" w:color="000000"/>
            </w:tcBorders>
            <w:shd w:fill="auto" w:val="clear"/>
            <w:tcMar>
              <w:bottom w:w="28" w:type="dxa"/>
            </w:tcMar>
            <w:vAlign w:val="bottom"/>
          </w:tcPr>
          <w:p>
            <w:pPr>
              <w:pStyle w:val="TableContents"/>
              <w:spacing w:before="0" w:after="283"/>
              <w:jc w:val="center"/>
              <w:rPr>
                <w:b/>
              </w:rPr>
            </w:pPr>
            <w:r>
              <w:rPr>
                <w:b/>
              </w:rPr>
              <w:t>of warrants)</w:t>
            </w:r>
          </w:p>
        </w:tc>
        <w:tc>
          <w:tcPr>
            <w:tcW w:w="71" w:type="dxa"/>
            <w:tcBorders/>
            <w:shd w:fill="auto" w:val="clear"/>
            <w:vAlign w:val="bottom"/>
          </w:tcPr>
          <w:p>
            <w:pPr>
              <w:pStyle w:val="TableContents"/>
              <w:spacing w:before="0" w:after="283"/>
              <w:rPr/>
            </w:pPr>
            <w:r>
              <w:rPr/>
              <w:t> </w:t>
            </w:r>
          </w:p>
        </w:tc>
      </w:tr>
      <w:tr>
        <w:trPr/>
        <w:tc>
          <w:tcPr>
            <w:tcW w:w="2888"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20" w:type="dxa"/>
            <w:gridSpan w:val="2"/>
            <w:tcBorders/>
            <w:shd w:fill="auto" w:val="clear"/>
            <w:vAlign w:val="bottom"/>
          </w:tcPr>
          <w:p>
            <w:pPr>
              <w:pStyle w:val="TableContents"/>
              <w:spacing w:before="0" w:after="283"/>
              <w:jc w:val="center"/>
              <w:rPr>
                <w:rFonts w:ascii="SYMBOL" w:hAnsi="SYMBOL"/>
              </w:rPr>
            </w:pPr>
            <w:r>
              <w:rPr>
                <w:rFonts w:ascii="SYMBOL" w:hAnsi="SYMBOL"/>
              </w:rPr>
              <w:t>£</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2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2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19"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2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2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2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20" w:type="dxa"/>
            <w:gridSpan w:val="2"/>
            <w:tcBorders/>
            <w:shd w:fill="auto" w:val="clear"/>
            <w:vAlign w:val="bottom"/>
          </w:tcPr>
          <w:p>
            <w:pPr>
              <w:pStyle w:val="TableContents"/>
              <w:spacing w:before="0" w:after="283"/>
              <w:rPr/>
            </w:pPr>
            <w:r>
              <w:rPr/>
              <w:t> </w:t>
            </w:r>
          </w:p>
        </w:tc>
        <w:tc>
          <w:tcPr>
            <w:tcW w:w="59"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20" w:type="dxa"/>
            <w:gridSpan w:val="2"/>
            <w:tcBorders/>
            <w:shd w:fill="auto" w:val="clear"/>
            <w:vAlign w:val="bottom"/>
          </w:tcPr>
          <w:p>
            <w:pPr>
              <w:pStyle w:val="TableContents"/>
              <w:spacing w:before="0" w:after="283"/>
              <w:jc w:val="center"/>
              <w:rPr>
                <w:rFonts w:ascii="SYMBOL" w:hAnsi="SYMBOL"/>
              </w:rPr>
            </w:pPr>
            <w:r>
              <w:rPr>
                <w:rFonts w:ascii="SYMBOL" w:hAnsi="SYMBOL"/>
              </w:rPr>
              <w:t>³</w:t>
            </w:r>
          </w:p>
        </w:tc>
        <w:tc>
          <w:tcPr>
            <w:tcW w:w="71" w:type="dxa"/>
            <w:tcBorders/>
            <w:shd w:fill="auto" w:val="clear"/>
            <w:vAlign w:val="bottom"/>
          </w:tcPr>
          <w:p>
            <w:pPr>
              <w:pStyle w:val="TableContents"/>
              <w:spacing w:before="0" w:after="283"/>
              <w:rPr/>
            </w:pPr>
            <w:r>
              <w:rPr/>
              <w:t> </w:t>
            </w:r>
          </w:p>
        </w:tc>
      </w:tr>
      <w:tr>
        <w:trPr/>
        <w:tc>
          <w:tcPr>
            <w:tcW w:w="2888" w:type="dxa"/>
            <w:tcBorders/>
            <w:shd w:fill="auto" w:val="clear"/>
            <w:vAlign w:val="bottom"/>
          </w:tcPr>
          <w:p>
            <w:pPr>
              <w:pStyle w:val="TableContents"/>
              <w:spacing w:before="0" w:after="283"/>
              <w:rPr>
                <w:b/>
              </w:rPr>
            </w:pPr>
            <w:r>
              <w:rPr>
                <w:b/>
              </w:rPr>
              <w:t>Redemption Date</w:t>
            </w:r>
          </w:p>
        </w:tc>
        <w:tc>
          <w:tcPr>
            <w:tcW w:w="132" w:type="dxa"/>
            <w:tcBorders/>
            <w:shd w:fill="auto" w:val="clear"/>
            <w:vAlign w:val="bottom"/>
          </w:tcPr>
          <w:p>
            <w:pPr>
              <w:pStyle w:val="TableContents"/>
              <w:spacing w:before="0" w:after="283"/>
              <w:rPr/>
            </w:pPr>
            <w:r>
              <w:rPr/>
              <w:t>  </w:t>
            </w:r>
          </w:p>
        </w:tc>
        <w:tc>
          <w:tcPr>
            <w:tcW w:w="62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10.00</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2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11.00</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2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12.00</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1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13.00</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2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14.00</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2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15.00</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2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16.00</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2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17.00</w:t>
            </w:r>
          </w:p>
        </w:tc>
        <w:tc>
          <w:tcPr>
            <w:tcW w:w="59"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2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18.00</w:t>
            </w:r>
          </w:p>
        </w:tc>
        <w:tc>
          <w:tcPr>
            <w:tcW w:w="71" w:type="dxa"/>
            <w:tcBorders/>
            <w:shd w:fill="auto" w:val="clear"/>
            <w:vAlign w:val="bottom"/>
          </w:tcPr>
          <w:p>
            <w:pPr>
              <w:pStyle w:val="TableContents"/>
              <w:spacing w:before="0" w:after="283"/>
              <w:rPr/>
            </w:pPr>
            <w:r>
              <w:rPr/>
              <w:t> </w:t>
            </w:r>
          </w:p>
        </w:tc>
      </w:tr>
      <w:tr>
        <w:trPr/>
        <w:tc>
          <w:tcPr>
            <w:tcW w:w="2888" w:type="dxa"/>
            <w:tcBorders/>
            <w:shd w:fill="CCEEFF" w:val="clear"/>
          </w:tcPr>
          <w:p>
            <w:pPr>
              <w:pStyle w:val="TableContents"/>
              <w:spacing w:before="0" w:after="0"/>
              <w:rPr>
                <w:rFonts w:ascii="Times New Roman" w:hAnsi="Times New Roman"/>
                <w:sz w:val="20"/>
              </w:rPr>
            </w:pPr>
            <w:r>
              <w:rPr>
                <w:rFonts w:ascii="Times New Roman" w:hAnsi="Times New Roman"/>
                <w:sz w:val="20"/>
              </w:rPr>
              <w:t>60 months</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0.261</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0.281</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0.297</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59" w:type="dxa"/>
            <w:tcBorders/>
            <w:shd w:fill="CCEEFF" w:val="clear"/>
            <w:vAlign w:val="bottom"/>
          </w:tcPr>
          <w:p>
            <w:pPr>
              <w:pStyle w:val="TableContents"/>
              <w:spacing w:before="0" w:after="283"/>
              <w:jc w:val="right"/>
              <w:rPr/>
            </w:pPr>
            <w:r>
              <w:rPr/>
              <w:t>0.311</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0.324</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0.337</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0.348</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0.358</w:t>
            </w:r>
          </w:p>
        </w:tc>
        <w:tc>
          <w:tcPr>
            <w:tcW w:w="59"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0.361</w:t>
            </w:r>
          </w:p>
        </w:tc>
        <w:tc>
          <w:tcPr>
            <w:tcW w:w="71" w:type="dxa"/>
            <w:tcBorders/>
            <w:shd w:fill="CCEEFF" w:val="clear"/>
            <w:vAlign w:val="bottom"/>
          </w:tcPr>
          <w:p>
            <w:pPr>
              <w:pStyle w:val="TableContents"/>
              <w:spacing w:before="0" w:after="283"/>
              <w:rPr/>
            </w:pPr>
            <w:r>
              <w:rPr/>
              <w:t> </w:t>
            </w:r>
          </w:p>
        </w:tc>
      </w:tr>
      <w:tr>
        <w:trPr/>
        <w:tc>
          <w:tcPr>
            <w:tcW w:w="2888" w:type="dxa"/>
            <w:tcBorders/>
            <w:shd w:fill="auto" w:val="clear"/>
          </w:tcPr>
          <w:p>
            <w:pPr>
              <w:pStyle w:val="TableContents"/>
              <w:spacing w:before="0" w:after="0"/>
              <w:rPr>
                <w:rFonts w:ascii="Times New Roman" w:hAnsi="Times New Roman"/>
                <w:sz w:val="20"/>
              </w:rPr>
            </w:pPr>
            <w:r>
              <w:rPr>
                <w:rFonts w:ascii="Times New Roman" w:hAnsi="Times New Roman"/>
                <w:sz w:val="20"/>
              </w:rPr>
              <w:t>57 months</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0.257</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0.277</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0.294</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59" w:type="dxa"/>
            <w:tcBorders/>
            <w:shd w:fill="auto" w:val="clear"/>
            <w:vAlign w:val="bottom"/>
          </w:tcPr>
          <w:p>
            <w:pPr>
              <w:pStyle w:val="TableContents"/>
              <w:spacing w:before="0" w:after="283"/>
              <w:jc w:val="right"/>
              <w:rPr/>
            </w:pPr>
            <w:r>
              <w:rPr/>
              <w:t>0.310</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0.324</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0.337</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0.348</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0.358</w:t>
            </w:r>
          </w:p>
        </w:tc>
        <w:tc>
          <w:tcPr>
            <w:tcW w:w="59"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0.361</w:t>
            </w:r>
          </w:p>
        </w:tc>
        <w:tc>
          <w:tcPr>
            <w:tcW w:w="71" w:type="dxa"/>
            <w:tcBorders/>
            <w:shd w:fill="auto" w:val="clear"/>
            <w:vAlign w:val="bottom"/>
          </w:tcPr>
          <w:p>
            <w:pPr>
              <w:pStyle w:val="TableContents"/>
              <w:spacing w:before="0" w:after="283"/>
              <w:rPr/>
            </w:pPr>
            <w:r>
              <w:rPr/>
              <w:t> </w:t>
            </w:r>
          </w:p>
        </w:tc>
      </w:tr>
      <w:tr>
        <w:trPr/>
        <w:tc>
          <w:tcPr>
            <w:tcW w:w="2888" w:type="dxa"/>
            <w:tcBorders/>
            <w:shd w:fill="CCEEFF" w:val="clear"/>
          </w:tcPr>
          <w:p>
            <w:pPr>
              <w:pStyle w:val="TableContents"/>
              <w:spacing w:before="0" w:after="0"/>
              <w:rPr>
                <w:rFonts w:ascii="Times New Roman" w:hAnsi="Times New Roman"/>
                <w:sz w:val="20"/>
              </w:rPr>
            </w:pPr>
            <w:r>
              <w:rPr>
                <w:rFonts w:ascii="Times New Roman" w:hAnsi="Times New Roman"/>
                <w:sz w:val="20"/>
              </w:rPr>
              <w:t>54 months</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0.252</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0.272</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0.291</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59" w:type="dxa"/>
            <w:tcBorders/>
            <w:shd w:fill="CCEEFF" w:val="clear"/>
            <w:vAlign w:val="bottom"/>
          </w:tcPr>
          <w:p>
            <w:pPr>
              <w:pStyle w:val="TableContents"/>
              <w:spacing w:before="0" w:after="283"/>
              <w:jc w:val="right"/>
              <w:rPr/>
            </w:pPr>
            <w:r>
              <w:rPr/>
              <w:t>0.307</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0.322</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0.335</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0.347</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0.357</w:t>
            </w:r>
          </w:p>
        </w:tc>
        <w:tc>
          <w:tcPr>
            <w:tcW w:w="59"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0.361</w:t>
            </w:r>
          </w:p>
        </w:tc>
        <w:tc>
          <w:tcPr>
            <w:tcW w:w="71" w:type="dxa"/>
            <w:tcBorders/>
            <w:shd w:fill="CCEEFF" w:val="clear"/>
            <w:vAlign w:val="bottom"/>
          </w:tcPr>
          <w:p>
            <w:pPr>
              <w:pStyle w:val="TableContents"/>
              <w:spacing w:before="0" w:after="283"/>
              <w:rPr/>
            </w:pPr>
            <w:r>
              <w:rPr/>
              <w:t> </w:t>
            </w:r>
          </w:p>
        </w:tc>
      </w:tr>
      <w:tr>
        <w:trPr/>
        <w:tc>
          <w:tcPr>
            <w:tcW w:w="2888" w:type="dxa"/>
            <w:tcBorders/>
            <w:shd w:fill="auto" w:val="clear"/>
          </w:tcPr>
          <w:p>
            <w:pPr>
              <w:pStyle w:val="TableContents"/>
              <w:spacing w:before="0" w:after="0"/>
              <w:rPr>
                <w:rFonts w:ascii="Times New Roman" w:hAnsi="Times New Roman"/>
                <w:sz w:val="20"/>
              </w:rPr>
            </w:pPr>
            <w:r>
              <w:rPr>
                <w:rFonts w:ascii="Times New Roman" w:hAnsi="Times New Roman"/>
                <w:sz w:val="20"/>
              </w:rPr>
              <w:t>51 months</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0.246</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0.268</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0.287</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59" w:type="dxa"/>
            <w:tcBorders/>
            <w:shd w:fill="auto" w:val="clear"/>
            <w:vAlign w:val="bottom"/>
          </w:tcPr>
          <w:p>
            <w:pPr>
              <w:pStyle w:val="TableContents"/>
              <w:spacing w:before="0" w:after="283"/>
              <w:jc w:val="right"/>
              <w:rPr/>
            </w:pPr>
            <w:r>
              <w:rPr/>
              <w:t>0.304</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0.320</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0.333</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0.346</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0.357</w:t>
            </w:r>
          </w:p>
        </w:tc>
        <w:tc>
          <w:tcPr>
            <w:tcW w:w="59"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0.361</w:t>
            </w:r>
          </w:p>
        </w:tc>
        <w:tc>
          <w:tcPr>
            <w:tcW w:w="71" w:type="dxa"/>
            <w:tcBorders/>
            <w:shd w:fill="auto" w:val="clear"/>
            <w:vAlign w:val="bottom"/>
          </w:tcPr>
          <w:p>
            <w:pPr>
              <w:pStyle w:val="TableContents"/>
              <w:spacing w:before="0" w:after="283"/>
              <w:rPr/>
            </w:pPr>
            <w:r>
              <w:rPr/>
              <w:t> </w:t>
            </w:r>
          </w:p>
        </w:tc>
      </w:tr>
      <w:tr>
        <w:trPr/>
        <w:tc>
          <w:tcPr>
            <w:tcW w:w="2888" w:type="dxa"/>
            <w:tcBorders/>
            <w:shd w:fill="CCEEFF" w:val="clear"/>
          </w:tcPr>
          <w:p>
            <w:pPr>
              <w:pStyle w:val="TableContents"/>
              <w:spacing w:before="0" w:after="0"/>
              <w:rPr>
                <w:rFonts w:ascii="Times New Roman" w:hAnsi="Times New Roman"/>
                <w:sz w:val="20"/>
              </w:rPr>
            </w:pPr>
            <w:r>
              <w:rPr>
                <w:rFonts w:ascii="Times New Roman" w:hAnsi="Times New Roman"/>
                <w:sz w:val="20"/>
              </w:rPr>
              <w:t>48 months</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0.241</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0.263</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0.283</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59" w:type="dxa"/>
            <w:tcBorders/>
            <w:shd w:fill="CCEEFF" w:val="clear"/>
            <w:vAlign w:val="bottom"/>
          </w:tcPr>
          <w:p>
            <w:pPr>
              <w:pStyle w:val="TableContents"/>
              <w:spacing w:before="0" w:after="283"/>
              <w:jc w:val="right"/>
              <w:rPr/>
            </w:pPr>
            <w:r>
              <w:rPr/>
              <w:t>0.301</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0.317</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0.332</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0.344</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0.356</w:t>
            </w:r>
          </w:p>
        </w:tc>
        <w:tc>
          <w:tcPr>
            <w:tcW w:w="59"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0.361</w:t>
            </w:r>
          </w:p>
        </w:tc>
        <w:tc>
          <w:tcPr>
            <w:tcW w:w="71" w:type="dxa"/>
            <w:tcBorders/>
            <w:shd w:fill="CCEEFF" w:val="clear"/>
            <w:vAlign w:val="bottom"/>
          </w:tcPr>
          <w:p>
            <w:pPr>
              <w:pStyle w:val="TableContents"/>
              <w:spacing w:before="0" w:after="283"/>
              <w:rPr/>
            </w:pPr>
            <w:r>
              <w:rPr/>
              <w:t> </w:t>
            </w:r>
          </w:p>
        </w:tc>
      </w:tr>
      <w:tr>
        <w:trPr/>
        <w:tc>
          <w:tcPr>
            <w:tcW w:w="2888" w:type="dxa"/>
            <w:tcBorders/>
            <w:shd w:fill="auto" w:val="clear"/>
          </w:tcPr>
          <w:p>
            <w:pPr>
              <w:pStyle w:val="TableContents"/>
              <w:spacing w:before="0" w:after="0"/>
              <w:rPr>
                <w:rFonts w:ascii="Times New Roman" w:hAnsi="Times New Roman"/>
                <w:sz w:val="20"/>
              </w:rPr>
            </w:pPr>
            <w:r>
              <w:rPr>
                <w:rFonts w:ascii="Times New Roman" w:hAnsi="Times New Roman"/>
                <w:sz w:val="20"/>
              </w:rPr>
              <w:t>45 months</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0.235</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0.258</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0.279</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59" w:type="dxa"/>
            <w:tcBorders/>
            <w:shd w:fill="auto" w:val="clear"/>
            <w:vAlign w:val="bottom"/>
          </w:tcPr>
          <w:p>
            <w:pPr>
              <w:pStyle w:val="TableContents"/>
              <w:spacing w:before="0" w:after="283"/>
              <w:jc w:val="right"/>
              <w:rPr/>
            </w:pPr>
            <w:r>
              <w:rPr/>
              <w:t>0.298</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0.315</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0.330</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0.343</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0.356</w:t>
            </w:r>
          </w:p>
        </w:tc>
        <w:tc>
          <w:tcPr>
            <w:tcW w:w="59"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0.361</w:t>
            </w:r>
          </w:p>
        </w:tc>
        <w:tc>
          <w:tcPr>
            <w:tcW w:w="71" w:type="dxa"/>
            <w:tcBorders/>
            <w:shd w:fill="auto" w:val="clear"/>
            <w:vAlign w:val="bottom"/>
          </w:tcPr>
          <w:p>
            <w:pPr>
              <w:pStyle w:val="TableContents"/>
              <w:spacing w:before="0" w:after="283"/>
              <w:rPr/>
            </w:pPr>
            <w:r>
              <w:rPr/>
              <w:t> </w:t>
            </w:r>
          </w:p>
        </w:tc>
      </w:tr>
      <w:tr>
        <w:trPr/>
        <w:tc>
          <w:tcPr>
            <w:tcW w:w="2888" w:type="dxa"/>
            <w:tcBorders/>
            <w:shd w:fill="CCEEFF" w:val="clear"/>
          </w:tcPr>
          <w:p>
            <w:pPr>
              <w:pStyle w:val="TableContents"/>
              <w:spacing w:before="0" w:after="0"/>
              <w:rPr>
                <w:rFonts w:ascii="Times New Roman" w:hAnsi="Times New Roman"/>
                <w:sz w:val="20"/>
              </w:rPr>
            </w:pPr>
            <w:r>
              <w:rPr>
                <w:rFonts w:ascii="Times New Roman" w:hAnsi="Times New Roman"/>
                <w:sz w:val="20"/>
              </w:rPr>
              <w:t>42 months</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0.228</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0.252</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0.274</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59" w:type="dxa"/>
            <w:tcBorders/>
            <w:shd w:fill="CCEEFF" w:val="clear"/>
            <w:vAlign w:val="bottom"/>
          </w:tcPr>
          <w:p>
            <w:pPr>
              <w:pStyle w:val="TableContents"/>
              <w:spacing w:before="0" w:after="283"/>
              <w:jc w:val="right"/>
              <w:rPr/>
            </w:pPr>
            <w:r>
              <w:rPr/>
              <w:t>0.294</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0.312</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0.328</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0.342</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0.355</w:t>
            </w:r>
          </w:p>
        </w:tc>
        <w:tc>
          <w:tcPr>
            <w:tcW w:w="59"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0.361</w:t>
            </w:r>
          </w:p>
        </w:tc>
        <w:tc>
          <w:tcPr>
            <w:tcW w:w="71" w:type="dxa"/>
            <w:tcBorders/>
            <w:shd w:fill="CCEEFF" w:val="clear"/>
            <w:vAlign w:val="bottom"/>
          </w:tcPr>
          <w:p>
            <w:pPr>
              <w:pStyle w:val="TableContents"/>
              <w:spacing w:before="0" w:after="283"/>
              <w:rPr/>
            </w:pPr>
            <w:r>
              <w:rPr/>
              <w:t> </w:t>
            </w:r>
          </w:p>
        </w:tc>
      </w:tr>
      <w:tr>
        <w:trPr/>
        <w:tc>
          <w:tcPr>
            <w:tcW w:w="2888" w:type="dxa"/>
            <w:tcBorders/>
            <w:shd w:fill="auto" w:val="clear"/>
          </w:tcPr>
          <w:p>
            <w:pPr>
              <w:pStyle w:val="TableContents"/>
              <w:spacing w:before="0" w:after="0"/>
              <w:rPr>
                <w:rFonts w:ascii="Times New Roman" w:hAnsi="Times New Roman"/>
                <w:sz w:val="20"/>
              </w:rPr>
            </w:pPr>
            <w:r>
              <w:rPr>
                <w:rFonts w:ascii="Times New Roman" w:hAnsi="Times New Roman"/>
                <w:sz w:val="20"/>
              </w:rPr>
              <w:t>39 months</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0.221</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0.246</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0.269</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59" w:type="dxa"/>
            <w:tcBorders/>
            <w:shd w:fill="auto" w:val="clear"/>
            <w:vAlign w:val="bottom"/>
          </w:tcPr>
          <w:p>
            <w:pPr>
              <w:pStyle w:val="TableContents"/>
              <w:spacing w:before="0" w:after="283"/>
              <w:jc w:val="right"/>
              <w:rPr/>
            </w:pPr>
            <w:r>
              <w:rPr/>
              <w:t>0.290</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0.309</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0.325</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0.340</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0.354</w:t>
            </w:r>
          </w:p>
        </w:tc>
        <w:tc>
          <w:tcPr>
            <w:tcW w:w="59"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0.361</w:t>
            </w:r>
          </w:p>
        </w:tc>
        <w:tc>
          <w:tcPr>
            <w:tcW w:w="71" w:type="dxa"/>
            <w:tcBorders/>
            <w:shd w:fill="auto" w:val="clear"/>
            <w:vAlign w:val="bottom"/>
          </w:tcPr>
          <w:p>
            <w:pPr>
              <w:pStyle w:val="TableContents"/>
              <w:spacing w:before="0" w:after="283"/>
              <w:rPr/>
            </w:pPr>
            <w:r>
              <w:rPr/>
              <w:t> </w:t>
            </w:r>
          </w:p>
        </w:tc>
      </w:tr>
      <w:tr>
        <w:trPr/>
        <w:tc>
          <w:tcPr>
            <w:tcW w:w="2888" w:type="dxa"/>
            <w:tcBorders/>
            <w:shd w:fill="CCEEFF" w:val="clear"/>
          </w:tcPr>
          <w:p>
            <w:pPr>
              <w:pStyle w:val="TableContents"/>
              <w:spacing w:before="0" w:after="0"/>
              <w:rPr>
                <w:rFonts w:ascii="Times New Roman" w:hAnsi="Times New Roman"/>
                <w:sz w:val="20"/>
              </w:rPr>
            </w:pPr>
            <w:r>
              <w:rPr>
                <w:rFonts w:ascii="Times New Roman" w:hAnsi="Times New Roman"/>
                <w:sz w:val="20"/>
              </w:rPr>
              <w:t>36 months</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0.213</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0.239</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0.263</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59" w:type="dxa"/>
            <w:tcBorders/>
            <w:shd w:fill="CCEEFF" w:val="clear"/>
            <w:vAlign w:val="bottom"/>
          </w:tcPr>
          <w:p>
            <w:pPr>
              <w:pStyle w:val="TableContents"/>
              <w:spacing w:before="0" w:after="283"/>
              <w:jc w:val="right"/>
              <w:rPr/>
            </w:pPr>
            <w:r>
              <w:rPr/>
              <w:t>0.285</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0.305</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0.323</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0.339</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0.353</w:t>
            </w:r>
          </w:p>
        </w:tc>
        <w:tc>
          <w:tcPr>
            <w:tcW w:w="59"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0.361</w:t>
            </w:r>
          </w:p>
        </w:tc>
        <w:tc>
          <w:tcPr>
            <w:tcW w:w="71" w:type="dxa"/>
            <w:tcBorders/>
            <w:shd w:fill="CCEEFF" w:val="clear"/>
            <w:vAlign w:val="bottom"/>
          </w:tcPr>
          <w:p>
            <w:pPr>
              <w:pStyle w:val="TableContents"/>
              <w:spacing w:before="0" w:after="283"/>
              <w:rPr/>
            </w:pPr>
            <w:r>
              <w:rPr/>
              <w:t> </w:t>
            </w:r>
          </w:p>
        </w:tc>
      </w:tr>
      <w:tr>
        <w:trPr/>
        <w:tc>
          <w:tcPr>
            <w:tcW w:w="2888" w:type="dxa"/>
            <w:tcBorders/>
            <w:shd w:fill="auto" w:val="clear"/>
          </w:tcPr>
          <w:p>
            <w:pPr>
              <w:pStyle w:val="TableContents"/>
              <w:spacing w:before="0" w:after="0"/>
              <w:rPr>
                <w:rFonts w:ascii="Times New Roman" w:hAnsi="Times New Roman"/>
                <w:sz w:val="20"/>
              </w:rPr>
            </w:pPr>
            <w:r>
              <w:rPr>
                <w:rFonts w:ascii="Times New Roman" w:hAnsi="Times New Roman"/>
                <w:sz w:val="20"/>
              </w:rPr>
              <w:t>33 months</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0.205</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0.232</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0.257</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59" w:type="dxa"/>
            <w:tcBorders/>
            <w:shd w:fill="auto" w:val="clear"/>
            <w:vAlign w:val="bottom"/>
          </w:tcPr>
          <w:p>
            <w:pPr>
              <w:pStyle w:val="TableContents"/>
              <w:spacing w:before="0" w:after="283"/>
              <w:jc w:val="right"/>
              <w:rPr/>
            </w:pPr>
            <w:r>
              <w:rPr/>
              <w:t>0.280</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0.301</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0.320</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0.337</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0.352</w:t>
            </w:r>
          </w:p>
        </w:tc>
        <w:tc>
          <w:tcPr>
            <w:tcW w:w="59"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0.361</w:t>
            </w:r>
          </w:p>
        </w:tc>
        <w:tc>
          <w:tcPr>
            <w:tcW w:w="71" w:type="dxa"/>
            <w:tcBorders/>
            <w:shd w:fill="auto" w:val="clear"/>
            <w:vAlign w:val="bottom"/>
          </w:tcPr>
          <w:p>
            <w:pPr>
              <w:pStyle w:val="TableContents"/>
              <w:spacing w:before="0" w:after="283"/>
              <w:rPr/>
            </w:pPr>
            <w:r>
              <w:rPr/>
              <w:t> </w:t>
            </w:r>
          </w:p>
        </w:tc>
      </w:tr>
      <w:tr>
        <w:trPr/>
        <w:tc>
          <w:tcPr>
            <w:tcW w:w="2888" w:type="dxa"/>
            <w:tcBorders/>
            <w:shd w:fill="CCEEFF" w:val="clear"/>
          </w:tcPr>
          <w:p>
            <w:pPr>
              <w:pStyle w:val="TableContents"/>
              <w:spacing w:before="0" w:after="0"/>
              <w:rPr>
                <w:rFonts w:ascii="Times New Roman" w:hAnsi="Times New Roman"/>
                <w:sz w:val="20"/>
              </w:rPr>
            </w:pPr>
            <w:r>
              <w:rPr>
                <w:rFonts w:ascii="Times New Roman" w:hAnsi="Times New Roman"/>
                <w:sz w:val="20"/>
              </w:rPr>
              <w:t>30 months</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0.196</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0.224</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0.250</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59" w:type="dxa"/>
            <w:tcBorders/>
            <w:shd w:fill="CCEEFF" w:val="clear"/>
            <w:vAlign w:val="bottom"/>
          </w:tcPr>
          <w:p>
            <w:pPr>
              <w:pStyle w:val="TableContents"/>
              <w:spacing w:before="0" w:after="283"/>
              <w:jc w:val="right"/>
              <w:rPr/>
            </w:pPr>
            <w:r>
              <w:rPr/>
              <w:t>0.274</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0.297</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0.316</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0.335</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0.351</w:t>
            </w:r>
          </w:p>
        </w:tc>
        <w:tc>
          <w:tcPr>
            <w:tcW w:w="59"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0.361</w:t>
            </w:r>
          </w:p>
        </w:tc>
        <w:tc>
          <w:tcPr>
            <w:tcW w:w="71" w:type="dxa"/>
            <w:tcBorders/>
            <w:shd w:fill="CCEEFF" w:val="clear"/>
            <w:vAlign w:val="bottom"/>
          </w:tcPr>
          <w:p>
            <w:pPr>
              <w:pStyle w:val="TableContents"/>
              <w:spacing w:before="0" w:after="283"/>
              <w:rPr/>
            </w:pPr>
            <w:r>
              <w:rPr/>
              <w:t> </w:t>
            </w:r>
          </w:p>
        </w:tc>
      </w:tr>
      <w:tr>
        <w:trPr/>
        <w:tc>
          <w:tcPr>
            <w:tcW w:w="2888" w:type="dxa"/>
            <w:tcBorders/>
            <w:shd w:fill="auto" w:val="clear"/>
          </w:tcPr>
          <w:p>
            <w:pPr>
              <w:pStyle w:val="TableContents"/>
              <w:spacing w:before="0" w:after="0"/>
              <w:rPr>
                <w:rFonts w:ascii="Times New Roman" w:hAnsi="Times New Roman"/>
                <w:sz w:val="20"/>
              </w:rPr>
            </w:pPr>
            <w:r>
              <w:rPr>
                <w:rFonts w:ascii="Times New Roman" w:hAnsi="Times New Roman"/>
                <w:sz w:val="20"/>
              </w:rPr>
              <w:t>27 months</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0.185</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0.214</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0.242</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59" w:type="dxa"/>
            <w:tcBorders/>
            <w:shd w:fill="auto" w:val="clear"/>
            <w:vAlign w:val="bottom"/>
          </w:tcPr>
          <w:p>
            <w:pPr>
              <w:pStyle w:val="TableContents"/>
              <w:spacing w:before="0" w:after="283"/>
              <w:jc w:val="right"/>
              <w:rPr/>
            </w:pPr>
            <w:r>
              <w:rPr/>
              <w:t>0.268</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0.291</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0.313</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0.332</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0.350</w:t>
            </w:r>
          </w:p>
        </w:tc>
        <w:tc>
          <w:tcPr>
            <w:tcW w:w="59"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0.361</w:t>
            </w:r>
          </w:p>
        </w:tc>
        <w:tc>
          <w:tcPr>
            <w:tcW w:w="71" w:type="dxa"/>
            <w:tcBorders/>
            <w:shd w:fill="auto" w:val="clear"/>
            <w:vAlign w:val="bottom"/>
          </w:tcPr>
          <w:p>
            <w:pPr>
              <w:pStyle w:val="TableContents"/>
              <w:spacing w:before="0" w:after="283"/>
              <w:rPr/>
            </w:pPr>
            <w:r>
              <w:rPr/>
              <w:t> </w:t>
            </w:r>
          </w:p>
        </w:tc>
      </w:tr>
      <w:tr>
        <w:trPr/>
        <w:tc>
          <w:tcPr>
            <w:tcW w:w="2888" w:type="dxa"/>
            <w:tcBorders/>
            <w:shd w:fill="CCEEFF" w:val="clear"/>
          </w:tcPr>
          <w:p>
            <w:pPr>
              <w:pStyle w:val="TableContents"/>
              <w:spacing w:before="0" w:after="0"/>
              <w:rPr>
                <w:rFonts w:ascii="Times New Roman" w:hAnsi="Times New Roman"/>
                <w:sz w:val="20"/>
              </w:rPr>
            </w:pPr>
            <w:r>
              <w:rPr>
                <w:rFonts w:ascii="Times New Roman" w:hAnsi="Times New Roman"/>
                <w:sz w:val="20"/>
              </w:rPr>
              <w:t>24 months</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0.173</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0.204</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0.233</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59" w:type="dxa"/>
            <w:tcBorders/>
            <w:shd w:fill="CCEEFF" w:val="clear"/>
            <w:vAlign w:val="bottom"/>
          </w:tcPr>
          <w:p>
            <w:pPr>
              <w:pStyle w:val="TableContents"/>
              <w:spacing w:before="0" w:after="283"/>
              <w:jc w:val="right"/>
              <w:rPr/>
            </w:pPr>
            <w:r>
              <w:rPr/>
              <w:t>0.260</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0.285</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0.308</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0.329</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0.348</w:t>
            </w:r>
          </w:p>
        </w:tc>
        <w:tc>
          <w:tcPr>
            <w:tcW w:w="59"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0.361</w:t>
            </w:r>
          </w:p>
        </w:tc>
        <w:tc>
          <w:tcPr>
            <w:tcW w:w="71" w:type="dxa"/>
            <w:tcBorders/>
            <w:shd w:fill="CCEEFF" w:val="clear"/>
            <w:vAlign w:val="bottom"/>
          </w:tcPr>
          <w:p>
            <w:pPr>
              <w:pStyle w:val="TableContents"/>
              <w:spacing w:before="0" w:after="283"/>
              <w:rPr/>
            </w:pPr>
            <w:r>
              <w:rPr/>
              <w:t> </w:t>
            </w:r>
          </w:p>
        </w:tc>
      </w:tr>
      <w:tr>
        <w:trPr/>
        <w:tc>
          <w:tcPr>
            <w:tcW w:w="2888" w:type="dxa"/>
            <w:tcBorders/>
            <w:shd w:fill="auto" w:val="clear"/>
          </w:tcPr>
          <w:p>
            <w:pPr>
              <w:pStyle w:val="TableContents"/>
              <w:spacing w:before="0" w:after="0"/>
              <w:rPr>
                <w:rFonts w:ascii="Times New Roman" w:hAnsi="Times New Roman"/>
                <w:sz w:val="20"/>
              </w:rPr>
            </w:pPr>
            <w:r>
              <w:rPr>
                <w:rFonts w:ascii="Times New Roman" w:hAnsi="Times New Roman"/>
                <w:sz w:val="20"/>
              </w:rPr>
              <w:t>21 months</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0.161</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0.193</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0.223</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59" w:type="dxa"/>
            <w:tcBorders/>
            <w:shd w:fill="auto" w:val="clear"/>
            <w:vAlign w:val="bottom"/>
          </w:tcPr>
          <w:p>
            <w:pPr>
              <w:pStyle w:val="TableContents"/>
              <w:spacing w:before="0" w:after="283"/>
              <w:jc w:val="right"/>
              <w:rPr/>
            </w:pPr>
            <w:r>
              <w:rPr/>
              <w:t>0.252</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0.279</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0.304</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0.326</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0.347</w:t>
            </w:r>
          </w:p>
        </w:tc>
        <w:tc>
          <w:tcPr>
            <w:tcW w:w="59"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0.361</w:t>
            </w:r>
          </w:p>
        </w:tc>
        <w:tc>
          <w:tcPr>
            <w:tcW w:w="71" w:type="dxa"/>
            <w:tcBorders/>
            <w:shd w:fill="auto" w:val="clear"/>
            <w:vAlign w:val="bottom"/>
          </w:tcPr>
          <w:p>
            <w:pPr>
              <w:pStyle w:val="TableContents"/>
              <w:spacing w:before="0" w:after="283"/>
              <w:rPr/>
            </w:pPr>
            <w:r>
              <w:rPr/>
              <w:t> </w:t>
            </w:r>
          </w:p>
        </w:tc>
      </w:tr>
      <w:tr>
        <w:trPr/>
        <w:tc>
          <w:tcPr>
            <w:tcW w:w="2888" w:type="dxa"/>
            <w:tcBorders/>
            <w:shd w:fill="CCEEFF" w:val="clear"/>
          </w:tcPr>
          <w:p>
            <w:pPr>
              <w:pStyle w:val="TableContents"/>
              <w:spacing w:before="0" w:after="0"/>
              <w:rPr>
                <w:rFonts w:ascii="Times New Roman" w:hAnsi="Times New Roman"/>
                <w:sz w:val="20"/>
              </w:rPr>
            </w:pPr>
            <w:r>
              <w:rPr>
                <w:rFonts w:ascii="Times New Roman" w:hAnsi="Times New Roman"/>
                <w:sz w:val="20"/>
              </w:rPr>
              <w:t>18 months</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0.146</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0.179</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0.211</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59" w:type="dxa"/>
            <w:tcBorders/>
            <w:shd w:fill="CCEEFF" w:val="clear"/>
            <w:vAlign w:val="bottom"/>
          </w:tcPr>
          <w:p>
            <w:pPr>
              <w:pStyle w:val="TableContents"/>
              <w:spacing w:before="0" w:after="283"/>
              <w:jc w:val="right"/>
              <w:rPr/>
            </w:pPr>
            <w:r>
              <w:rPr/>
              <w:t>0.242</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0.271</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0.298</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0.322</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0.345</w:t>
            </w:r>
          </w:p>
        </w:tc>
        <w:tc>
          <w:tcPr>
            <w:tcW w:w="59"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0.361</w:t>
            </w:r>
          </w:p>
        </w:tc>
        <w:tc>
          <w:tcPr>
            <w:tcW w:w="71" w:type="dxa"/>
            <w:tcBorders/>
            <w:shd w:fill="CCEEFF" w:val="clear"/>
            <w:vAlign w:val="bottom"/>
          </w:tcPr>
          <w:p>
            <w:pPr>
              <w:pStyle w:val="TableContents"/>
              <w:spacing w:before="0" w:after="283"/>
              <w:rPr/>
            </w:pPr>
            <w:r>
              <w:rPr/>
              <w:t> </w:t>
            </w:r>
          </w:p>
        </w:tc>
      </w:tr>
      <w:tr>
        <w:trPr/>
        <w:tc>
          <w:tcPr>
            <w:tcW w:w="2888" w:type="dxa"/>
            <w:tcBorders/>
            <w:shd w:fill="auto" w:val="clear"/>
          </w:tcPr>
          <w:p>
            <w:pPr>
              <w:pStyle w:val="TableContents"/>
              <w:spacing w:before="0" w:after="0"/>
              <w:rPr>
                <w:rFonts w:ascii="Times New Roman" w:hAnsi="Times New Roman"/>
                <w:sz w:val="20"/>
              </w:rPr>
            </w:pPr>
            <w:r>
              <w:rPr>
                <w:rFonts w:ascii="Times New Roman" w:hAnsi="Times New Roman"/>
                <w:sz w:val="20"/>
              </w:rPr>
              <w:t>15 months</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0.130</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0.164</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0.197</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59" w:type="dxa"/>
            <w:tcBorders/>
            <w:shd w:fill="auto" w:val="clear"/>
            <w:vAlign w:val="bottom"/>
          </w:tcPr>
          <w:p>
            <w:pPr>
              <w:pStyle w:val="TableContents"/>
              <w:spacing w:before="0" w:after="283"/>
              <w:jc w:val="right"/>
              <w:rPr/>
            </w:pPr>
            <w:r>
              <w:rPr/>
              <w:t>0.230</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0.262</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0.291</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0.317</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0.342</w:t>
            </w:r>
          </w:p>
        </w:tc>
        <w:tc>
          <w:tcPr>
            <w:tcW w:w="59"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0.361</w:t>
            </w:r>
          </w:p>
        </w:tc>
        <w:tc>
          <w:tcPr>
            <w:tcW w:w="71" w:type="dxa"/>
            <w:tcBorders/>
            <w:shd w:fill="auto" w:val="clear"/>
            <w:vAlign w:val="bottom"/>
          </w:tcPr>
          <w:p>
            <w:pPr>
              <w:pStyle w:val="TableContents"/>
              <w:spacing w:before="0" w:after="283"/>
              <w:rPr/>
            </w:pPr>
            <w:r>
              <w:rPr/>
              <w:t> </w:t>
            </w:r>
          </w:p>
        </w:tc>
      </w:tr>
      <w:tr>
        <w:trPr/>
        <w:tc>
          <w:tcPr>
            <w:tcW w:w="2888" w:type="dxa"/>
            <w:tcBorders/>
            <w:shd w:fill="CCEEFF" w:val="clear"/>
          </w:tcPr>
          <w:p>
            <w:pPr>
              <w:pStyle w:val="TableContents"/>
              <w:spacing w:before="0" w:after="0"/>
              <w:rPr>
                <w:rFonts w:ascii="Times New Roman" w:hAnsi="Times New Roman"/>
                <w:sz w:val="20"/>
              </w:rPr>
            </w:pPr>
            <w:r>
              <w:rPr>
                <w:rFonts w:ascii="Times New Roman" w:hAnsi="Times New Roman"/>
                <w:sz w:val="20"/>
              </w:rPr>
              <w:t>12 months</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0.111</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0.146</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0.181</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59" w:type="dxa"/>
            <w:tcBorders/>
            <w:shd w:fill="CCEEFF" w:val="clear"/>
            <w:vAlign w:val="bottom"/>
          </w:tcPr>
          <w:p>
            <w:pPr>
              <w:pStyle w:val="TableContents"/>
              <w:spacing w:before="0" w:after="283"/>
              <w:jc w:val="right"/>
              <w:rPr/>
            </w:pPr>
            <w:r>
              <w:rPr/>
              <w:t>0.216</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0.250</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0.282</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0.312</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0.339</w:t>
            </w:r>
          </w:p>
        </w:tc>
        <w:tc>
          <w:tcPr>
            <w:tcW w:w="59"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0.361</w:t>
            </w:r>
          </w:p>
        </w:tc>
        <w:tc>
          <w:tcPr>
            <w:tcW w:w="71" w:type="dxa"/>
            <w:tcBorders/>
            <w:shd w:fill="CCEEFF" w:val="clear"/>
            <w:vAlign w:val="bottom"/>
          </w:tcPr>
          <w:p>
            <w:pPr>
              <w:pStyle w:val="TableContents"/>
              <w:spacing w:before="0" w:after="283"/>
              <w:rPr/>
            </w:pPr>
            <w:r>
              <w:rPr/>
              <w:t> </w:t>
            </w:r>
          </w:p>
        </w:tc>
      </w:tr>
      <w:tr>
        <w:trPr/>
        <w:tc>
          <w:tcPr>
            <w:tcW w:w="2888" w:type="dxa"/>
            <w:tcBorders/>
            <w:shd w:fill="auto" w:val="clear"/>
          </w:tcPr>
          <w:p>
            <w:pPr>
              <w:pStyle w:val="TableContents"/>
              <w:spacing w:before="0" w:after="0"/>
              <w:rPr>
                <w:rFonts w:ascii="Times New Roman" w:hAnsi="Times New Roman"/>
                <w:sz w:val="20"/>
              </w:rPr>
            </w:pPr>
            <w:r>
              <w:rPr>
                <w:rFonts w:ascii="Times New Roman" w:hAnsi="Times New Roman"/>
                <w:sz w:val="20"/>
              </w:rPr>
              <w:t>9 months</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0.090</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0.125</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0.162</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59" w:type="dxa"/>
            <w:tcBorders/>
            <w:shd w:fill="auto" w:val="clear"/>
            <w:vAlign w:val="bottom"/>
          </w:tcPr>
          <w:p>
            <w:pPr>
              <w:pStyle w:val="TableContents"/>
              <w:spacing w:before="0" w:after="283"/>
              <w:jc w:val="right"/>
              <w:rPr/>
            </w:pPr>
            <w:r>
              <w:rPr/>
              <w:t>0.199</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0.237</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0.272</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0.305</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0.336</w:t>
            </w:r>
          </w:p>
        </w:tc>
        <w:tc>
          <w:tcPr>
            <w:tcW w:w="59"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0.361</w:t>
            </w:r>
          </w:p>
        </w:tc>
        <w:tc>
          <w:tcPr>
            <w:tcW w:w="71" w:type="dxa"/>
            <w:tcBorders/>
            <w:shd w:fill="auto" w:val="clear"/>
            <w:vAlign w:val="bottom"/>
          </w:tcPr>
          <w:p>
            <w:pPr>
              <w:pStyle w:val="TableContents"/>
              <w:spacing w:before="0" w:after="283"/>
              <w:rPr/>
            </w:pPr>
            <w:r>
              <w:rPr/>
              <w:t> </w:t>
            </w:r>
          </w:p>
        </w:tc>
      </w:tr>
      <w:tr>
        <w:trPr/>
        <w:tc>
          <w:tcPr>
            <w:tcW w:w="2888" w:type="dxa"/>
            <w:tcBorders/>
            <w:shd w:fill="CCEEFF" w:val="clear"/>
          </w:tcPr>
          <w:p>
            <w:pPr>
              <w:pStyle w:val="TableContents"/>
              <w:spacing w:before="0" w:after="0"/>
              <w:rPr>
                <w:rFonts w:ascii="Times New Roman" w:hAnsi="Times New Roman"/>
                <w:sz w:val="20"/>
              </w:rPr>
            </w:pPr>
            <w:r>
              <w:rPr>
                <w:rFonts w:ascii="Times New Roman" w:hAnsi="Times New Roman"/>
                <w:sz w:val="20"/>
              </w:rPr>
              <w:t>6 months</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0.065</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0.099</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0.137</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59" w:type="dxa"/>
            <w:tcBorders/>
            <w:shd w:fill="CCEEFF" w:val="clear"/>
            <w:vAlign w:val="bottom"/>
          </w:tcPr>
          <w:p>
            <w:pPr>
              <w:pStyle w:val="TableContents"/>
              <w:spacing w:before="0" w:after="283"/>
              <w:jc w:val="right"/>
              <w:rPr/>
            </w:pPr>
            <w:r>
              <w:rPr/>
              <w:t>0.178</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0.219</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0.259</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0.296</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0.331</w:t>
            </w:r>
          </w:p>
        </w:tc>
        <w:tc>
          <w:tcPr>
            <w:tcW w:w="59"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0.361</w:t>
            </w:r>
          </w:p>
        </w:tc>
        <w:tc>
          <w:tcPr>
            <w:tcW w:w="71" w:type="dxa"/>
            <w:tcBorders/>
            <w:shd w:fill="CCEEFF" w:val="clear"/>
            <w:vAlign w:val="bottom"/>
          </w:tcPr>
          <w:p>
            <w:pPr>
              <w:pStyle w:val="TableContents"/>
              <w:spacing w:before="0" w:after="283"/>
              <w:rPr/>
            </w:pPr>
            <w:r>
              <w:rPr/>
              <w:t> </w:t>
            </w:r>
          </w:p>
        </w:tc>
      </w:tr>
      <w:tr>
        <w:trPr/>
        <w:tc>
          <w:tcPr>
            <w:tcW w:w="2888" w:type="dxa"/>
            <w:tcBorders/>
            <w:shd w:fill="auto" w:val="clear"/>
          </w:tcPr>
          <w:p>
            <w:pPr>
              <w:pStyle w:val="TableContents"/>
              <w:spacing w:before="0" w:after="0"/>
              <w:rPr>
                <w:rFonts w:ascii="Times New Roman" w:hAnsi="Times New Roman"/>
                <w:sz w:val="20"/>
              </w:rPr>
            </w:pPr>
            <w:r>
              <w:rPr>
                <w:rFonts w:ascii="Times New Roman" w:hAnsi="Times New Roman"/>
                <w:sz w:val="20"/>
              </w:rPr>
              <w:t>3 months</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0.034</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0.065</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0.104</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59" w:type="dxa"/>
            <w:tcBorders/>
            <w:shd w:fill="auto" w:val="clear"/>
            <w:vAlign w:val="bottom"/>
          </w:tcPr>
          <w:p>
            <w:pPr>
              <w:pStyle w:val="TableContents"/>
              <w:spacing w:before="0" w:after="283"/>
              <w:jc w:val="right"/>
              <w:rPr/>
            </w:pPr>
            <w:r>
              <w:rPr/>
              <w:t>0.150</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0.197</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0.243</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0.286</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0.326</w:t>
            </w:r>
          </w:p>
        </w:tc>
        <w:tc>
          <w:tcPr>
            <w:tcW w:w="59"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0.361</w:t>
            </w:r>
          </w:p>
        </w:tc>
        <w:tc>
          <w:tcPr>
            <w:tcW w:w="71" w:type="dxa"/>
            <w:tcBorders/>
            <w:shd w:fill="auto" w:val="clear"/>
            <w:vAlign w:val="bottom"/>
          </w:tcPr>
          <w:p>
            <w:pPr>
              <w:pStyle w:val="TableContents"/>
              <w:spacing w:before="0" w:after="283"/>
              <w:rPr/>
            </w:pPr>
            <w:r>
              <w:rPr/>
              <w:t> </w:t>
            </w:r>
          </w:p>
        </w:tc>
      </w:tr>
      <w:tr>
        <w:trPr/>
        <w:tc>
          <w:tcPr>
            <w:tcW w:w="2888" w:type="dxa"/>
            <w:tcBorders/>
            <w:shd w:fill="CCEEFF" w:val="clear"/>
          </w:tcPr>
          <w:p>
            <w:pPr>
              <w:pStyle w:val="TableContents"/>
              <w:spacing w:before="0" w:after="0"/>
              <w:rPr>
                <w:rFonts w:ascii="Times New Roman" w:hAnsi="Times New Roman"/>
                <w:sz w:val="20"/>
              </w:rPr>
            </w:pPr>
            <w:r>
              <w:rPr>
                <w:rFonts w:ascii="Times New Roman" w:hAnsi="Times New Roman"/>
                <w:sz w:val="20"/>
              </w:rPr>
              <w:t>0 months</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0.042</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59" w:type="dxa"/>
            <w:tcBorders/>
            <w:shd w:fill="CCEEFF" w:val="clear"/>
            <w:vAlign w:val="bottom"/>
          </w:tcPr>
          <w:p>
            <w:pPr>
              <w:pStyle w:val="TableContents"/>
              <w:spacing w:before="0" w:after="283"/>
              <w:jc w:val="right"/>
              <w:rPr/>
            </w:pPr>
            <w:r>
              <w:rPr/>
              <w:t>0.115</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0.179</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0.233</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0.281</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0.323</w:t>
            </w:r>
          </w:p>
        </w:tc>
        <w:tc>
          <w:tcPr>
            <w:tcW w:w="59"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0.361</w:t>
            </w:r>
          </w:p>
        </w:tc>
        <w:tc>
          <w:tcPr>
            <w:tcW w:w="71" w:type="dxa"/>
            <w:tcBorders/>
            <w:shd w:fill="CCEEFF" w:val="clear"/>
            <w:vAlign w:val="bottom"/>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The exact Redemption Fair Market Value and Redemption Date may not be set forth in the table above, in which case, if the Redemption Fair Market Value is between two values in the table or the Redemption Date is between two redemption dates in the table, the number of Ordinary Shares to be issued for each Warrant exercised in a Make-Whole Exercise shall be determined by a straight-line interpolation between the number of shares set forth for the higher and lower Redemption Fair Market Values and the earlier and later redemption dates, as applicable, based on a 365- or 366-day year, as applicable. </w:t>
      </w:r>
    </w:p>
    <w:p>
      <w:pPr>
        <w:pStyle w:val="TextBody"/>
        <w:spacing w:before="240" w:after="0"/>
        <w:jc w:val="left"/>
        <w:rPr>
          <w:rFonts w:ascii="Times New Roman" w:hAnsi="Times New Roman"/>
          <w:sz w:val="20"/>
        </w:rPr>
      </w:pPr>
      <w:r>
        <w:rPr>
          <w:rFonts w:ascii="Times New Roman" w:hAnsi="Times New Roman"/>
          <w:sz w:val="20"/>
        </w:rPr>
        <w:t xml:space="preserve">The share prices set forth in the column headings of the table above shall be adjusted as of any date on which the number of shares issuable upon exercise of a Warrant or the Exercise Price is adjusted pursuant to Section 4 hereof. If the number of shares issuable upon exercise of a Warrant is adjusted pursuant to </w:t>
      </w:r>
      <w:r>
        <w:rPr>
          <w:rFonts w:ascii="Times New Roman" w:hAnsi="Times New Roman"/>
          <w:sz w:val="20"/>
          <w:u w:val="single"/>
        </w:rPr>
        <w:t>Section 4</w:t>
      </w:r>
      <w:r>
        <w:rPr>
          <w:rFonts w:ascii="Times New Roman" w:hAnsi="Times New Roman"/>
          <w:sz w:val="20"/>
        </w:rPr>
        <w:t xml:space="preserve"> hereof, the adjusted share prices in the column headings shall equal the share prices immediately prior to such adjustment, multiplied by a fraction, the numerator of which is the number of shares deliverable upon exercise of a Warrant immediately prior to such adjustment and the denominator of which is the number of shares deliverable upon exercise of a Warrant as so adjusted. The number of shares in the table above shall be adjusted in the same manner and at the same time as the number of shares issuable upon exercise of a Warrant. If the Exercise Price of a warrant is adjusted, (a) in the case of an adjustment pursuant to Section 4.4 hereof, the adjusted share prices in the column headings shall equal the share prices immediately prior to such adjustment multiplied by a fraction, the numerator of which is the higher of the Market Value and the Newly Issued Price and the denominator of which is $10.00 and (b) in the case of an adjustment pursuant to Section 4.1.2 hereof, the adjusted share prices in the column headings shall equal the share prices immediately prior to such adjustment less the decrease in the Exercise Price pursuant to such Exercise Price adjustment. In no event shall the number of shares issued in connection with a Make-Whole Exercise exceed 0.361 Ordinary Shares per Warrant (subject to adjustment) </w:t>
      </w:r>
    </w:p>
    <w:p>
      <w:pPr>
        <w:pStyle w:val="TextBody"/>
        <w:spacing w:before="240" w:after="0"/>
        <w:jc w:val="left"/>
        <w:rPr>
          <w:rFonts w:ascii="Times New Roman" w:hAnsi="Times New Roman"/>
          <w:sz w:val="20"/>
        </w:rPr>
      </w:pPr>
      <w:r>
        <w:rPr>
          <w:rFonts w:ascii="Times New Roman" w:hAnsi="Times New Roman"/>
          <w:sz w:val="20"/>
        </w:rPr>
        <w:t xml:space="preserve">6.3. </w:t>
      </w:r>
      <w:r>
        <w:rPr>
          <w:rFonts w:ascii="Times New Roman" w:hAnsi="Times New Roman"/>
          <w:sz w:val="20"/>
          <w:u w:val="single"/>
        </w:rPr>
        <w:t>Date Fixed for, and Notice of, Redemption; Redemption Price; Reference Value</w:t>
      </w:r>
      <w:r>
        <w:rPr>
          <w:rFonts w:ascii="Times New Roman" w:hAnsi="Times New Roman"/>
          <w:sz w:val="20"/>
        </w:rPr>
        <w:t xml:space="preserve">. In the event that the Company elects to redeem the Warrants pursuant to </w:t>
      </w:r>
      <w:r>
        <w:rPr>
          <w:rFonts w:ascii="Times New Roman" w:hAnsi="Times New Roman"/>
          <w:sz w:val="20"/>
          <w:u w:val="single"/>
        </w:rPr>
        <w:t>Sections 6.1</w:t>
      </w:r>
      <w:r>
        <w:rPr>
          <w:rFonts w:ascii="Times New Roman" w:hAnsi="Times New Roman"/>
          <w:sz w:val="20"/>
        </w:rPr>
        <w:t xml:space="preserve"> or </w:t>
      </w:r>
      <w:r>
        <w:rPr>
          <w:rFonts w:ascii="Times New Roman" w:hAnsi="Times New Roman"/>
          <w:sz w:val="20"/>
          <w:u w:val="single"/>
        </w:rPr>
        <w:t>6.2</w:t>
      </w:r>
      <w:r>
        <w:rPr>
          <w:rFonts w:ascii="Times New Roman" w:hAnsi="Times New Roman"/>
          <w:sz w:val="20"/>
        </w:rPr>
        <w:t>, the Company shall fix a date for the redemption (the </w:t>
      </w:r>
      <w:r>
        <w:rPr>
          <w:rFonts w:ascii="Times New Roman" w:hAnsi="Times New Roman"/>
          <w:b/>
          <w:i/>
          <w:sz w:val="20"/>
        </w:rPr>
        <w:t>Redemption Date</w:t>
      </w:r>
      <w:r>
        <w:rPr>
          <w:rFonts w:ascii="Times New Roman" w:hAnsi="Times New Roman"/>
          <w:sz w:val="20"/>
        </w:rPr>
        <w:t>). Notice of redemption shall be mailed by first class mail, postage prepaid, by the Company not less than thirty (30) days prior to the Redemption Date (the </w:t>
      </w:r>
      <w:r>
        <w:rPr>
          <w:rFonts w:ascii="Times New Roman" w:hAnsi="Times New Roman"/>
          <w:b/>
          <w:i/>
          <w:sz w:val="20"/>
        </w:rPr>
        <w:t>30-day Redemption Period</w:t>
      </w:r>
      <w:r>
        <w:rPr>
          <w:rFonts w:ascii="Times New Roman" w:hAnsi="Times New Roman"/>
          <w:sz w:val="20"/>
        </w:rPr>
        <w:t>) to the Registered Holders of the Warrants to be redeemed at their last addresses as they shall appear on the registration books. Any notice mailed in the manner herein provided shall be conclusively presumed to have been duly given whether or not the Registered Holder received such notice. As used in this Agreement, (a) </w:t>
      </w:r>
      <w:r>
        <w:rPr>
          <w:rFonts w:ascii="Times New Roman" w:hAnsi="Times New Roman"/>
          <w:b/>
          <w:i/>
          <w:sz w:val="20"/>
        </w:rPr>
        <w:t>Redemption Price</w:t>
      </w:r>
      <w:r>
        <w:rPr>
          <w:rFonts w:ascii="Times New Roman" w:hAnsi="Times New Roman"/>
          <w:sz w:val="20"/>
        </w:rPr>
        <w:t xml:space="preserve"> shall mean the price per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Warrant at which any Warrants are redeemed pursuant to </w:t>
      </w:r>
      <w:r>
        <w:rPr>
          <w:rFonts w:ascii="Times New Roman" w:hAnsi="Times New Roman"/>
          <w:sz w:val="20"/>
          <w:u w:val="single"/>
        </w:rPr>
        <w:t>Sections 6.1</w:t>
      </w:r>
      <w:r>
        <w:rPr>
          <w:rFonts w:ascii="Times New Roman" w:hAnsi="Times New Roman"/>
          <w:sz w:val="20"/>
        </w:rPr>
        <w:t xml:space="preserve"> or </w:t>
      </w:r>
      <w:r>
        <w:rPr>
          <w:rFonts w:ascii="Times New Roman" w:hAnsi="Times New Roman"/>
          <w:sz w:val="20"/>
          <w:u w:val="single"/>
        </w:rPr>
        <w:t>6.2</w:t>
      </w:r>
      <w:r>
        <w:rPr>
          <w:rFonts w:ascii="Times New Roman" w:hAnsi="Times New Roman"/>
          <w:sz w:val="20"/>
        </w:rPr>
        <w:t xml:space="preserve"> and (b) </w:t>
      </w:r>
      <w:r>
        <w:rPr>
          <w:rFonts w:ascii="Times New Roman" w:hAnsi="Times New Roman"/>
          <w:b/>
          <w:i/>
          <w:sz w:val="20"/>
        </w:rPr>
        <w:t>Reference Value</w:t>
      </w:r>
      <w:r>
        <w:rPr>
          <w:rFonts w:ascii="Times New Roman" w:hAnsi="Times New Roman"/>
          <w:sz w:val="20"/>
        </w:rPr>
        <w:t xml:space="preserve"> shall mean the last reported sales price of the Ordinary Shares for any twenty (20) trading days within the thirty (30) trading-day period ending on the third trading day prior to the date on which notice of the redemption is given. </w:t>
      </w:r>
    </w:p>
    <w:p>
      <w:pPr>
        <w:pStyle w:val="TextBody"/>
        <w:spacing w:before="240" w:after="0"/>
        <w:jc w:val="left"/>
        <w:rPr>
          <w:rFonts w:ascii="Times New Roman" w:hAnsi="Times New Roman"/>
          <w:sz w:val="20"/>
        </w:rPr>
      </w:pPr>
      <w:r>
        <w:rPr>
          <w:rFonts w:ascii="Times New Roman" w:hAnsi="Times New Roman"/>
          <w:sz w:val="20"/>
        </w:rPr>
        <w:t xml:space="preserve">6.4. </w:t>
      </w:r>
      <w:r>
        <w:rPr>
          <w:rFonts w:ascii="Times New Roman" w:hAnsi="Times New Roman"/>
          <w:sz w:val="20"/>
          <w:u w:val="single"/>
        </w:rPr>
        <w:t>Exercise After Notice of Redemption</w:t>
      </w:r>
      <w:r>
        <w:rPr>
          <w:rFonts w:ascii="Times New Roman" w:hAnsi="Times New Roman"/>
          <w:sz w:val="20"/>
        </w:rPr>
        <w:t xml:space="preserve">. The Warrants may be exercised, for cash (or on a cashless basis in accordance with </w:t>
      </w:r>
      <w:r>
        <w:rPr>
          <w:rFonts w:ascii="Times New Roman" w:hAnsi="Times New Roman"/>
          <w:sz w:val="20"/>
          <w:u w:val="single"/>
        </w:rPr>
        <w:t>Section 6.2</w:t>
      </w:r>
      <w:r>
        <w:rPr>
          <w:rFonts w:ascii="Times New Roman" w:hAnsi="Times New Roman"/>
          <w:sz w:val="20"/>
        </w:rPr>
        <w:t xml:space="preserve"> of this Agreement) at any time after notice of redemption shall have been given by the Company pursuant to </w:t>
      </w:r>
      <w:r>
        <w:rPr>
          <w:rFonts w:ascii="Times New Roman" w:hAnsi="Times New Roman"/>
          <w:sz w:val="20"/>
          <w:u w:val="single"/>
        </w:rPr>
        <w:t>Section 6.3</w:t>
      </w:r>
      <w:r>
        <w:rPr>
          <w:rFonts w:ascii="Times New Roman" w:hAnsi="Times New Roman"/>
          <w:sz w:val="20"/>
        </w:rPr>
        <w:t xml:space="preserve"> hereof and prior to the Redemption Date. On and after the Redemption Date, the record holder of the Warrants shall have no further rights except to receive, upon surrender of the Warrants, the Redemption Price. </w:t>
      </w:r>
    </w:p>
    <w:p>
      <w:pPr>
        <w:pStyle w:val="TextBody"/>
        <w:spacing w:before="240" w:after="0"/>
        <w:jc w:val="left"/>
        <w:rPr>
          <w:rFonts w:ascii="Times New Roman" w:hAnsi="Times New Roman"/>
          <w:sz w:val="20"/>
        </w:rPr>
      </w:pPr>
      <w:r>
        <w:rPr>
          <w:rFonts w:ascii="Times New Roman" w:hAnsi="Times New Roman"/>
          <w:sz w:val="20"/>
        </w:rPr>
        <w:t xml:space="preserve">6.5. </w:t>
      </w:r>
      <w:r>
        <w:rPr>
          <w:rFonts w:ascii="Times New Roman" w:hAnsi="Times New Roman"/>
          <w:sz w:val="20"/>
          <w:u w:val="single"/>
        </w:rPr>
        <w:t>Exclusion of Private Placement Warrants</w:t>
      </w:r>
      <w:r>
        <w:rPr>
          <w:rFonts w:ascii="Times New Roman" w:hAnsi="Times New Roman"/>
          <w:sz w:val="20"/>
        </w:rPr>
        <w:t xml:space="preserve">. The Company agrees that (a) the redemption rights provided in </w:t>
      </w:r>
      <w:r>
        <w:rPr>
          <w:rFonts w:ascii="Times New Roman" w:hAnsi="Times New Roman"/>
          <w:sz w:val="20"/>
          <w:u w:val="single"/>
        </w:rPr>
        <w:t>Section 6.1</w:t>
      </w:r>
      <w:r>
        <w:rPr>
          <w:rFonts w:ascii="Times New Roman" w:hAnsi="Times New Roman"/>
          <w:sz w:val="20"/>
        </w:rPr>
        <w:t xml:space="preserve"> hereof shall not apply to the Private Placement Warrants if at the time of the redemption such Private Placement Warrants continue to be held by the Sponsor or its Permitted Transferees and (b) if the Reference Value equals or exceeds $18.00 per share (subject to adjustment in compliance with </w:t>
      </w:r>
      <w:r>
        <w:rPr>
          <w:rFonts w:ascii="Times New Roman" w:hAnsi="Times New Roman"/>
          <w:sz w:val="20"/>
          <w:u w:val="single"/>
        </w:rPr>
        <w:t>Section 4</w:t>
      </w:r>
      <w:r>
        <w:rPr>
          <w:rFonts w:ascii="Times New Roman" w:hAnsi="Times New Roman"/>
          <w:sz w:val="20"/>
        </w:rPr>
        <w:t xml:space="preserve"> hereof), the redemption rights provided in </w:t>
      </w:r>
      <w:r>
        <w:rPr>
          <w:rFonts w:ascii="Times New Roman" w:hAnsi="Times New Roman"/>
          <w:sz w:val="20"/>
          <w:u w:val="single"/>
        </w:rPr>
        <w:t>Section 6.2</w:t>
      </w:r>
      <w:r>
        <w:rPr>
          <w:rFonts w:ascii="Times New Roman" w:hAnsi="Times New Roman"/>
          <w:sz w:val="20"/>
        </w:rPr>
        <w:t xml:space="preserve"> hereof shall not apply to the Private Placement Warrants if at the time of the redemption such Private Placement Warrants continue to be held by the Sponsor or its Permitted Transferees. However, once such Private Placement Warrants are transferred (other than to Permitted Transferees in accordance with </w:t>
      </w:r>
      <w:r>
        <w:rPr>
          <w:rFonts w:ascii="Times New Roman" w:hAnsi="Times New Roman"/>
          <w:sz w:val="20"/>
          <w:u w:val="single"/>
        </w:rPr>
        <w:t>Section 2.6</w:t>
      </w:r>
      <w:r>
        <w:rPr>
          <w:rFonts w:ascii="Times New Roman" w:hAnsi="Times New Roman"/>
          <w:sz w:val="20"/>
        </w:rPr>
        <w:t xml:space="preserve"> hereof), the Company may redeem the Private Placement Warrants pursuant to </w:t>
      </w:r>
      <w:r>
        <w:rPr>
          <w:rFonts w:ascii="Times New Roman" w:hAnsi="Times New Roman"/>
          <w:sz w:val="20"/>
          <w:u w:val="single"/>
        </w:rPr>
        <w:t>Section 6.1</w:t>
      </w:r>
      <w:r>
        <w:rPr>
          <w:rFonts w:ascii="Times New Roman" w:hAnsi="Times New Roman"/>
          <w:sz w:val="20"/>
        </w:rPr>
        <w:t xml:space="preserve"> or </w:t>
      </w:r>
      <w:r>
        <w:rPr>
          <w:rFonts w:ascii="Times New Roman" w:hAnsi="Times New Roman"/>
          <w:sz w:val="20"/>
          <w:u w:val="single"/>
        </w:rPr>
        <w:t>6.2</w:t>
      </w:r>
      <w:r>
        <w:rPr>
          <w:rFonts w:ascii="Times New Roman" w:hAnsi="Times New Roman"/>
          <w:sz w:val="20"/>
        </w:rPr>
        <w:t xml:space="preserve"> hereof, provided that the criteria for redemption are met, including the opportunity of the holder of such Private Placement Warrants to exercise the Private Placement Warrants prior to redemption pursuant to </w:t>
      </w:r>
      <w:r>
        <w:rPr>
          <w:rFonts w:ascii="Times New Roman" w:hAnsi="Times New Roman"/>
          <w:sz w:val="20"/>
          <w:u w:val="single"/>
        </w:rPr>
        <w:t>Section 6.4</w:t>
      </w:r>
      <w:r>
        <w:rPr>
          <w:rFonts w:ascii="Times New Roman" w:hAnsi="Times New Roman"/>
          <w:sz w:val="20"/>
        </w:rPr>
        <w:t xml:space="preserve"> hereof. Private Placement Warrants that are transferred to persons other than Permitted Transferees shall upon such transfer cease to be Private Placement Warrants and shall become Public Warrants under this Agreement, including for purposes of </w:t>
      </w:r>
      <w:r>
        <w:rPr>
          <w:rFonts w:ascii="Times New Roman" w:hAnsi="Times New Roman"/>
          <w:sz w:val="20"/>
          <w:u w:val="single"/>
        </w:rPr>
        <w:t>Section 9.8</w:t>
      </w:r>
      <w:r>
        <w:rPr>
          <w:rFonts w:ascii="Times New Roman" w:hAnsi="Times New Roman"/>
          <w:sz w:val="20"/>
        </w:rPr>
        <w:t xml:space="preserve"> hereof. </w:t>
      </w:r>
    </w:p>
    <w:p>
      <w:pPr>
        <w:pStyle w:val="TextBody"/>
        <w:spacing w:before="36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Other Provisions Relating to Rights of Holders of Warrants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7.1. </w:t>
      </w:r>
      <w:r>
        <w:rPr>
          <w:rFonts w:ascii="Times New Roman" w:hAnsi="Times New Roman"/>
          <w:sz w:val="20"/>
          <w:u w:val="single"/>
        </w:rPr>
        <w:t>No Rights as Shareholder</w:t>
      </w:r>
      <w:r>
        <w:rPr>
          <w:rFonts w:ascii="Times New Roman" w:hAnsi="Times New Roman"/>
          <w:sz w:val="20"/>
        </w:rPr>
        <w:t xml:space="preserve">. A Warrant does not entitle the Registered Holder thereof to any of the rights of a shareholder of the Company, including, without limitation, the right to receive dividends, or other distributions, exercise any preemptive rights to vote or to consent or to receive notice as shareholders in respect of the meetings of shareholders or the election of directors of the Company or any other matter. </w:t>
      </w:r>
    </w:p>
    <w:p>
      <w:pPr>
        <w:pStyle w:val="TextBody"/>
        <w:spacing w:before="240" w:after="0"/>
        <w:jc w:val="left"/>
        <w:rPr>
          <w:rFonts w:ascii="Times New Roman" w:hAnsi="Times New Roman"/>
          <w:sz w:val="20"/>
        </w:rPr>
      </w:pPr>
      <w:r>
        <w:rPr>
          <w:rFonts w:ascii="Times New Roman" w:hAnsi="Times New Roman"/>
          <w:sz w:val="20"/>
        </w:rPr>
        <w:t xml:space="preserve">7.2. </w:t>
      </w:r>
      <w:r>
        <w:rPr>
          <w:rFonts w:ascii="Times New Roman" w:hAnsi="Times New Roman"/>
          <w:sz w:val="20"/>
          <w:u w:val="single"/>
        </w:rPr>
        <w:t>Lost, Stolen, Mutilated, or Destroyed Warrants</w:t>
      </w:r>
      <w:r>
        <w:rPr>
          <w:rFonts w:ascii="Times New Roman" w:hAnsi="Times New Roman"/>
          <w:sz w:val="20"/>
        </w:rPr>
        <w:t xml:space="preserve">. If any Warrant is lost, stolen, mutilated, or destroyed, the Company and the Warrant Agent may on such terms as to indemnity or otherwise as they may in their discretion impose (which shall, in the case of a mutilated Warrant, include the surrender thereof), issue a new Warrant of like denomination, tenor, and date as the Warrant so lost, stolen, mutilated, or destroyed. Any such new Warrant shall constitute a substitute contractual obligation of the Company, whether or not the allegedly lost, stolen, mutilated, or destroyed Warrant shall be at any time enforceable by anyone. </w:t>
      </w:r>
    </w:p>
    <w:p>
      <w:pPr>
        <w:pStyle w:val="TextBody"/>
        <w:spacing w:before="240" w:after="0"/>
        <w:jc w:val="left"/>
        <w:rPr>
          <w:rFonts w:ascii="Times New Roman" w:hAnsi="Times New Roman"/>
          <w:sz w:val="20"/>
        </w:rPr>
      </w:pPr>
      <w:r>
        <w:rPr>
          <w:rFonts w:ascii="Times New Roman" w:hAnsi="Times New Roman"/>
          <w:sz w:val="20"/>
        </w:rPr>
        <w:t xml:space="preserve">7.3. </w:t>
      </w:r>
      <w:r>
        <w:rPr>
          <w:rFonts w:ascii="Times New Roman" w:hAnsi="Times New Roman"/>
          <w:sz w:val="20"/>
          <w:u w:val="single"/>
        </w:rPr>
        <w:t>Reservation of Ordinary Shares</w:t>
      </w:r>
      <w:r>
        <w:rPr>
          <w:rFonts w:ascii="Times New Roman" w:hAnsi="Times New Roman"/>
          <w:sz w:val="20"/>
        </w:rPr>
        <w:t xml:space="preserve">. The Company shall at all times reserve and keep available a number of its authorized but unissued Ordinary Shares that shall be sufficient to permit the exercise in full of all outstanding Warrants issued pursuant to this Agreement. </w:t>
      </w:r>
    </w:p>
    <w:p>
      <w:pPr>
        <w:pStyle w:val="TextBody"/>
        <w:spacing w:before="360" w:after="0"/>
        <w:jc w:val="left"/>
        <w:rPr>
          <w:rFonts w:ascii="Times New Roman" w:hAnsi="Times New Roman"/>
          <w:sz w:val="20"/>
        </w:rPr>
      </w:pPr>
      <w:r>
        <w:rPr>
          <w:rFonts w:ascii="Times New Roman" w:hAnsi="Times New Roman"/>
          <w:sz w:val="20"/>
        </w:rPr>
        <w:t xml:space="preserve">7.4. </w:t>
      </w:r>
      <w:r>
        <w:rPr>
          <w:rFonts w:ascii="Times New Roman" w:hAnsi="Times New Roman"/>
          <w:sz w:val="20"/>
          <w:u w:val="single"/>
        </w:rPr>
        <w:t>Registration of Ordinary Shares; Cashless Exercise at Companys Option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7.4.1. </w:t>
      </w:r>
      <w:r>
        <w:rPr>
          <w:rFonts w:ascii="Times New Roman" w:hAnsi="Times New Roman"/>
          <w:sz w:val="20"/>
          <w:u w:val="single"/>
        </w:rPr>
        <w:t>Registration of the Ordinary Shares</w:t>
      </w:r>
      <w:r>
        <w:rPr>
          <w:rFonts w:ascii="Times New Roman" w:hAnsi="Times New Roman"/>
          <w:sz w:val="20"/>
        </w:rPr>
        <w:t>. The Company agrees that as soon as practicable, but in no event later than twenty (20) Business Days after the closing of its initial Business Combination, it shall use its commercially reasonable efforts to file with the Commission a registration statement for the registration, under the Securities Act, of the Ordinary Shares issuable upon exercise of the Warrants. The Company shall use its commercially reasonable efforts to cause the same to become effective within sixty (60) Business Days following the closing of its initial Business Combination and to maintain the effectiveness of such registration statement, and a current prospectus relating thereto, until the expiration or redemption of the Warrants in accordance with the provisions of this Agreement. If any such registration statement has not been declared effective by the sixtieth (60</w:t>
      </w:r>
      <w:r>
        <w:rPr>
          <w:rFonts w:ascii="Times New Roman" w:hAnsi="Times New Roman"/>
          <w:sz w:val="20"/>
          <w:u w:val="single"/>
        </w:rPr>
        <w:t>th</w:t>
      </w:r>
      <w:r>
        <w:rPr>
          <w:rFonts w:ascii="Times New Roman" w:hAnsi="Times New Roman"/>
          <w:sz w:val="20"/>
        </w:rPr>
        <w:t>) Business Day following the closing of the Business Combination, holders of the Warrants shall have the right, during the period beginning on the sixty-first (61</w:t>
      </w:r>
      <w:r>
        <w:rPr>
          <w:rFonts w:ascii="Times New Roman" w:hAnsi="Times New Roman"/>
          <w:sz w:val="20"/>
          <w:u w:val="single"/>
        </w:rPr>
        <w:t>st</w:t>
      </w:r>
      <w:r>
        <w:rPr>
          <w:rFonts w:ascii="Times New Roman" w:hAnsi="Times New Roman"/>
          <w:sz w:val="20"/>
        </w:rPr>
        <w:t xml:space="preserve">) Business Day after the closing of the Business Combination and ending upon such registration statement being declared effective by the Commission, and during any other period when the Company shall fail to have maintained an effective registration statement covering the issuance of the Ordinary Shares issuable upon exercise of the Warrants, to exercise such Warrants on a cashless basis, by exchanging the Warrants (in accordance with Section 3(a)(9) of the Securities Act or another exemption) for that number of Ordinary Shares equal to the lesser of (A) the quotient obtained by dividing (x) the product of the number of Ordinary Shares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underlying the Warrants, multiplied by the excess of the Fair Market Value (as defined below) less the Warrant Price by (y) the Fair Market Value and (B) 0.361. Solely for purposes of this </w:t>
      </w:r>
      <w:r>
        <w:rPr>
          <w:rFonts w:ascii="Times New Roman" w:hAnsi="Times New Roman"/>
          <w:sz w:val="20"/>
          <w:u w:val="single"/>
        </w:rPr>
        <w:t>subsection 7.4.1</w:t>
      </w:r>
      <w:r>
        <w:rPr>
          <w:rFonts w:ascii="Times New Roman" w:hAnsi="Times New Roman"/>
          <w:sz w:val="20"/>
        </w:rPr>
        <w:t>, </w:t>
      </w:r>
      <w:r>
        <w:rPr>
          <w:rFonts w:ascii="Times New Roman" w:hAnsi="Times New Roman"/>
          <w:b/>
          <w:i/>
          <w:sz w:val="20"/>
        </w:rPr>
        <w:t>Fair Market Value</w:t>
      </w:r>
      <w:r>
        <w:rPr>
          <w:rFonts w:ascii="Times New Roman" w:hAnsi="Times New Roman"/>
          <w:sz w:val="20"/>
        </w:rPr>
        <w:t xml:space="preserve"> shall mean the volume-weighted average price of the Ordinary Shares as reported during the ten (10) trading day period ending on the trading day prior to the date that notice of exercise is received by the Warrant Agent from the holder of such Warrants or its securities broker or intermediary. The date that notice of cashless exercise is received by the Warrant Agent shall be conclusively determined by the Warrant Agent. In connection with the cashless exercise of a Public Warrant, the Company shall, upon request, provide the Warrant Agent with an opinion of counsel for the Company (which shall be an outside law firm with securities law experience) stating that (i) the exercise of the Warrants on a cashless basis in accordance with this </w:t>
      </w:r>
      <w:r>
        <w:rPr>
          <w:rFonts w:ascii="Times New Roman" w:hAnsi="Times New Roman"/>
          <w:sz w:val="20"/>
          <w:u w:val="single"/>
        </w:rPr>
        <w:t>subsection 7.4.1</w:t>
      </w:r>
      <w:r>
        <w:rPr>
          <w:rFonts w:ascii="Times New Roman" w:hAnsi="Times New Roman"/>
          <w:sz w:val="20"/>
        </w:rPr>
        <w:t xml:space="preserve"> is not required to be registered under the Securities Act and (ii) the Ordinary Shares issued upon such exercise shall be freely tradable under United States federal securities laws by anyone who is not an affiliate (as such term is defined in Rule 144 under the Securities Act) of the Company and, accordingly, shall not be required to bear a restrictive legend. Except as provided in </w:t>
      </w:r>
      <w:r>
        <w:rPr>
          <w:rFonts w:ascii="Times New Roman" w:hAnsi="Times New Roman"/>
          <w:sz w:val="20"/>
          <w:u w:val="single"/>
        </w:rPr>
        <w:t>subsection 7.4.2</w:t>
      </w:r>
      <w:r>
        <w:rPr>
          <w:rFonts w:ascii="Times New Roman" w:hAnsi="Times New Roman"/>
          <w:sz w:val="20"/>
        </w:rPr>
        <w:t xml:space="preserve">, for the avoidance of doubt, unless and until all of the Warrants have been exercised or have expired, the Company shall continue to be obligated to comply with its registration obligations under the first three sentences of this </w:t>
      </w:r>
      <w:r>
        <w:rPr>
          <w:rFonts w:ascii="Times New Roman" w:hAnsi="Times New Roman"/>
          <w:sz w:val="20"/>
          <w:u w:val="single"/>
        </w:rPr>
        <w:t>subsection 7.4.1</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7.4.2. </w:t>
      </w:r>
      <w:r>
        <w:rPr>
          <w:rFonts w:ascii="Times New Roman" w:hAnsi="Times New Roman"/>
          <w:sz w:val="20"/>
          <w:u w:val="single"/>
        </w:rPr>
        <w:t>Cashless Exercise at Companys Option</w:t>
      </w:r>
      <w:r>
        <w:rPr>
          <w:rFonts w:ascii="Times New Roman" w:hAnsi="Times New Roman"/>
          <w:sz w:val="20"/>
        </w:rPr>
        <w:t xml:space="preserve">. If the Ordinary Shares are at the time of any exercise of a Public Warrant not listed on a national securities exchange such that they satisfy the definition of a covered security under Section 18(b)(1) of the Securities Act, the Company may, at its option, (i) require holders of Public Warrants who exercise Public Warrants to exercise such Public Warrants on a cashless basis in accordance with Section 3(a)(9) of the Securities Act as described in </w:t>
      </w:r>
      <w:r>
        <w:rPr>
          <w:rFonts w:ascii="Times New Roman" w:hAnsi="Times New Roman"/>
          <w:sz w:val="20"/>
          <w:u w:val="single"/>
        </w:rPr>
        <w:t>subsection 7.4.1</w:t>
      </w:r>
      <w:r>
        <w:rPr>
          <w:rFonts w:ascii="Times New Roman" w:hAnsi="Times New Roman"/>
          <w:sz w:val="20"/>
        </w:rPr>
        <w:t xml:space="preserve"> and (ii) in the event the Company so elects, the Company shall (x) not be required to file or maintain in effect a registration statement for the registration, under the Securities Act, of the Ordinary Shares issuable upon exercise of the Warrants, notwithstanding anything in this Agreement to the contrary, and (y) use its commercially reasonable efforts to register or qualify for sale the Ordinary Shares issuable upon exercise of the Public Warrant under applicable blue sky laws to the extent an exemption is not available. </w:t>
      </w:r>
    </w:p>
    <w:p>
      <w:pPr>
        <w:pStyle w:val="TextBody"/>
        <w:spacing w:before="36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Concerning the Warrant Agent and Other Matters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8.1. </w:t>
      </w:r>
      <w:r>
        <w:rPr>
          <w:rFonts w:ascii="Times New Roman" w:hAnsi="Times New Roman"/>
          <w:sz w:val="20"/>
          <w:u w:val="single"/>
        </w:rPr>
        <w:t>Payment of Taxes</w:t>
      </w:r>
      <w:r>
        <w:rPr>
          <w:rFonts w:ascii="Times New Roman" w:hAnsi="Times New Roman"/>
          <w:sz w:val="20"/>
        </w:rPr>
        <w:t xml:space="preserve">. The Company shall from time to time promptly pay all taxes and charges that may be imposed upon the Company or the Warrant Agent in respect of the issuance or delivery of Ordinary Shares upon the exercise of the Warrants, but the Company shall not be obligated to pay any transfer taxes in respect of the Warrants or such shares. </w:t>
      </w:r>
    </w:p>
    <w:p>
      <w:pPr>
        <w:pStyle w:val="TextBody"/>
        <w:spacing w:before="360" w:after="0"/>
        <w:jc w:val="left"/>
        <w:rPr>
          <w:rFonts w:ascii="Times New Roman" w:hAnsi="Times New Roman"/>
          <w:sz w:val="20"/>
        </w:rPr>
      </w:pPr>
      <w:r>
        <w:rPr>
          <w:rFonts w:ascii="Times New Roman" w:hAnsi="Times New Roman"/>
          <w:sz w:val="20"/>
        </w:rPr>
        <w:t xml:space="preserve">8.2. </w:t>
      </w:r>
      <w:r>
        <w:rPr>
          <w:rFonts w:ascii="Times New Roman" w:hAnsi="Times New Roman"/>
          <w:sz w:val="20"/>
          <w:u w:val="single"/>
        </w:rPr>
        <w:t>Resignation, Consolidation, or Merger of Warrant Agent</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8.2.1. </w:t>
      </w:r>
      <w:r>
        <w:rPr>
          <w:rFonts w:ascii="Times New Roman" w:hAnsi="Times New Roman"/>
          <w:sz w:val="20"/>
          <w:u w:val="single"/>
        </w:rPr>
        <w:t>Appointment of Successor Warrant Agent</w:t>
      </w:r>
      <w:r>
        <w:rPr>
          <w:rFonts w:ascii="Times New Roman" w:hAnsi="Times New Roman"/>
          <w:sz w:val="20"/>
        </w:rPr>
        <w:t xml:space="preserve">. The Warrant Agent, or any successor to it hereafter appointed, may resign its duties and be discharged from all further duties and liabilities hereunder after giving sixty (60) days notice in writing to the Company. If the office of the Warrant Agent becomes vacant by resignation or incapacity to act or otherwise, the Company shall appoint in writing a successor Warrant Agent in place of the Warrant Agent. If the Company shall fail to make such appointment within a period of thirty (30) days after it has been notified in writing of such resignation or incapacity by the Warrant Agent or by the holder of a Warrant (who shall, with such notice, submit his, her or its Warrant for inspection by the Company), then the holder of any Warrant may apply to the Supreme Court of the State of New York for the County of New York for the appointment of a successor Warrant Agent at the Companys cost. Any successor Warrant Agent, whether appointed by the Company or by such court, shall be a corporation or other entity organized and existing under the laws of the State of New York, in good standing and having its principal office in the United States of America, and authorized under such laws to exercise corporate trust powers and subject to supervision or examination by federal or state authority. After appointment, any successor Warrant Agent shall be vested with all the authority, powers, rights, immunities, duties, and obligations of its predecessor Warrant Agent with like effect as if originally named as Warrant Agent hereunder, without any further act or deed; but if for any reason it becomes necessary or appropriate, the predecessor Warrant Agent shall execute and deliver, at the expense of the Company, an instrument transferring to such successor Warrant Agent all the authority, powers, and rights of such predecessor Warrant Agent hereunder; and upon request of any successor Warrant Agent the Company shall make, execute, acknowledge, and deliver any and all instruments in writing for more fully and effectually vesting in and confirming to such successor Warrant Agent all such authority, powers, rights, immunities, duties, and obligations.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8.2.2. </w:t>
      </w:r>
      <w:r>
        <w:rPr>
          <w:rFonts w:ascii="Times New Roman" w:hAnsi="Times New Roman"/>
          <w:sz w:val="20"/>
          <w:u w:val="single"/>
        </w:rPr>
        <w:t>Notice of Successor Warrant Agent</w:t>
      </w:r>
      <w:r>
        <w:rPr>
          <w:rFonts w:ascii="Times New Roman" w:hAnsi="Times New Roman"/>
          <w:sz w:val="20"/>
        </w:rPr>
        <w:t xml:space="preserve">. In the event a successor Warrant Agent shall be appointed, the Company shall give notice thereof to the predecessor Warrant Agent and the Transfer Agent for the Ordinary Shares not later than the effective date of any such appointment. </w:t>
      </w:r>
    </w:p>
    <w:p>
      <w:pPr>
        <w:pStyle w:val="TextBody"/>
        <w:spacing w:before="240" w:after="0"/>
        <w:jc w:val="left"/>
        <w:rPr>
          <w:rFonts w:ascii="Times New Roman" w:hAnsi="Times New Roman"/>
          <w:sz w:val="20"/>
        </w:rPr>
      </w:pPr>
      <w:r>
        <w:rPr>
          <w:rFonts w:ascii="Times New Roman" w:hAnsi="Times New Roman"/>
          <w:sz w:val="20"/>
        </w:rPr>
        <w:t xml:space="preserve">8.2.3. </w:t>
      </w:r>
      <w:r>
        <w:rPr>
          <w:rFonts w:ascii="Times New Roman" w:hAnsi="Times New Roman"/>
          <w:sz w:val="20"/>
          <w:u w:val="single"/>
        </w:rPr>
        <w:t>Merger or Consolidation of Warrant Agent</w:t>
      </w:r>
      <w:r>
        <w:rPr>
          <w:rFonts w:ascii="Times New Roman" w:hAnsi="Times New Roman"/>
          <w:sz w:val="20"/>
        </w:rPr>
        <w:t xml:space="preserve">. Any entity into which the Warrant Agent may be merged or with which it may be consolidated or any entity resulting from any merger or consolidation to which the Warrant Agent shall be a party shall be the successor Warrant Agent under this Agreement without any further act. </w:t>
      </w:r>
    </w:p>
    <w:p>
      <w:pPr>
        <w:pStyle w:val="TextBody"/>
        <w:spacing w:before="360" w:after="0"/>
        <w:jc w:val="left"/>
        <w:rPr>
          <w:rFonts w:ascii="Times New Roman" w:hAnsi="Times New Roman"/>
          <w:sz w:val="20"/>
        </w:rPr>
      </w:pPr>
      <w:r>
        <w:rPr>
          <w:rFonts w:ascii="Times New Roman" w:hAnsi="Times New Roman"/>
          <w:sz w:val="20"/>
        </w:rPr>
        <w:t xml:space="preserve">8.3. </w:t>
      </w:r>
      <w:r>
        <w:rPr>
          <w:rFonts w:ascii="Times New Roman" w:hAnsi="Times New Roman"/>
          <w:sz w:val="20"/>
          <w:u w:val="single"/>
        </w:rPr>
        <w:t>Fees and Expenses of Warrant Agent</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8.3.1. </w:t>
      </w:r>
      <w:r>
        <w:rPr>
          <w:rFonts w:ascii="Times New Roman" w:hAnsi="Times New Roman"/>
          <w:sz w:val="20"/>
          <w:u w:val="single"/>
        </w:rPr>
        <w:t>Remuneration</w:t>
      </w:r>
      <w:r>
        <w:rPr>
          <w:rFonts w:ascii="Times New Roman" w:hAnsi="Times New Roman"/>
          <w:sz w:val="20"/>
        </w:rPr>
        <w:t xml:space="preserve">. The Company agrees to pay the Warrant Agent reasonable remuneration for its services as such Warrant Agent hereunder and shall, pursuant to its obligations under this Agreement, reimburse the Warrant Agent upon demand for all expenditures that the Warrant Agent may reasonably incur in the execution of its duties hereunder. </w:t>
      </w:r>
    </w:p>
    <w:p>
      <w:pPr>
        <w:pStyle w:val="TextBody"/>
        <w:spacing w:before="240" w:after="0"/>
        <w:jc w:val="left"/>
        <w:rPr>
          <w:rFonts w:ascii="Times New Roman" w:hAnsi="Times New Roman"/>
          <w:sz w:val="20"/>
        </w:rPr>
      </w:pPr>
      <w:r>
        <w:rPr>
          <w:rFonts w:ascii="Times New Roman" w:hAnsi="Times New Roman"/>
          <w:sz w:val="20"/>
        </w:rPr>
        <w:t xml:space="preserve">8.3.2. </w:t>
      </w:r>
      <w:r>
        <w:rPr>
          <w:rFonts w:ascii="Times New Roman" w:hAnsi="Times New Roman"/>
          <w:sz w:val="20"/>
          <w:u w:val="single"/>
        </w:rPr>
        <w:t>Further Assurances</w:t>
      </w:r>
      <w:r>
        <w:rPr>
          <w:rFonts w:ascii="Times New Roman" w:hAnsi="Times New Roman"/>
          <w:sz w:val="20"/>
        </w:rPr>
        <w:t xml:space="preserve">. The Company agrees to perform, execute, acknowledge, and deliver or cause to be performed, executed, acknowledged, and delivered all such further and other acts, instruments, and assurances as may reasonably be required by the Warrant Agent for the carrying out or performing of the provisions of this Agreement. </w:t>
      </w:r>
    </w:p>
    <w:p>
      <w:pPr>
        <w:pStyle w:val="TextBody"/>
        <w:spacing w:before="360" w:after="0"/>
        <w:jc w:val="left"/>
        <w:rPr>
          <w:rFonts w:ascii="Times New Roman" w:hAnsi="Times New Roman"/>
          <w:sz w:val="20"/>
        </w:rPr>
      </w:pPr>
      <w:r>
        <w:rPr>
          <w:rFonts w:ascii="Times New Roman" w:hAnsi="Times New Roman"/>
          <w:sz w:val="20"/>
        </w:rPr>
        <w:t xml:space="preserve">8.4. </w:t>
      </w:r>
      <w:r>
        <w:rPr>
          <w:rFonts w:ascii="Times New Roman" w:hAnsi="Times New Roman"/>
          <w:sz w:val="20"/>
          <w:u w:val="single"/>
        </w:rPr>
        <w:t>Liability of Warrant Agent</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8.4.1. </w:t>
      </w:r>
      <w:r>
        <w:rPr>
          <w:rFonts w:ascii="Times New Roman" w:hAnsi="Times New Roman"/>
          <w:sz w:val="20"/>
          <w:u w:val="single"/>
        </w:rPr>
        <w:t>Reliance on Company Statement</w:t>
      </w:r>
      <w:r>
        <w:rPr>
          <w:rFonts w:ascii="Times New Roman" w:hAnsi="Times New Roman"/>
          <w:sz w:val="20"/>
        </w:rPr>
        <w:t xml:space="preserve">. Whenever in the performance of its duties under this Agreement, the Warrant Agent shall deem it necessary or desirable that any fact or matter be proved or established by the Company prior to taking or suffering any action hereunder, such fact or matter (unless other evidence in respect thereof be herein specifically prescribed) may be deemed to be conclusively proved and established by a statement signed by the Chief Executive Officer, the President, the Chief Financial Officer, Chief Operating Officer, the General Counsel, the Secretary or the Chairman of the Board of the Company and delivered to the Warrant Agent. The Warrant Agent may rely upon such statement for any action taken or suffered in good faith by it pursuant to the provisions of this Agreement. </w:t>
      </w:r>
    </w:p>
    <w:p>
      <w:pPr>
        <w:pStyle w:val="TextBody"/>
        <w:spacing w:before="240" w:after="0"/>
        <w:jc w:val="left"/>
        <w:rPr>
          <w:rFonts w:ascii="Times New Roman" w:hAnsi="Times New Roman"/>
          <w:sz w:val="20"/>
        </w:rPr>
      </w:pPr>
      <w:r>
        <w:rPr>
          <w:rFonts w:ascii="Times New Roman" w:hAnsi="Times New Roman"/>
          <w:sz w:val="20"/>
        </w:rPr>
        <w:t xml:space="preserve">8.4.2. </w:t>
      </w:r>
      <w:r>
        <w:rPr>
          <w:rFonts w:ascii="Times New Roman" w:hAnsi="Times New Roman"/>
          <w:sz w:val="20"/>
          <w:u w:val="single"/>
        </w:rPr>
        <w:t>Indemnity</w:t>
      </w:r>
      <w:r>
        <w:rPr>
          <w:rFonts w:ascii="Times New Roman" w:hAnsi="Times New Roman"/>
          <w:sz w:val="20"/>
        </w:rPr>
        <w:t xml:space="preserve">. The Warrant Agent shall be liable hereunder only for its own gross negligence, willful misconduct, fraud or bad faith. The Company agrees to indemnify the Warrant Agent and save it harmless against any and all liabilities, including judgments, out-of-pocket costs and reasonable outside counsel fees, for anything done or omitted by the Warrant Agent in the execution of this Agreement, except as a result of the Warrant Agents gross negligence, willful misconduct, fraud or bad faith. </w:t>
      </w:r>
    </w:p>
    <w:p>
      <w:pPr>
        <w:pStyle w:val="TextBody"/>
        <w:spacing w:before="240" w:after="0"/>
        <w:jc w:val="left"/>
        <w:rPr>
          <w:rFonts w:ascii="Times New Roman" w:hAnsi="Times New Roman"/>
          <w:sz w:val="20"/>
        </w:rPr>
      </w:pPr>
      <w:r>
        <w:rPr>
          <w:rFonts w:ascii="Times New Roman" w:hAnsi="Times New Roman"/>
          <w:sz w:val="20"/>
        </w:rPr>
        <w:t xml:space="preserve">8.4.3. </w:t>
      </w:r>
      <w:r>
        <w:rPr>
          <w:rFonts w:ascii="Times New Roman" w:hAnsi="Times New Roman"/>
          <w:sz w:val="20"/>
          <w:u w:val="single"/>
        </w:rPr>
        <w:t>Exclusions</w:t>
      </w:r>
      <w:r>
        <w:rPr>
          <w:rFonts w:ascii="Times New Roman" w:hAnsi="Times New Roman"/>
          <w:sz w:val="20"/>
        </w:rPr>
        <w:t xml:space="preserve">. The Warrant Agent shall have no responsibility with respect to the validity of this Agreement or with respect to the validity or execution of any Warrant (except its countersignature thereof). The Warrant Agent shall not be responsible for any breach by the Company of any covenant or condition contained in this Agreement or in any Warrant. The Warrant Agent shall not be responsible to make any adjustments required under the provisions of </w:t>
      </w:r>
      <w:r>
        <w:rPr>
          <w:rFonts w:ascii="Times New Roman" w:hAnsi="Times New Roman"/>
          <w:sz w:val="20"/>
          <w:u w:val="single"/>
        </w:rPr>
        <w:t>Section 4</w:t>
      </w:r>
      <w:r>
        <w:rPr>
          <w:rFonts w:ascii="Times New Roman" w:hAnsi="Times New Roman"/>
          <w:sz w:val="20"/>
        </w:rPr>
        <w:t xml:space="preserve"> hereof or responsible for the manner, method, or amount of any such adjustment or the ascertaining of the existence of facts that would require any such adjustment; nor shall it by any act hereunder be deemed to make any representation or warranty as to the authorization or reservation of any Ordinary Shares to be issued pursuant to this Agreement or any Warrant or as to whether any Ordinary Shares shall, when issued, be valid and fully paid and nonassessable. </w:t>
      </w:r>
    </w:p>
    <w:p>
      <w:pPr>
        <w:pStyle w:val="TextBody"/>
        <w:spacing w:before="240" w:after="0"/>
        <w:jc w:val="left"/>
        <w:rPr>
          <w:rFonts w:ascii="Times New Roman" w:hAnsi="Times New Roman"/>
          <w:sz w:val="20"/>
        </w:rPr>
      </w:pPr>
      <w:r>
        <w:rPr>
          <w:rFonts w:ascii="Times New Roman" w:hAnsi="Times New Roman"/>
          <w:sz w:val="20"/>
        </w:rPr>
        <w:t xml:space="preserve">8.5. </w:t>
      </w:r>
      <w:r>
        <w:rPr>
          <w:rFonts w:ascii="Times New Roman" w:hAnsi="Times New Roman"/>
          <w:sz w:val="20"/>
          <w:u w:val="single"/>
        </w:rPr>
        <w:t>Acceptance of Agency</w:t>
      </w:r>
      <w:r>
        <w:rPr>
          <w:rFonts w:ascii="Times New Roman" w:hAnsi="Times New Roman"/>
          <w:sz w:val="20"/>
        </w:rPr>
        <w:t xml:space="preserve">. The Warrant Agent hereby accepts the agency established by this Agreement and agrees to perform the same upon the terms and conditions herein set forth and among other things, shall account promptly to the Company with respect to Warrants exercised and concurrently account for, and pay to the Company, all monies received by the Warrant Agent for the purchase of Ordinary Shares through the exercise of the Warrants. </w:t>
      </w:r>
    </w:p>
    <w:p>
      <w:pPr>
        <w:pStyle w:val="TextBody"/>
        <w:spacing w:before="240" w:after="0"/>
        <w:jc w:val="left"/>
        <w:rPr>
          <w:rFonts w:ascii="Times New Roman" w:hAnsi="Times New Roman"/>
          <w:sz w:val="20"/>
        </w:rPr>
      </w:pPr>
      <w:r>
        <w:rPr>
          <w:rFonts w:ascii="Times New Roman" w:hAnsi="Times New Roman"/>
          <w:sz w:val="20"/>
        </w:rPr>
        <w:t xml:space="preserve">8.6. </w:t>
      </w:r>
      <w:r>
        <w:rPr>
          <w:rFonts w:ascii="Times New Roman" w:hAnsi="Times New Roman"/>
          <w:sz w:val="20"/>
          <w:u w:val="single"/>
        </w:rPr>
        <w:t>Waiver</w:t>
      </w:r>
      <w:r>
        <w:rPr>
          <w:rFonts w:ascii="Times New Roman" w:hAnsi="Times New Roman"/>
          <w:sz w:val="20"/>
        </w:rPr>
        <w:t>. The Warrant Agent has no right of set-off or any other right, title, interest or claim of any kind (</w:t>
      </w:r>
      <w:r>
        <w:rPr>
          <w:rFonts w:ascii="Times New Roman" w:hAnsi="Times New Roman"/>
          <w:b/>
          <w:i/>
          <w:sz w:val="20"/>
        </w:rPr>
        <w:t>Claim</w:t>
      </w:r>
      <w:r>
        <w:rPr>
          <w:rFonts w:ascii="Times New Roman" w:hAnsi="Times New Roman"/>
          <w:sz w:val="20"/>
        </w:rPr>
        <w:t xml:space="preserve">) in, or to any distribution of, the Trust Account (as defined in that certain Investment Management Trust Agreement, dated as of the date hereof, by and between the Company and Continental Stock Transfer &amp; Trust Company as trustee thereunder) and hereby agrees not to seek recourse, reimbursement, payment or satisfaction for any Claim against the Trust Account for any reason whatsoever. The Warrant Agent hereby waives any and all Claims against the Trust Account and any and all rights to seek access to the Trust Account.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Miscellaneous Provisions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9.1. </w:t>
      </w:r>
      <w:r>
        <w:rPr>
          <w:rFonts w:ascii="Times New Roman" w:hAnsi="Times New Roman"/>
          <w:sz w:val="20"/>
          <w:u w:val="single"/>
        </w:rPr>
        <w:t>Successors</w:t>
      </w:r>
      <w:r>
        <w:rPr>
          <w:rFonts w:ascii="Times New Roman" w:hAnsi="Times New Roman"/>
          <w:sz w:val="20"/>
        </w:rPr>
        <w:t xml:space="preserve">. All the covenants and provisions of this Agreement by or for the benefit of the Company or the Warrant Agent shall bind and inure to the benefit of their respective successors and assigns. </w:t>
      </w:r>
    </w:p>
    <w:p>
      <w:pPr>
        <w:pStyle w:val="TextBody"/>
        <w:spacing w:before="240" w:after="0"/>
        <w:jc w:val="left"/>
        <w:rPr>
          <w:rFonts w:ascii="Times New Roman" w:hAnsi="Times New Roman"/>
          <w:sz w:val="20"/>
        </w:rPr>
      </w:pPr>
      <w:r>
        <w:rPr>
          <w:rFonts w:ascii="Times New Roman" w:hAnsi="Times New Roman"/>
          <w:sz w:val="20"/>
        </w:rPr>
        <w:t xml:space="preserve">9.2. </w:t>
      </w:r>
      <w:r>
        <w:rPr>
          <w:rFonts w:ascii="Times New Roman" w:hAnsi="Times New Roman"/>
          <w:sz w:val="20"/>
          <w:u w:val="single"/>
        </w:rPr>
        <w:t>Notices</w:t>
      </w:r>
      <w:r>
        <w:rPr>
          <w:rFonts w:ascii="Times New Roman" w:hAnsi="Times New Roman"/>
          <w:sz w:val="20"/>
        </w:rPr>
        <w:t xml:space="preserve">. Any notice, statement or demand authorized by this Agreement to be given or made by the Warrant Agent or by the holder of any Warrant to or on the Company shall be sufficiently given when so delivered if by hand or overnight delivery or if sent by certified mail or private courier service within five (5) days after deposit of such notice, postage prepaid, addressed (until another address is filed in writing by the Company with the Warrant Agent), as follows: </w:t>
      </w:r>
    </w:p>
    <w:p>
      <w:pPr>
        <w:pStyle w:val="TextBody"/>
        <w:spacing w:before="240" w:after="0"/>
        <w:jc w:val="left"/>
        <w:rPr>
          <w:rFonts w:ascii="Times New Roman" w:hAnsi="Times New Roman"/>
          <w:sz w:val="20"/>
        </w:rPr>
      </w:pPr>
      <w:r>
        <w:rPr>
          <w:rFonts w:ascii="Times New Roman" w:hAnsi="Times New Roman"/>
          <w:sz w:val="20"/>
        </w:rPr>
        <w:t xml:space="preserve">ArcLight Clean Transition Corp. II </w:t>
      </w:r>
    </w:p>
    <w:p>
      <w:pPr>
        <w:pStyle w:val="TextBody"/>
        <w:spacing w:before="0" w:after="0"/>
        <w:jc w:val="left"/>
        <w:rPr>
          <w:rFonts w:ascii="Times New Roman" w:hAnsi="Times New Roman"/>
          <w:sz w:val="20"/>
        </w:rPr>
      </w:pPr>
      <w:r>
        <w:rPr>
          <w:rFonts w:ascii="Times New Roman" w:hAnsi="Times New Roman"/>
          <w:sz w:val="20"/>
        </w:rPr>
        <w:t xml:space="preserve">200 Clarendon Street, 55th Floor </w:t>
      </w:r>
    </w:p>
    <w:p>
      <w:pPr>
        <w:pStyle w:val="TextBody"/>
        <w:spacing w:before="0" w:after="0"/>
        <w:jc w:val="left"/>
        <w:rPr>
          <w:rFonts w:ascii="Times New Roman" w:hAnsi="Times New Roman"/>
          <w:sz w:val="20"/>
        </w:rPr>
      </w:pPr>
      <w:r>
        <w:rPr>
          <w:rFonts w:ascii="Times New Roman" w:hAnsi="Times New Roman"/>
          <w:sz w:val="20"/>
        </w:rPr>
        <w:t xml:space="preserve">Boston, MA 02116 </w:t>
      </w:r>
    </w:p>
    <w:p>
      <w:pPr>
        <w:pStyle w:val="TextBody"/>
        <w:spacing w:before="0" w:after="0"/>
        <w:jc w:val="left"/>
        <w:rPr>
          <w:rFonts w:ascii="Times New Roman" w:hAnsi="Times New Roman"/>
          <w:sz w:val="20"/>
        </w:rPr>
      </w:pPr>
      <w:r>
        <w:rPr>
          <w:rFonts w:ascii="Times New Roman" w:hAnsi="Times New Roman"/>
          <w:sz w:val="20"/>
        </w:rPr>
        <w:t xml:space="preserve">Attention: Chief Executive Officer </w:t>
      </w:r>
    </w:p>
    <w:p>
      <w:pPr>
        <w:pStyle w:val="TextBody"/>
        <w:spacing w:before="240" w:after="0"/>
        <w:jc w:val="left"/>
        <w:rPr>
          <w:rFonts w:ascii="Times New Roman" w:hAnsi="Times New Roman"/>
          <w:sz w:val="20"/>
        </w:rPr>
      </w:pPr>
      <w:r>
        <w:rPr>
          <w:rFonts w:ascii="Times New Roman" w:hAnsi="Times New Roman"/>
          <w:sz w:val="20"/>
        </w:rPr>
        <w:t xml:space="preserve">with a copy to: </w:t>
      </w:r>
    </w:p>
    <w:p>
      <w:pPr>
        <w:pStyle w:val="TextBody"/>
        <w:spacing w:before="240" w:after="0"/>
        <w:jc w:val="left"/>
        <w:rPr>
          <w:rFonts w:ascii="Times New Roman" w:hAnsi="Times New Roman"/>
          <w:sz w:val="20"/>
        </w:rPr>
      </w:pPr>
      <w:r>
        <w:rPr>
          <w:rFonts w:ascii="Times New Roman" w:hAnsi="Times New Roman"/>
          <w:sz w:val="20"/>
        </w:rPr>
        <w:t xml:space="preserve">Kirkland &amp; Ellis LLP </w:t>
      </w:r>
    </w:p>
    <w:p>
      <w:pPr>
        <w:pStyle w:val="TextBody"/>
        <w:spacing w:before="0" w:after="0"/>
        <w:jc w:val="left"/>
        <w:rPr>
          <w:rFonts w:ascii="Times New Roman" w:hAnsi="Times New Roman"/>
          <w:sz w:val="20"/>
        </w:rPr>
      </w:pPr>
      <w:r>
        <w:rPr>
          <w:rFonts w:ascii="Times New Roman" w:hAnsi="Times New Roman"/>
          <w:sz w:val="20"/>
        </w:rPr>
        <w:t xml:space="preserve">601 Lexington Avenue </w:t>
      </w:r>
    </w:p>
    <w:p>
      <w:pPr>
        <w:pStyle w:val="TextBody"/>
        <w:spacing w:before="0" w:after="0"/>
        <w:jc w:val="left"/>
        <w:rPr>
          <w:rFonts w:ascii="Times New Roman" w:hAnsi="Times New Roman"/>
          <w:sz w:val="20"/>
        </w:rPr>
      </w:pPr>
      <w:r>
        <w:rPr>
          <w:rFonts w:ascii="Times New Roman" w:hAnsi="Times New Roman"/>
          <w:sz w:val="20"/>
        </w:rPr>
        <w:t xml:space="preserve">New York, New York 10022 </w:t>
      </w:r>
    </w:p>
    <w:p>
      <w:pPr>
        <w:pStyle w:val="TextBody"/>
        <w:spacing w:before="0" w:after="0"/>
        <w:jc w:val="left"/>
        <w:rPr>
          <w:rFonts w:ascii="Times New Roman" w:hAnsi="Times New Roman"/>
          <w:sz w:val="20"/>
        </w:rPr>
      </w:pPr>
      <w:r>
        <w:rPr>
          <w:rFonts w:ascii="Times New Roman" w:hAnsi="Times New Roman"/>
          <w:sz w:val="20"/>
        </w:rPr>
        <w:t xml:space="preserve">Attention: Christian O. Nagler </w:t>
      </w:r>
    </w:p>
    <w:p>
      <w:pPr>
        <w:pStyle w:val="TextBody"/>
        <w:spacing w:before="0" w:after="0"/>
        <w:jc w:val="left"/>
        <w:rPr>
          <w:rFonts w:ascii="Times New Roman" w:hAnsi="Times New Roman"/>
          <w:sz w:val="20"/>
        </w:rPr>
      </w:pPr>
      <w:r>
        <w:rPr>
          <w:rFonts w:ascii="Times New Roman" w:hAnsi="Times New Roman"/>
          <w:sz w:val="20"/>
        </w:rPr>
        <w:t xml:space="preserve">James S. Rowe </w:t>
      </w:r>
    </w:p>
    <w:p>
      <w:pPr>
        <w:pStyle w:val="TextBody"/>
        <w:spacing w:before="240" w:after="0"/>
        <w:jc w:val="left"/>
        <w:rPr>
          <w:rFonts w:ascii="Times New Roman" w:hAnsi="Times New Roman"/>
          <w:sz w:val="20"/>
        </w:rPr>
      </w:pPr>
      <w:r>
        <w:rPr>
          <w:rFonts w:ascii="Times New Roman" w:hAnsi="Times New Roman"/>
          <w:sz w:val="20"/>
        </w:rPr>
        <w:t xml:space="preserve">Any notice, statement or demand authorized by this Agreement to be given or made by the holder of any Warrant or by the Company to or on the Warrant Agent shall be sufficiently given when so delivered if by hand or overnight delivery or if sent by certified mail or private courier service within five (5) days after deposit of such notice, postage prepaid, addressed (until another address is filed in writing by the Warrant Agent with the Company), as follows: </w:t>
      </w:r>
    </w:p>
    <w:p>
      <w:pPr>
        <w:pStyle w:val="TextBody"/>
        <w:spacing w:before="240" w:after="0"/>
        <w:jc w:val="left"/>
        <w:rPr>
          <w:rFonts w:ascii="Times New Roman" w:hAnsi="Times New Roman"/>
          <w:sz w:val="20"/>
        </w:rPr>
      </w:pPr>
      <w:r>
        <w:rPr>
          <w:rFonts w:ascii="Times New Roman" w:hAnsi="Times New Roman"/>
          <w:sz w:val="20"/>
        </w:rPr>
        <w:t xml:space="preserve">Continental Stock Transfer &amp; Trust Company </w:t>
      </w:r>
    </w:p>
    <w:p>
      <w:pPr>
        <w:pStyle w:val="TextBody"/>
        <w:spacing w:before="0" w:after="0"/>
        <w:jc w:val="left"/>
        <w:rPr>
          <w:rFonts w:ascii="Times New Roman" w:hAnsi="Times New Roman"/>
          <w:sz w:val="20"/>
        </w:rPr>
      </w:pPr>
      <w:r>
        <w:rPr>
          <w:rFonts w:ascii="Times New Roman" w:hAnsi="Times New Roman"/>
          <w:sz w:val="20"/>
        </w:rPr>
        <w:t xml:space="preserve">One State Street, 30th Floor </w:t>
      </w:r>
    </w:p>
    <w:p>
      <w:pPr>
        <w:pStyle w:val="TextBody"/>
        <w:spacing w:before="0" w:after="0"/>
        <w:jc w:val="left"/>
        <w:rPr>
          <w:rFonts w:ascii="Times New Roman" w:hAnsi="Times New Roman"/>
          <w:sz w:val="20"/>
        </w:rPr>
      </w:pPr>
      <w:r>
        <w:rPr>
          <w:rFonts w:ascii="Times New Roman" w:hAnsi="Times New Roman"/>
          <w:sz w:val="20"/>
        </w:rPr>
        <w:t xml:space="preserve">New York, NY 10004 </w:t>
      </w:r>
    </w:p>
    <w:p>
      <w:pPr>
        <w:pStyle w:val="TextBody"/>
        <w:spacing w:before="0" w:after="0"/>
        <w:jc w:val="left"/>
        <w:rPr>
          <w:rFonts w:ascii="Times New Roman" w:hAnsi="Times New Roman"/>
          <w:sz w:val="20"/>
        </w:rPr>
      </w:pPr>
      <w:r>
        <w:rPr>
          <w:rFonts w:ascii="Times New Roman" w:hAnsi="Times New Roman"/>
          <w:sz w:val="20"/>
        </w:rPr>
        <w:t xml:space="preserve">Attention: Compliance Department </w:t>
      </w:r>
    </w:p>
    <w:p>
      <w:pPr>
        <w:pStyle w:val="TextBody"/>
        <w:spacing w:before="240" w:after="0"/>
        <w:jc w:val="left"/>
        <w:rPr>
          <w:rFonts w:ascii="Times New Roman" w:hAnsi="Times New Roman"/>
          <w:sz w:val="20"/>
        </w:rPr>
      </w:pPr>
      <w:r>
        <w:rPr>
          <w:rFonts w:ascii="Times New Roman" w:hAnsi="Times New Roman"/>
          <w:sz w:val="20"/>
        </w:rPr>
        <w:t xml:space="preserve">9.3. </w:t>
      </w:r>
      <w:r>
        <w:rPr>
          <w:rFonts w:ascii="Times New Roman" w:hAnsi="Times New Roman"/>
          <w:sz w:val="20"/>
          <w:u w:val="single"/>
        </w:rPr>
        <w:t>Applicable Law</w:t>
      </w:r>
      <w:r>
        <w:rPr>
          <w:rFonts w:ascii="Times New Roman" w:hAnsi="Times New Roman"/>
          <w:sz w:val="20"/>
        </w:rPr>
        <w:t xml:space="preserve">. The validity, interpretation, and performance of this Agreement and of the Warrants shall be governed in all respects by the laws of the State of New York. Subject to applicable law, the Company hereby agrees that any action, proceeding or claim against it arising out of or relating in any way to this Agreement shall be brought and enforced in the courts of the State of New York or the United States District Court for the Southern District of New York, and irrevocably submits to such jurisdiction, which jurisdiction shall be exclusive forum for any such action, proceeding or claim. The Company hereby waives any objection to such exclusive jurisdiction and that such courts represent an inconvenient forum. Notwithstanding the foregoing, the provisions of this paragraph will not apply to suits brought to enforce any liability or duty created by the Exchange Act or any other claim for which the federal district courts of the United States of America are the sole and exclusive forum. </w:t>
      </w:r>
    </w:p>
    <w:p>
      <w:pPr>
        <w:pStyle w:val="TextBody"/>
        <w:spacing w:before="240" w:after="0"/>
        <w:jc w:val="left"/>
        <w:rPr>
          <w:rFonts w:ascii="Times New Roman" w:hAnsi="Times New Roman"/>
          <w:sz w:val="20"/>
        </w:rPr>
      </w:pPr>
      <w:r>
        <w:rPr>
          <w:rFonts w:ascii="Times New Roman" w:hAnsi="Times New Roman"/>
          <w:sz w:val="20"/>
        </w:rPr>
        <w:t xml:space="preserve">Any person or entity purchasing or otherwise acquiring any interest in the Warrants shall be deemed to have notice of and to have consented to the forum provisions in this Section 9.3. If any action, the subject matter of which is within the scope the forum provisions above, is filed in a court other than a court located within the State of New York or the United States District Court for the Southern District of New York (a foreign action) in the name of any warrant holder, such warrant holder shall be deemed to have consented to: (x) the personal jurisdiction of the state and federal courts located within the State of New York or the United States District Court for the Southern District of New York in connection with any action brought in any such court to enforce the forum provisions (an enforcement action), and (y) having service of process made upon such warrant holder in any such enforcement action by service upon such warrant holders counsel in the foreign action as agent for such warrant holder. </w:t>
      </w:r>
    </w:p>
    <w:p>
      <w:pPr>
        <w:pStyle w:val="TextBody"/>
        <w:spacing w:before="240" w:after="0"/>
        <w:jc w:val="left"/>
        <w:rPr>
          <w:rFonts w:ascii="Times New Roman" w:hAnsi="Times New Roman"/>
          <w:sz w:val="20"/>
        </w:rPr>
      </w:pPr>
      <w:r>
        <w:rPr>
          <w:rFonts w:ascii="Times New Roman" w:hAnsi="Times New Roman"/>
          <w:sz w:val="20"/>
        </w:rPr>
        <w:t xml:space="preserve">9.4. </w:t>
      </w:r>
      <w:r>
        <w:rPr>
          <w:rFonts w:ascii="Times New Roman" w:hAnsi="Times New Roman"/>
          <w:sz w:val="20"/>
          <w:u w:val="single"/>
        </w:rPr>
        <w:t>Persons Having Rights under this Agreement</w:t>
      </w:r>
      <w:r>
        <w:rPr>
          <w:rFonts w:ascii="Times New Roman" w:hAnsi="Times New Roman"/>
          <w:sz w:val="20"/>
        </w:rPr>
        <w:t xml:space="preserve">. Nothing in this Agreement shall be construed to confer upon, or give to, any person, corporation or other entity other than the parties hereto and the Registered Holders of the Warrants any right, remedy, or claim under or by reason of this Agreement or of any covenant, condition, stipulation, promise, or agreement hereof. All covenants, conditions, stipulations, promises, and agreements contained in this Agreement shall be for the sole and exclusive benefit of the parties hereto and their successors and assigns and of the Registered Holders of the Warrants.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9.5. </w:t>
      </w:r>
      <w:r>
        <w:rPr>
          <w:rFonts w:ascii="Times New Roman" w:hAnsi="Times New Roman"/>
          <w:sz w:val="20"/>
          <w:u w:val="single"/>
        </w:rPr>
        <w:t>Examination of the Warrant Agreement</w:t>
      </w:r>
      <w:r>
        <w:rPr>
          <w:rFonts w:ascii="Times New Roman" w:hAnsi="Times New Roman"/>
          <w:sz w:val="20"/>
        </w:rPr>
        <w:t xml:space="preserve">. A copy of this Agreement shall be available at all reasonable times at the office of the Warrant Agent in the United States of America, for inspection by the Registered Holder of any Warrant. The Warrant Agent may require any such holder to submit such holders Warrant for inspection by the Warrant Agent. </w:t>
      </w:r>
    </w:p>
    <w:p>
      <w:pPr>
        <w:pStyle w:val="TextBody"/>
        <w:spacing w:before="240" w:after="0"/>
        <w:jc w:val="left"/>
        <w:rPr>
          <w:rFonts w:ascii="Times New Roman" w:hAnsi="Times New Roman"/>
          <w:sz w:val="20"/>
        </w:rPr>
      </w:pPr>
      <w:r>
        <w:rPr>
          <w:rFonts w:ascii="Times New Roman" w:hAnsi="Times New Roman"/>
          <w:sz w:val="20"/>
        </w:rPr>
        <w:t xml:space="preserve">9.6. </w:t>
      </w:r>
      <w:r>
        <w:rPr>
          <w:rFonts w:ascii="Times New Roman" w:hAnsi="Times New Roman"/>
          <w:sz w:val="20"/>
          <w:u w:val="single"/>
        </w:rPr>
        <w:t>Counterparts</w:t>
      </w:r>
      <w:r>
        <w:rPr>
          <w:rFonts w:ascii="Times New Roman" w:hAnsi="Times New Roman"/>
          <w:sz w:val="20"/>
        </w:rPr>
        <w:t xml:space="preserve">. This Agreement may be executed in any number of original or facsimile counterparts and each of such counterparts shall for all purposes be deemed to be an original, and all such counterparts shall together constitute but one and the same instrument. </w:t>
      </w:r>
    </w:p>
    <w:p>
      <w:pPr>
        <w:pStyle w:val="TextBody"/>
        <w:spacing w:before="240" w:after="0"/>
        <w:jc w:val="left"/>
        <w:rPr>
          <w:rFonts w:ascii="Times New Roman" w:hAnsi="Times New Roman"/>
          <w:sz w:val="20"/>
        </w:rPr>
      </w:pPr>
      <w:r>
        <w:rPr>
          <w:rFonts w:ascii="Times New Roman" w:hAnsi="Times New Roman"/>
          <w:sz w:val="20"/>
        </w:rPr>
        <w:t xml:space="preserve">9.7. </w:t>
      </w:r>
      <w:r>
        <w:rPr>
          <w:rFonts w:ascii="Times New Roman" w:hAnsi="Times New Roman"/>
          <w:sz w:val="20"/>
          <w:u w:val="single"/>
        </w:rPr>
        <w:t>Effect of Headings</w:t>
      </w:r>
      <w:r>
        <w:rPr>
          <w:rFonts w:ascii="Times New Roman" w:hAnsi="Times New Roman"/>
          <w:sz w:val="20"/>
        </w:rPr>
        <w:t xml:space="preserve">. The section headings herein are for convenience only and are not part of this Agreement and shall not affect the interpretation thereof. </w:t>
      </w:r>
    </w:p>
    <w:p>
      <w:pPr>
        <w:pStyle w:val="TextBody"/>
        <w:spacing w:before="240" w:after="0"/>
        <w:jc w:val="left"/>
        <w:rPr>
          <w:rFonts w:ascii="Times New Roman" w:hAnsi="Times New Roman"/>
          <w:sz w:val="20"/>
        </w:rPr>
      </w:pPr>
      <w:r>
        <w:rPr>
          <w:rFonts w:ascii="Times New Roman" w:hAnsi="Times New Roman"/>
          <w:sz w:val="20"/>
        </w:rPr>
        <w:t xml:space="preserve">9.8. </w:t>
      </w:r>
      <w:r>
        <w:rPr>
          <w:rFonts w:ascii="Times New Roman" w:hAnsi="Times New Roman"/>
          <w:sz w:val="20"/>
          <w:u w:val="single"/>
        </w:rPr>
        <w:t>Amendments</w:t>
      </w:r>
      <w:r>
        <w:rPr>
          <w:rFonts w:ascii="Times New Roman" w:hAnsi="Times New Roman"/>
          <w:sz w:val="20"/>
        </w:rPr>
        <w:t xml:space="preserve">. This Agreement may be amended by the parties hereto without the consent of any Registered Holder for the purpose of (i) curing any ambiguity or to correct any mistake, including to conform the provisions hereof to the description of the terms of the Warrants and this Agreement set forth in the Prospectus, or defective provision contained herein, (ii) amending the definition of Ordinary Cash Dividend as contemplated by and in accordance with the second sentence of subsection 4.1.2 or (iii) adding or changing any provisions with respect to matters or questions arising under this Agreement as the parties may deem necessary or desirable and that the parties deem shall not adversely affect the rights of the Registered Holders under this Agreement. All other modifications or amendments, including any modification or amendment to increase the Warrant Price or shorten the Exercise Period and any amendment to the terms of only the Private Placement Warrants, shall require the vote or written consent of the Registered Holders of 65% of the then-outstanding Public Warrants and, solely with respect to any amendment to the terms of the Private Placement Warrants or any provision of this Agreement with respect to the Private Placement Warrants, 65% of the then-outstanding Private Placement Warrants. Notwithstanding the foregoing, the Company may lower the Warrant Price or extend the duration of the Exercise Period pursuant to </w:t>
      </w:r>
      <w:r>
        <w:rPr>
          <w:rFonts w:ascii="Times New Roman" w:hAnsi="Times New Roman"/>
          <w:sz w:val="20"/>
          <w:u w:val="single"/>
        </w:rPr>
        <w:t>Sections 3.1</w:t>
      </w:r>
      <w:r>
        <w:rPr>
          <w:rFonts w:ascii="Times New Roman" w:hAnsi="Times New Roman"/>
          <w:sz w:val="20"/>
        </w:rPr>
        <w:t xml:space="preserve"> and </w:t>
      </w:r>
      <w:r>
        <w:rPr>
          <w:rFonts w:ascii="Times New Roman" w:hAnsi="Times New Roman"/>
          <w:sz w:val="20"/>
          <w:u w:val="single"/>
        </w:rPr>
        <w:t>3.2</w:t>
      </w:r>
      <w:r>
        <w:rPr>
          <w:rFonts w:ascii="Times New Roman" w:hAnsi="Times New Roman"/>
          <w:sz w:val="20"/>
        </w:rPr>
        <w:t xml:space="preserve">, respectively, without the consent of the Registered Holders. </w:t>
      </w:r>
    </w:p>
    <w:p>
      <w:pPr>
        <w:pStyle w:val="TextBody"/>
        <w:spacing w:before="240" w:after="0"/>
        <w:jc w:val="left"/>
        <w:rPr>
          <w:rFonts w:ascii="Times New Roman" w:hAnsi="Times New Roman"/>
          <w:sz w:val="20"/>
        </w:rPr>
      </w:pPr>
      <w:r>
        <w:rPr>
          <w:rFonts w:ascii="Times New Roman" w:hAnsi="Times New Roman"/>
          <w:sz w:val="20"/>
        </w:rPr>
        <w:t xml:space="preserve">9.9. </w:t>
      </w:r>
      <w:r>
        <w:rPr>
          <w:rFonts w:ascii="Times New Roman" w:hAnsi="Times New Roman"/>
          <w:sz w:val="20"/>
          <w:u w:val="single"/>
        </w:rPr>
        <w:t>Severability</w:t>
      </w:r>
      <w:r>
        <w:rPr>
          <w:rFonts w:ascii="Times New Roman" w:hAnsi="Times New Roman"/>
          <w:sz w:val="20"/>
        </w:rPr>
        <w:t xml:space="preserve">. This Agreement shall be deemed severable, and the invalidity or unenforceability of any term or provision hereof shall not affect the validity or enforceability of this Agreement or of any other term or provision hereof. Furthermore, in lieu of any such invalid or unenforceable term or provision, the parties hereto intend that there shall be added as a part of this Agreement a provision as similar in terms to such invalid or unenforceable provision as may be possible and be valid and enforceable. </w:t>
      </w:r>
    </w:p>
    <w:p>
      <w:pPr>
        <w:pStyle w:val="TextBody"/>
        <w:spacing w:before="240" w:after="0"/>
        <w:jc w:val="left"/>
        <w:rPr>
          <w:rFonts w:ascii="Times New Roman" w:hAnsi="Times New Roman"/>
          <w:sz w:val="20"/>
        </w:rPr>
      </w:pPr>
      <w:r>
        <w:rPr>
          <w:rFonts w:ascii="Times New Roman" w:hAnsi="Times New Roman"/>
          <w:sz w:val="20"/>
        </w:rPr>
        <w:t xml:space="preserve">Exhibit A Form of Warrant Certificate </w:t>
      </w:r>
    </w:p>
    <w:p>
      <w:pPr>
        <w:pStyle w:val="TextBody"/>
        <w:spacing w:before="240" w:after="0"/>
        <w:jc w:val="left"/>
        <w:rPr>
          <w:rFonts w:ascii="Times New Roman" w:hAnsi="Times New Roman"/>
          <w:sz w:val="20"/>
        </w:rPr>
      </w:pPr>
      <w:r>
        <w:rPr>
          <w:rFonts w:ascii="Times New Roman" w:hAnsi="Times New Roman"/>
          <w:sz w:val="20"/>
        </w:rPr>
        <w:t xml:space="preserve">Exhibit B Legend  Private Placement Warrants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IN WITNESS WHEREOF, the parties hereto have caused this Agreement to be duly executed as of the date first above written. </w:t>
      </w:r>
    </w:p>
    <w:p>
      <w:pPr>
        <w:pStyle w:val="TextBody"/>
        <w:spacing w:before="0" w:after="0"/>
        <w:jc w:val="left"/>
        <w:rPr/>
      </w:pPr>
      <w:r>
        <w:rPr/>
        <w:t> </w:t>
      </w:r>
    </w:p>
    <w:tbl>
      <w:tblPr>
        <w:tblW w:w="4695" w:type="dxa"/>
        <w:jc w:val="right"/>
        <w:tblInd w:w="0" w:type="dxa"/>
        <w:tblCellMar>
          <w:top w:w="0" w:type="dxa"/>
          <w:left w:w="0" w:type="dxa"/>
          <w:bottom w:w="0" w:type="dxa"/>
          <w:right w:w="0" w:type="dxa"/>
        </w:tblCellMar>
      </w:tblPr>
      <w:tblGrid>
        <w:gridCol w:w="305"/>
        <w:gridCol w:w="60"/>
        <w:gridCol w:w="650"/>
        <w:gridCol w:w="60"/>
        <w:gridCol w:w="3620"/>
      </w:tblGrid>
      <w:tr>
        <w:trPr/>
        <w:tc>
          <w:tcPr>
            <w:tcW w:w="30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620" w:type="dxa"/>
            <w:tcBorders/>
            <w:shd w:fill="auto" w:val="clear"/>
            <w:vAlign w:val="center"/>
          </w:tcPr>
          <w:p>
            <w:pPr>
              <w:pStyle w:val="TableContents"/>
              <w:spacing w:before="0" w:after="283"/>
              <w:rPr>
                <w:sz w:val="4"/>
                <w:szCs w:val="4"/>
              </w:rPr>
            </w:pPr>
            <w:r>
              <w:rPr>
                <w:sz w:val="4"/>
                <w:szCs w:val="4"/>
              </w:rPr>
            </w:r>
          </w:p>
        </w:tc>
      </w:tr>
      <w:tr>
        <w:trPr/>
        <w:tc>
          <w:tcPr>
            <w:tcW w:w="4695" w:type="dxa"/>
            <w:gridSpan w:val="5"/>
            <w:tcBorders/>
            <w:shd w:fill="auto" w:val="clear"/>
          </w:tcPr>
          <w:p>
            <w:pPr>
              <w:pStyle w:val="TableContents"/>
              <w:spacing w:before="0" w:after="283"/>
              <w:rPr/>
            </w:pPr>
            <w:r>
              <w:rPr/>
              <w:t>ARCLIGHT CLEAN TRANSITION CORP. II</w:t>
            </w:r>
          </w:p>
        </w:tc>
      </w:tr>
      <w:tr>
        <w:trPr>
          <w:trHeight w:val="240" w:hRule="atLeast"/>
        </w:trPr>
        <w:tc>
          <w:tcPr>
            <w:tcW w:w="305" w:type="dxa"/>
            <w:tcBorders/>
            <w:shd w:fill="auto" w:val="clear"/>
            <w:vAlign w:val="center"/>
          </w:tcPr>
          <w:p>
            <w:pPr>
              <w:pStyle w:val="TableContents"/>
              <w:spacing w:before="0" w:after="283"/>
              <w:rPr>
                <w:sz w:val="4"/>
                <w:szCs w:val="4"/>
              </w:rPr>
            </w:pPr>
            <w:r>
              <w:rPr>
                <w:sz w:val="4"/>
                <w:szCs w:val="4"/>
              </w:rPr>
            </w:r>
          </w:p>
        </w:tc>
        <w:tc>
          <w:tcPr>
            <w:tcW w:w="4390" w:type="dxa"/>
            <w:gridSpan w:val="4"/>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By:</w:t>
            </w:r>
          </w:p>
        </w:tc>
        <w:tc>
          <w:tcPr>
            <w:tcW w:w="60" w:type="dxa"/>
            <w:tcBorders/>
            <w:shd w:fill="auto" w:val="clear"/>
            <w:vAlign w:val="bottom"/>
          </w:tcPr>
          <w:p>
            <w:pPr>
              <w:pStyle w:val="TableContents"/>
              <w:spacing w:before="0" w:after="283"/>
              <w:rPr/>
            </w:pPr>
            <w:r>
              <w:rPr/>
              <w:t> </w:t>
            </w:r>
          </w:p>
        </w:tc>
        <w:tc>
          <w:tcPr>
            <w:tcW w:w="4330" w:type="dxa"/>
            <w:gridSpan w:val="3"/>
            <w:tcBorders/>
            <w:shd w:fill="auto" w:val="clear"/>
            <w:vAlign w:val="bottom"/>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John F. Erhard</w:t>
            </w:r>
          </w:p>
        </w:tc>
      </w:tr>
      <w:tr>
        <w:trPr/>
        <w:tc>
          <w:tcPr>
            <w:tcW w:w="30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50" w:type="dxa"/>
            <w:tcBorders/>
            <w:shd w:fill="auto" w:val="clear"/>
            <w:vAlign w:val="bottom"/>
          </w:tcPr>
          <w:p>
            <w:pPr>
              <w:pStyle w:val="TableContents"/>
              <w:spacing w:before="0" w:after="283"/>
              <w:rPr/>
            </w:pPr>
            <w:r>
              <w:rPr/>
              <w:t>Name:</w:t>
            </w:r>
          </w:p>
        </w:tc>
        <w:tc>
          <w:tcPr>
            <w:tcW w:w="60" w:type="dxa"/>
            <w:tcBorders/>
            <w:shd w:fill="auto" w:val="clear"/>
            <w:vAlign w:val="bottom"/>
          </w:tcPr>
          <w:p>
            <w:pPr>
              <w:pStyle w:val="TableContents"/>
              <w:spacing w:before="0" w:after="283"/>
              <w:rPr/>
            </w:pPr>
            <w:r>
              <w:rPr/>
              <w:t> </w:t>
            </w:r>
          </w:p>
        </w:tc>
        <w:tc>
          <w:tcPr>
            <w:tcW w:w="3620" w:type="dxa"/>
            <w:tcBorders/>
            <w:shd w:fill="auto" w:val="clear"/>
            <w:vAlign w:val="bottom"/>
          </w:tcPr>
          <w:p>
            <w:pPr>
              <w:pStyle w:val="TableContents"/>
              <w:spacing w:before="0" w:after="283"/>
              <w:rPr/>
            </w:pPr>
            <w:r>
              <w:rPr/>
              <w:t>John F. Erhard</w:t>
            </w:r>
          </w:p>
        </w:tc>
      </w:tr>
      <w:tr>
        <w:trPr/>
        <w:tc>
          <w:tcPr>
            <w:tcW w:w="30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50" w:type="dxa"/>
            <w:tcBorders/>
            <w:shd w:fill="auto" w:val="clear"/>
            <w:vAlign w:val="bottom"/>
          </w:tcPr>
          <w:p>
            <w:pPr>
              <w:pStyle w:val="TableContents"/>
              <w:spacing w:before="0" w:after="283"/>
              <w:rPr/>
            </w:pPr>
            <w:r>
              <w:rPr/>
              <w:t>Title:</w:t>
            </w:r>
          </w:p>
        </w:tc>
        <w:tc>
          <w:tcPr>
            <w:tcW w:w="60" w:type="dxa"/>
            <w:tcBorders/>
            <w:shd w:fill="auto" w:val="clear"/>
            <w:vAlign w:val="bottom"/>
          </w:tcPr>
          <w:p>
            <w:pPr>
              <w:pStyle w:val="TableContents"/>
              <w:spacing w:before="0" w:after="283"/>
              <w:rPr/>
            </w:pPr>
            <w:r>
              <w:rPr/>
              <w:t> </w:t>
            </w:r>
          </w:p>
        </w:tc>
        <w:tc>
          <w:tcPr>
            <w:tcW w:w="3620" w:type="dxa"/>
            <w:tcBorders/>
            <w:shd w:fill="auto" w:val="clear"/>
            <w:vAlign w:val="bottom"/>
          </w:tcPr>
          <w:p>
            <w:pPr>
              <w:pStyle w:val="TableContents"/>
              <w:spacing w:before="0" w:after="283"/>
              <w:rPr/>
            </w:pPr>
            <w:r>
              <w:rPr/>
              <w:t>President and Chief Executive Officer</w:t>
            </w:r>
          </w:p>
        </w:tc>
      </w:tr>
      <w:tr>
        <w:trPr>
          <w:trHeight w:val="240" w:hRule="atLeast"/>
        </w:trPr>
        <w:tc>
          <w:tcPr>
            <w:tcW w:w="4695" w:type="dxa"/>
            <w:gridSpan w:val="5"/>
            <w:tcBorders/>
            <w:shd w:fill="auto" w:val="clear"/>
            <w:vAlign w:val="center"/>
          </w:tcPr>
          <w:p>
            <w:pPr>
              <w:pStyle w:val="TableContents"/>
              <w:spacing w:before="0" w:after="283"/>
              <w:rPr>
                <w:sz w:val="4"/>
                <w:szCs w:val="4"/>
              </w:rPr>
            </w:pPr>
            <w:r>
              <w:rPr>
                <w:sz w:val="4"/>
                <w:szCs w:val="4"/>
              </w:rPr>
            </w:r>
          </w:p>
        </w:tc>
      </w:tr>
      <w:tr>
        <w:trPr/>
        <w:tc>
          <w:tcPr>
            <w:tcW w:w="4695" w:type="dxa"/>
            <w:gridSpan w:val="5"/>
            <w:tcBorders/>
            <w:shd w:fill="auto" w:val="clear"/>
          </w:tcPr>
          <w:p>
            <w:pPr>
              <w:pStyle w:val="TableContents"/>
              <w:spacing w:before="0" w:after="283"/>
              <w:rPr/>
            </w:pPr>
            <w:r>
              <w:rPr/>
              <w:t>CONTINENTAL STOCK TRANSFER &amp; TRUST COMPANY, as Warrant Agent</w:t>
            </w:r>
          </w:p>
        </w:tc>
      </w:tr>
      <w:tr>
        <w:trPr>
          <w:trHeight w:val="240" w:hRule="atLeast"/>
        </w:trPr>
        <w:tc>
          <w:tcPr>
            <w:tcW w:w="305" w:type="dxa"/>
            <w:tcBorders/>
            <w:shd w:fill="auto" w:val="clear"/>
            <w:vAlign w:val="center"/>
          </w:tcPr>
          <w:p>
            <w:pPr>
              <w:pStyle w:val="TableContents"/>
              <w:spacing w:before="0" w:after="283"/>
              <w:rPr>
                <w:sz w:val="4"/>
                <w:szCs w:val="4"/>
              </w:rPr>
            </w:pPr>
            <w:r>
              <w:rPr>
                <w:sz w:val="4"/>
                <w:szCs w:val="4"/>
              </w:rPr>
            </w:r>
          </w:p>
        </w:tc>
        <w:tc>
          <w:tcPr>
            <w:tcW w:w="4390" w:type="dxa"/>
            <w:gridSpan w:val="4"/>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By:</w:t>
            </w:r>
          </w:p>
        </w:tc>
        <w:tc>
          <w:tcPr>
            <w:tcW w:w="60" w:type="dxa"/>
            <w:tcBorders/>
            <w:shd w:fill="auto" w:val="clear"/>
            <w:vAlign w:val="bottom"/>
          </w:tcPr>
          <w:p>
            <w:pPr>
              <w:pStyle w:val="TableContents"/>
              <w:spacing w:before="0" w:after="283"/>
              <w:rPr/>
            </w:pPr>
            <w:r>
              <w:rPr/>
              <w:t> </w:t>
            </w:r>
          </w:p>
        </w:tc>
        <w:tc>
          <w:tcPr>
            <w:tcW w:w="4330" w:type="dxa"/>
            <w:gridSpan w:val="3"/>
            <w:tcBorders/>
            <w:shd w:fill="auto" w:val="clear"/>
            <w:vAlign w:val="bottom"/>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Ana Gois</w:t>
            </w:r>
          </w:p>
        </w:tc>
      </w:tr>
      <w:tr>
        <w:trPr/>
        <w:tc>
          <w:tcPr>
            <w:tcW w:w="30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50" w:type="dxa"/>
            <w:tcBorders/>
            <w:shd w:fill="auto" w:val="clear"/>
            <w:vAlign w:val="bottom"/>
          </w:tcPr>
          <w:p>
            <w:pPr>
              <w:pStyle w:val="TableContents"/>
              <w:spacing w:before="0" w:after="283"/>
              <w:rPr/>
            </w:pPr>
            <w:r>
              <w:rPr/>
              <w:t>Name:</w:t>
            </w:r>
          </w:p>
        </w:tc>
        <w:tc>
          <w:tcPr>
            <w:tcW w:w="60" w:type="dxa"/>
            <w:tcBorders/>
            <w:shd w:fill="auto" w:val="clear"/>
            <w:vAlign w:val="bottom"/>
          </w:tcPr>
          <w:p>
            <w:pPr>
              <w:pStyle w:val="TableContents"/>
              <w:spacing w:before="0" w:after="283"/>
              <w:rPr/>
            </w:pPr>
            <w:r>
              <w:rPr/>
              <w:t> </w:t>
            </w:r>
          </w:p>
        </w:tc>
        <w:tc>
          <w:tcPr>
            <w:tcW w:w="3620" w:type="dxa"/>
            <w:tcBorders/>
            <w:shd w:fill="auto" w:val="clear"/>
            <w:vAlign w:val="bottom"/>
          </w:tcPr>
          <w:p>
            <w:pPr>
              <w:pStyle w:val="TableContents"/>
              <w:spacing w:before="0" w:after="283"/>
              <w:rPr/>
            </w:pPr>
            <w:r>
              <w:rPr/>
              <w:t>Ana Gois</w:t>
            </w:r>
          </w:p>
        </w:tc>
      </w:tr>
      <w:tr>
        <w:trPr/>
        <w:tc>
          <w:tcPr>
            <w:tcW w:w="30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50" w:type="dxa"/>
            <w:tcBorders/>
            <w:shd w:fill="auto" w:val="clear"/>
            <w:vAlign w:val="bottom"/>
          </w:tcPr>
          <w:p>
            <w:pPr>
              <w:pStyle w:val="TableContents"/>
              <w:spacing w:before="0" w:after="283"/>
              <w:rPr/>
            </w:pPr>
            <w:r>
              <w:rPr/>
              <w:t>Title:</w:t>
            </w:r>
          </w:p>
        </w:tc>
        <w:tc>
          <w:tcPr>
            <w:tcW w:w="60" w:type="dxa"/>
            <w:tcBorders/>
            <w:shd w:fill="auto" w:val="clear"/>
            <w:vAlign w:val="bottom"/>
          </w:tcPr>
          <w:p>
            <w:pPr>
              <w:pStyle w:val="TableContents"/>
              <w:spacing w:before="0" w:after="283"/>
              <w:rPr/>
            </w:pPr>
            <w:r>
              <w:rPr/>
              <w:t> </w:t>
            </w:r>
          </w:p>
        </w:tc>
        <w:tc>
          <w:tcPr>
            <w:tcW w:w="3620" w:type="dxa"/>
            <w:tcBorders/>
            <w:shd w:fill="auto" w:val="clear"/>
            <w:vAlign w:val="bottom"/>
          </w:tcPr>
          <w:p>
            <w:pPr>
              <w:pStyle w:val="TableContents"/>
              <w:spacing w:before="0" w:after="283"/>
              <w:rPr/>
            </w:pPr>
            <w:r>
              <w:rPr/>
              <w:t>Vice President</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Warrant Agreement</w:t>
      </w:r>
      <w:r>
        <w:rPr>
          <w:rFonts w:ascii="Times New Roman" w:hAnsi="Times New Roman"/>
          <w:sz w:val="20"/>
        </w:rPr>
        <w:t xml:space="preserve">]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EXHIBIT A </w:t>
      </w:r>
    </w:p>
    <w:p>
      <w:pPr>
        <w:pStyle w:val="TextBody"/>
        <w:spacing w:before="240" w:after="0"/>
        <w:jc w:val="center"/>
        <w:rPr>
          <w:rFonts w:ascii="Times New Roman" w:hAnsi="Times New Roman"/>
          <w:b/>
          <w:sz w:val="20"/>
        </w:rPr>
      </w:pPr>
      <w:r>
        <w:rPr>
          <w:rFonts w:ascii="Times New Roman" w:hAnsi="Times New Roman"/>
          <w:b/>
          <w:sz w:val="20"/>
        </w:rPr>
        <w:t xml:space="preserve">[WARRANT CERTIFICATE TO BE ATTACHED] </w:t>
      </w:r>
      <w:r>
        <w:br w:type="page"/>
      </w:r>
    </w:p>
    <w:p>
      <w:pPr>
        <w:pStyle w:val="HorizontalLine"/>
        <w:pBdr>
          <w:bottom w:val="double" w:sz="6" w:space="0" w:color="808080"/>
        </w:pBdr>
        <w:rPr/>
      </w:pPr>
      <w:r>
        <w:rPr/>
      </w:r>
    </w:p>
    <w:p>
      <w:pPr>
        <w:pStyle w:val="TextBody"/>
        <w:spacing w:before="0" w:after="0"/>
        <w:jc w:val="right"/>
        <w:rPr>
          <w:rFonts w:ascii="Times New Roman" w:hAnsi="Times New Roman"/>
          <w:b/>
          <w:sz w:val="20"/>
        </w:rPr>
      </w:pPr>
      <w:r>
        <w:rPr>
          <w:rFonts w:ascii="Times New Roman" w:hAnsi="Times New Roman"/>
          <w:b/>
          <w:sz w:val="20"/>
        </w:rPr>
        <w:t xml:space="preserve">Exhibit 4.1 </w:t>
      </w:r>
    </w:p>
    <w:p>
      <w:pPr>
        <w:pStyle w:val="TextBody"/>
        <w:spacing w:before="240" w:after="0"/>
        <w:jc w:val="center"/>
        <w:rPr>
          <w:rFonts w:ascii="Times New Roman" w:hAnsi="Times New Roman"/>
          <w:sz w:val="20"/>
        </w:rPr>
      </w:pPr>
      <w:r>
        <w:rPr>
          <w:rFonts w:ascii="Times New Roman" w:hAnsi="Times New Roman"/>
          <w:sz w:val="20"/>
        </w:rPr>
        <w:t xml:space="preserve">[FACE] </w:t>
      </w:r>
    </w:p>
    <w:p>
      <w:pPr>
        <w:pStyle w:val="TextBody"/>
        <w:spacing w:before="240" w:after="0"/>
        <w:jc w:val="left"/>
        <w:rPr>
          <w:rFonts w:ascii="Times New Roman" w:hAnsi="Times New Roman"/>
          <w:sz w:val="20"/>
        </w:rPr>
      </w:pPr>
      <w:r>
        <w:rPr>
          <w:rFonts w:ascii="Times New Roman" w:hAnsi="Times New Roman"/>
          <w:sz w:val="20"/>
        </w:rPr>
        <w:t xml:space="preserve">Number </w:t>
      </w:r>
    </w:p>
    <w:p>
      <w:pPr>
        <w:pStyle w:val="TextBody"/>
        <w:spacing w:before="240" w:after="0"/>
        <w:jc w:val="center"/>
        <w:rPr>
          <w:rFonts w:ascii="Times New Roman" w:hAnsi="Times New Roman"/>
          <w:b/>
          <w:sz w:val="20"/>
        </w:rPr>
      </w:pPr>
      <w:r>
        <w:rPr>
          <w:rFonts w:ascii="Times New Roman" w:hAnsi="Times New Roman"/>
          <w:b/>
          <w:sz w:val="20"/>
        </w:rPr>
        <w:t xml:space="preserve">Warrants </w:t>
      </w:r>
    </w:p>
    <w:p>
      <w:pPr>
        <w:pStyle w:val="TextBody"/>
        <w:spacing w:before="240" w:after="0"/>
        <w:jc w:val="center"/>
        <w:rPr>
          <w:rFonts w:ascii="Times New Roman" w:hAnsi="Times New Roman"/>
          <w:b/>
          <w:sz w:val="20"/>
        </w:rPr>
      </w:pPr>
      <w:r>
        <w:rPr>
          <w:rFonts w:ascii="Times New Roman" w:hAnsi="Times New Roman"/>
          <w:b/>
          <w:sz w:val="20"/>
        </w:rPr>
        <w:t xml:space="preserve">THIS WARRANT SHALL BE VOID IF NOT EXERCISED PRIOR TO </w:t>
      </w:r>
    </w:p>
    <w:p>
      <w:pPr>
        <w:pStyle w:val="TextBody"/>
        <w:spacing w:before="0" w:after="0"/>
        <w:jc w:val="center"/>
        <w:rPr>
          <w:rFonts w:ascii="Times New Roman" w:hAnsi="Times New Roman"/>
          <w:b/>
          <w:sz w:val="20"/>
        </w:rPr>
      </w:pPr>
      <w:r>
        <w:rPr>
          <w:rFonts w:ascii="Times New Roman" w:hAnsi="Times New Roman"/>
          <w:b/>
          <w:sz w:val="20"/>
        </w:rPr>
        <w:t xml:space="preserve">THE EXPIRATION OF THE EXERCISE PERIOD PROVIDED FOR </w:t>
      </w:r>
    </w:p>
    <w:p>
      <w:pPr>
        <w:pStyle w:val="TextBody"/>
        <w:spacing w:before="0" w:after="0"/>
        <w:jc w:val="center"/>
        <w:rPr>
          <w:rFonts w:ascii="Times New Roman" w:hAnsi="Times New Roman"/>
          <w:b/>
          <w:sz w:val="20"/>
        </w:rPr>
      </w:pPr>
      <w:r>
        <w:rPr>
          <w:rFonts w:ascii="Times New Roman" w:hAnsi="Times New Roman"/>
          <w:b/>
          <w:sz w:val="20"/>
        </w:rPr>
        <w:t xml:space="preserve">IN THE WARRANT AGREEMENT DESCRIBED BELOW </w:t>
      </w:r>
    </w:p>
    <w:p>
      <w:pPr>
        <w:pStyle w:val="TextBody"/>
        <w:spacing w:before="240" w:after="0"/>
        <w:jc w:val="center"/>
        <w:rPr>
          <w:rFonts w:ascii="Times New Roman" w:hAnsi="Times New Roman"/>
          <w:b/>
          <w:sz w:val="20"/>
        </w:rPr>
      </w:pPr>
      <w:r>
        <w:rPr>
          <w:rFonts w:ascii="Times New Roman" w:hAnsi="Times New Roman"/>
          <w:b/>
          <w:sz w:val="20"/>
        </w:rPr>
        <w:t xml:space="preserve">ArcLight Clean Transition Corp. II </w:t>
      </w:r>
    </w:p>
    <w:p>
      <w:pPr>
        <w:pStyle w:val="TextBody"/>
        <w:spacing w:before="0" w:after="0"/>
        <w:jc w:val="center"/>
        <w:rPr>
          <w:rFonts w:ascii="Times New Roman" w:hAnsi="Times New Roman"/>
          <w:i/>
          <w:sz w:val="20"/>
        </w:rPr>
      </w:pPr>
      <w:r>
        <w:rPr>
          <w:rFonts w:ascii="Times New Roman" w:hAnsi="Times New Roman"/>
          <w:i/>
          <w:sz w:val="20"/>
        </w:rPr>
        <w:t xml:space="preserve">Incorporated Under the Laws of the Cayman Islands </w:t>
      </w:r>
    </w:p>
    <w:p>
      <w:pPr>
        <w:pStyle w:val="TextBody"/>
        <w:spacing w:before="240" w:after="0"/>
        <w:jc w:val="right"/>
        <w:rPr>
          <w:rFonts w:ascii="Times New Roman" w:hAnsi="Times New Roman"/>
          <w:sz w:val="20"/>
        </w:rPr>
      </w:pPr>
      <w:r>
        <w:rPr>
          <w:rFonts w:ascii="Times New Roman" w:hAnsi="Times New Roman"/>
          <w:sz w:val="20"/>
        </w:rPr>
        <w:t xml:space="preserve">CUSIP [●] </w:t>
      </w:r>
    </w:p>
    <w:p>
      <w:pPr>
        <w:pStyle w:val="TextBody"/>
        <w:spacing w:before="240" w:after="0"/>
        <w:jc w:val="center"/>
        <w:rPr>
          <w:rFonts w:ascii="Times New Roman" w:hAnsi="Times New Roman"/>
          <w:b/>
          <w:sz w:val="20"/>
        </w:rPr>
      </w:pPr>
      <w:r>
        <w:rPr>
          <w:rFonts w:ascii="Times New Roman" w:hAnsi="Times New Roman"/>
          <w:b/>
          <w:sz w:val="20"/>
        </w:rPr>
        <w:t xml:space="preserve">Warrant Certificate </w:t>
      </w:r>
    </w:p>
    <w:p>
      <w:pPr>
        <w:pStyle w:val="TextBody"/>
        <w:spacing w:before="240" w:after="0"/>
        <w:jc w:val="left"/>
        <w:rPr>
          <w:rFonts w:ascii="Times New Roman" w:hAnsi="Times New Roman"/>
          <w:sz w:val="20"/>
        </w:rPr>
      </w:pPr>
      <w:r>
        <w:rPr>
          <w:rFonts w:ascii="Times New Roman" w:hAnsi="Times New Roman"/>
          <w:b/>
          <w:i/>
          <w:sz w:val="20"/>
        </w:rPr>
        <w:t>This Warrant Certificate certifies that</w:t>
      </w:r>
      <w:r>
        <w:rPr>
          <w:rFonts w:ascii="Times New Roman" w:hAnsi="Times New Roman"/>
          <w:sz w:val="20"/>
        </w:rPr>
        <w:t>                    , or registered assigns, is the registered holder of warrant(s) (the </w:t>
      </w:r>
      <w:r>
        <w:rPr>
          <w:rFonts w:ascii="Times New Roman" w:hAnsi="Times New Roman"/>
          <w:b/>
          <w:i/>
          <w:sz w:val="20"/>
        </w:rPr>
        <w:t>Warrants</w:t>
      </w:r>
      <w:r>
        <w:rPr>
          <w:rFonts w:ascii="Times New Roman" w:hAnsi="Times New Roman"/>
          <w:sz w:val="20"/>
        </w:rPr>
        <w:t> and each, a </w:t>
      </w:r>
      <w:r>
        <w:rPr>
          <w:rFonts w:ascii="Times New Roman" w:hAnsi="Times New Roman"/>
          <w:b/>
          <w:i/>
          <w:sz w:val="20"/>
        </w:rPr>
        <w:t>Warrant</w:t>
      </w:r>
      <w:r>
        <w:rPr>
          <w:rFonts w:ascii="Times New Roman" w:hAnsi="Times New Roman"/>
          <w:sz w:val="20"/>
        </w:rPr>
        <w:t>) to purchase Class A ordinary shares, $0.0001 par value (</w:t>
      </w:r>
      <w:r>
        <w:rPr>
          <w:rFonts w:ascii="Times New Roman" w:hAnsi="Times New Roman"/>
          <w:b/>
          <w:i/>
          <w:sz w:val="20"/>
        </w:rPr>
        <w:t>Ordinary Shares</w:t>
      </w:r>
      <w:r>
        <w:rPr>
          <w:rFonts w:ascii="Times New Roman" w:hAnsi="Times New Roman"/>
          <w:sz w:val="20"/>
        </w:rPr>
        <w:t>), of ArcLight Clean Transition Corp. II, a Cayman Islands exempted company (the </w:t>
      </w:r>
      <w:r>
        <w:rPr>
          <w:rFonts w:ascii="Times New Roman" w:hAnsi="Times New Roman"/>
          <w:b/>
          <w:i/>
          <w:sz w:val="20"/>
        </w:rPr>
        <w:t>Company</w:t>
      </w:r>
      <w:r>
        <w:rPr>
          <w:rFonts w:ascii="Times New Roman" w:hAnsi="Times New Roman"/>
          <w:sz w:val="20"/>
        </w:rPr>
        <w:t>). Each Warrant entitles the holder, upon exercise during the period set forth in the Warrant Agreement referred to below, to receive from the Company that number of fully paid and nonassessable Ordinary Shares as set forth below, at the exercise price (the </w:t>
      </w:r>
      <w:r>
        <w:rPr>
          <w:rFonts w:ascii="Times New Roman" w:hAnsi="Times New Roman"/>
          <w:b/>
          <w:i/>
          <w:sz w:val="20"/>
        </w:rPr>
        <w:t>Exercise Price</w:t>
      </w:r>
      <w:r>
        <w:rPr>
          <w:rFonts w:ascii="Times New Roman" w:hAnsi="Times New Roman"/>
          <w:sz w:val="20"/>
        </w:rPr>
        <w:t>) as determined pursuant to the Warrant Agreement, payable in lawful money (or through </w:t>
      </w:r>
      <w:r>
        <w:rPr>
          <w:rFonts w:ascii="Times New Roman" w:hAnsi="Times New Roman"/>
          <w:b/>
          <w:i/>
          <w:sz w:val="20"/>
        </w:rPr>
        <w:t>cashless exercise</w:t>
      </w:r>
      <w:r>
        <w:rPr>
          <w:rFonts w:ascii="Times New Roman" w:hAnsi="Times New Roman"/>
          <w:sz w:val="20"/>
        </w:rPr>
        <w:t xml:space="preserve"> as provided for in the Warrant Agreement) of the United States of America upon surrender of this Warrant Certificate and payment of the Exercise Price at the office or agency of the Warrant Agent referred to below, subject to the conditions set forth herein and in the Warrant Agreement. Defined terms used in this Warrant Certificate but not defined herein shall have the meanings given to them in the Warrant Agreement. </w:t>
      </w:r>
    </w:p>
    <w:p>
      <w:pPr>
        <w:pStyle w:val="TextBody"/>
        <w:spacing w:before="240" w:after="0"/>
        <w:jc w:val="left"/>
        <w:rPr>
          <w:rFonts w:ascii="Times New Roman" w:hAnsi="Times New Roman"/>
          <w:sz w:val="20"/>
        </w:rPr>
      </w:pPr>
      <w:r>
        <w:rPr>
          <w:rFonts w:ascii="Times New Roman" w:hAnsi="Times New Roman"/>
          <w:sz w:val="20"/>
        </w:rPr>
        <w:t xml:space="preserve">Each whole Warrant is initially exercisable for one fully paid and non-assessable Ordinary Share. Fractional shares shall not be issued upon exercise of any Warrant. If, upon the exercise of Warrants, a holder would be entitled to receive a fractional interest in an Ordinary Share, the Company shall, upon exercise, round down to the nearest whole number the number of Ordinary Shares to be issued to the Warrant holder. The number of Ordinary Shares issuable upon exercise of the Warrants is subject to adjustment upon the occurrence of certain events as set forth in the Warrant Agreement. </w:t>
      </w:r>
    </w:p>
    <w:p>
      <w:pPr>
        <w:pStyle w:val="TextBody"/>
        <w:spacing w:before="240" w:after="0"/>
        <w:jc w:val="left"/>
        <w:rPr>
          <w:rFonts w:ascii="Times New Roman" w:hAnsi="Times New Roman"/>
          <w:sz w:val="20"/>
        </w:rPr>
      </w:pPr>
      <w:r>
        <w:rPr>
          <w:rFonts w:ascii="Times New Roman" w:hAnsi="Times New Roman"/>
          <w:sz w:val="20"/>
        </w:rPr>
        <w:t xml:space="preserve">The initial Exercise Price per one Ordinary Share for any Warrant is equal to $11.50 per share. The Exercise Price is subject to adjustment upon the occurrence of certain events as set forth in the Warrant Agreement. </w:t>
      </w:r>
    </w:p>
    <w:p>
      <w:pPr>
        <w:pStyle w:val="TextBody"/>
        <w:spacing w:before="240" w:after="0"/>
        <w:jc w:val="left"/>
        <w:rPr>
          <w:rFonts w:ascii="Times New Roman" w:hAnsi="Times New Roman"/>
          <w:sz w:val="20"/>
        </w:rPr>
      </w:pPr>
      <w:r>
        <w:rPr>
          <w:rFonts w:ascii="Times New Roman" w:hAnsi="Times New Roman"/>
          <w:sz w:val="20"/>
        </w:rPr>
        <w:t xml:space="preserve">Subject to the conditions set forth in the Warrant Agreement, the Warrants may be exercised only during the Exercise Period and to the extent not exercised by the end of such Exercise Period, such Warrants shall become void. The Warrants may be redeemed, subject to certain conditions, as set forth in the Warrant Agreement. </w:t>
      </w:r>
    </w:p>
    <w:p>
      <w:pPr>
        <w:pStyle w:val="TextBody"/>
        <w:spacing w:before="240" w:after="0"/>
        <w:jc w:val="left"/>
        <w:rPr>
          <w:rFonts w:ascii="Times New Roman" w:hAnsi="Times New Roman"/>
          <w:sz w:val="20"/>
        </w:rPr>
      </w:pPr>
      <w:r>
        <w:rPr>
          <w:rFonts w:ascii="Times New Roman" w:hAnsi="Times New Roman"/>
          <w:sz w:val="20"/>
        </w:rPr>
        <w:t xml:space="preserve">Reference is hereby made to the further provisions of this Warrant Certificate set forth on the reverse hereof and such further provisions shall for all purposes have the same effect as though fully set forth at this place. </w:t>
      </w:r>
    </w:p>
    <w:p>
      <w:pPr>
        <w:pStyle w:val="TextBody"/>
        <w:spacing w:before="240" w:after="0"/>
        <w:jc w:val="left"/>
        <w:rPr>
          <w:rFonts w:ascii="Times New Roman" w:hAnsi="Times New Roman"/>
          <w:sz w:val="20"/>
        </w:rPr>
      </w:pPr>
      <w:r>
        <w:rPr>
          <w:rFonts w:ascii="Times New Roman" w:hAnsi="Times New Roman"/>
          <w:sz w:val="20"/>
        </w:rPr>
        <w:t xml:space="preserve">This Warrant Certificate shall not be valid unless countersigned by the Warrant Agent, as such term is used in the Warrant Agreement. This Warrant Certificate shall be governed by and construed in accordance with the internal laws of the State of New York. </w:t>
      </w:r>
      <w:r>
        <w:br w:type="page"/>
      </w:r>
    </w:p>
    <w:p>
      <w:pPr>
        <w:pStyle w:val="HorizontalLine"/>
        <w:pBdr>
          <w:bottom w:val="double" w:sz="6" w:space="0" w:color="808080"/>
        </w:pBdr>
        <w:rPr/>
      </w:pPr>
      <w:r>
        <w:rPr/>
      </w:r>
    </w:p>
    <w:tbl>
      <w:tblPr>
        <w:tblW w:w="2000" w:type="pct"/>
        <w:jc w:val="right"/>
        <w:tblInd w:w="0" w:type="dxa"/>
        <w:tblCellMar>
          <w:top w:w="0" w:type="dxa"/>
          <w:left w:w="0" w:type="dxa"/>
          <w:bottom w:w="0" w:type="dxa"/>
          <w:right w:w="0" w:type="dxa"/>
        </w:tblCellMar>
      </w:tblPr>
      <w:tblGrid>
        <w:gridCol w:w="342"/>
        <w:gridCol w:w="60"/>
        <w:gridCol w:w="673"/>
        <w:gridCol w:w="60"/>
        <w:gridCol w:w="2947"/>
      </w:tblGrid>
      <w:tr>
        <w:trPr/>
        <w:tc>
          <w:tcPr>
            <w:tcW w:w="34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7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947" w:type="dxa"/>
            <w:tcBorders/>
            <w:shd w:fill="auto" w:val="clear"/>
            <w:vAlign w:val="center"/>
          </w:tcPr>
          <w:p>
            <w:pPr>
              <w:pStyle w:val="TableContents"/>
              <w:spacing w:before="0" w:after="283"/>
              <w:rPr>
                <w:sz w:val="4"/>
                <w:szCs w:val="4"/>
              </w:rPr>
            </w:pPr>
            <w:r>
              <w:rPr>
                <w:sz w:val="4"/>
                <w:szCs w:val="4"/>
              </w:rPr>
            </w:r>
          </w:p>
        </w:tc>
      </w:tr>
      <w:tr>
        <w:trPr/>
        <w:tc>
          <w:tcPr>
            <w:tcW w:w="4082" w:type="dxa"/>
            <w:gridSpan w:val="5"/>
            <w:tcBorders/>
            <w:shd w:fill="auto" w:val="clear"/>
          </w:tcPr>
          <w:p>
            <w:pPr>
              <w:pStyle w:val="TableContents"/>
              <w:spacing w:before="0" w:after="283"/>
              <w:rPr/>
            </w:pPr>
            <w:r>
              <w:rPr/>
              <w:t>ARCLIGHT CLEAN TRANSITION CORP. II</w:t>
            </w:r>
          </w:p>
        </w:tc>
      </w:tr>
      <w:tr>
        <w:trPr>
          <w:trHeight w:val="240" w:hRule="atLeast"/>
        </w:trPr>
        <w:tc>
          <w:tcPr>
            <w:tcW w:w="342" w:type="dxa"/>
            <w:tcBorders/>
            <w:shd w:fill="auto" w:val="clear"/>
            <w:vAlign w:val="center"/>
          </w:tcPr>
          <w:p>
            <w:pPr>
              <w:pStyle w:val="TableContents"/>
              <w:spacing w:before="0" w:after="283"/>
              <w:rPr>
                <w:sz w:val="4"/>
                <w:szCs w:val="4"/>
              </w:rPr>
            </w:pPr>
            <w:r>
              <w:rPr>
                <w:sz w:val="4"/>
                <w:szCs w:val="4"/>
              </w:rPr>
            </w:r>
          </w:p>
        </w:tc>
        <w:tc>
          <w:tcPr>
            <w:tcW w:w="3740" w:type="dxa"/>
            <w:gridSpan w:val="4"/>
            <w:tcBorders/>
            <w:shd w:fill="auto" w:val="clear"/>
            <w:vAlign w:val="center"/>
          </w:tcPr>
          <w:p>
            <w:pPr>
              <w:pStyle w:val="TableContents"/>
              <w:spacing w:before="0" w:after="283"/>
              <w:rPr>
                <w:sz w:val="4"/>
                <w:szCs w:val="4"/>
              </w:rPr>
            </w:pPr>
            <w:r>
              <w:rPr>
                <w:sz w:val="4"/>
                <w:szCs w:val="4"/>
              </w:rPr>
            </w:r>
          </w:p>
        </w:tc>
      </w:tr>
      <w:tr>
        <w:trPr/>
        <w:tc>
          <w:tcPr>
            <w:tcW w:w="342" w:type="dxa"/>
            <w:tcBorders/>
            <w:shd w:fill="auto" w:val="clear"/>
          </w:tcPr>
          <w:p>
            <w:pPr>
              <w:pStyle w:val="TableContents"/>
              <w:spacing w:before="0" w:after="283"/>
              <w:rPr/>
            </w:pPr>
            <w:r>
              <w:rPr/>
              <w:t>By:</w:t>
            </w:r>
          </w:p>
        </w:tc>
        <w:tc>
          <w:tcPr>
            <w:tcW w:w="60" w:type="dxa"/>
            <w:tcBorders/>
            <w:shd w:fill="auto" w:val="clear"/>
            <w:vAlign w:val="bottom"/>
          </w:tcPr>
          <w:p>
            <w:pPr>
              <w:pStyle w:val="TableContents"/>
              <w:spacing w:before="0" w:after="283"/>
              <w:rPr/>
            </w:pPr>
            <w:r>
              <w:rPr/>
              <w:t> </w:t>
            </w:r>
          </w:p>
        </w:tc>
        <w:tc>
          <w:tcPr>
            <w:tcW w:w="3680" w:type="dxa"/>
            <w:gridSpan w:val="3"/>
            <w:tcBorders/>
            <w:shd w:fill="auto" w:val="clear"/>
            <w:vAlign w:val="bottom"/>
          </w:tcPr>
          <w:p>
            <w:pPr>
              <w:pStyle w:val="TableContents"/>
              <w:pBdr>
                <w:bottom w:val="single" w:sz="2" w:space="1" w:color="000000"/>
              </w:pBdr>
              <w:spacing w:before="0" w:after="20"/>
              <w:rPr/>
            </w:pPr>
            <w:r>
              <w:rPr/>
              <w:t> </w:t>
            </w:r>
          </w:p>
        </w:tc>
      </w:tr>
      <w:tr>
        <w:trPr/>
        <w:tc>
          <w:tcPr>
            <w:tcW w:w="342"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73" w:type="dxa"/>
            <w:tcBorders/>
            <w:shd w:fill="auto" w:val="clear"/>
            <w:vAlign w:val="bottom"/>
          </w:tcPr>
          <w:p>
            <w:pPr>
              <w:pStyle w:val="TableContents"/>
              <w:spacing w:before="0" w:after="283"/>
              <w:rPr/>
            </w:pPr>
            <w:r>
              <w:rPr/>
              <w:t>Name:</w:t>
            </w:r>
          </w:p>
        </w:tc>
        <w:tc>
          <w:tcPr>
            <w:tcW w:w="60" w:type="dxa"/>
            <w:tcBorders/>
            <w:shd w:fill="auto" w:val="clear"/>
            <w:vAlign w:val="bottom"/>
          </w:tcPr>
          <w:p>
            <w:pPr>
              <w:pStyle w:val="TableContents"/>
              <w:spacing w:before="0" w:after="283"/>
              <w:rPr/>
            </w:pPr>
            <w:r>
              <w:rPr/>
              <w:t> </w:t>
            </w:r>
          </w:p>
        </w:tc>
        <w:tc>
          <w:tcPr>
            <w:tcW w:w="2947" w:type="dxa"/>
            <w:tcBorders/>
            <w:shd w:fill="auto" w:val="clear"/>
            <w:vAlign w:val="bottom"/>
          </w:tcPr>
          <w:p>
            <w:pPr>
              <w:pStyle w:val="TableContents"/>
              <w:spacing w:before="0" w:after="283"/>
              <w:rPr/>
            </w:pPr>
            <w:r>
              <w:rPr/>
              <w:t>John F. Erhard</w:t>
            </w:r>
          </w:p>
        </w:tc>
      </w:tr>
      <w:tr>
        <w:trPr/>
        <w:tc>
          <w:tcPr>
            <w:tcW w:w="342"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73" w:type="dxa"/>
            <w:tcBorders/>
            <w:shd w:fill="auto" w:val="clear"/>
            <w:vAlign w:val="bottom"/>
          </w:tcPr>
          <w:p>
            <w:pPr>
              <w:pStyle w:val="TableContents"/>
              <w:spacing w:before="0" w:after="283"/>
              <w:rPr/>
            </w:pPr>
            <w:r>
              <w:rPr/>
              <w:t>Title:</w:t>
            </w:r>
          </w:p>
        </w:tc>
        <w:tc>
          <w:tcPr>
            <w:tcW w:w="60" w:type="dxa"/>
            <w:tcBorders/>
            <w:shd w:fill="auto" w:val="clear"/>
            <w:vAlign w:val="bottom"/>
          </w:tcPr>
          <w:p>
            <w:pPr>
              <w:pStyle w:val="TableContents"/>
              <w:spacing w:before="0" w:after="283"/>
              <w:rPr/>
            </w:pPr>
            <w:r>
              <w:rPr/>
              <w:t> </w:t>
            </w:r>
          </w:p>
        </w:tc>
        <w:tc>
          <w:tcPr>
            <w:tcW w:w="2947" w:type="dxa"/>
            <w:tcBorders/>
            <w:shd w:fill="auto" w:val="clear"/>
            <w:vAlign w:val="bottom"/>
          </w:tcPr>
          <w:p>
            <w:pPr>
              <w:pStyle w:val="TableContents"/>
              <w:spacing w:before="0" w:after="283"/>
              <w:rPr/>
            </w:pPr>
            <w:r>
              <w:rPr/>
              <w:t>Authorized Signatory</w:t>
            </w:r>
          </w:p>
        </w:tc>
      </w:tr>
      <w:tr>
        <w:trPr>
          <w:trHeight w:val="240" w:hRule="atLeast"/>
        </w:trPr>
        <w:tc>
          <w:tcPr>
            <w:tcW w:w="4082" w:type="dxa"/>
            <w:gridSpan w:val="5"/>
            <w:tcBorders/>
            <w:shd w:fill="auto" w:val="clear"/>
            <w:vAlign w:val="center"/>
          </w:tcPr>
          <w:p>
            <w:pPr>
              <w:pStyle w:val="TableContents"/>
              <w:spacing w:before="0" w:after="283"/>
              <w:rPr>
                <w:sz w:val="4"/>
                <w:szCs w:val="4"/>
              </w:rPr>
            </w:pPr>
            <w:r>
              <w:rPr>
                <w:sz w:val="4"/>
                <w:szCs w:val="4"/>
              </w:rPr>
            </w:r>
          </w:p>
        </w:tc>
      </w:tr>
      <w:tr>
        <w:trPr/>
        <w:tc>
          <w:tcPr>
            <w:tcW w:w="4082" w:type="dxa"/>
            <w:gridSpan w:val="5"/>
            <w:tcBorders/>
            <w:shd w:fill="auto" w:val="clear"/>
          </w:tcPr>
          <w:p>
            <w:pPr>
              <w:pStyle w:val="TableContents"/>
              <w:spacing w:before="0" w:after="283"/>
              <w:rPr/>
            </w:pPr>
            <w:r>
              <w:rPr/>
              <w:t>CONTINENTAL STOCK TRANSFER &amp; TRUST COMPANY, AS WARRANT AGENT</w:t>
            </w:r>
          </w:p>
        </w:tc>
      </w:tr>
      <w:tr>
        <w:trPr>
          <w:trHeight w:val="240" w:hRule="atLeast"/>
        </w:trPr>
        <w:tc>
          <w:tcPr>
            <w:tcW w:w="342" w:type="dxa"/>
            <w:tcBorders/>
            <w:shd w:fill="auto" w:val="clear"/>
            <w:vAlign w:val="center"/>
          </w:tcPr>
          <w:p>
            <w:pPr>
              <w:pStyle w:val="TableContents"/>
              <w:spacing w:before="0" w:after="283"/>
              <w:rPr>
                <w:sz w:val="4"/>
                <w:szCs w:val="4"/>
              </w:rPr>
            </w:pPr>
            <w:r>
              <w:rPr>
                <w:sz w:val="4"/>
                <w:szCs w:val="4"/>
              </w:rPr>
            </w:r>
          </w:p>
        </w:tc>
        <w:tc>
          <w:tcPr>
            <w:tcW w:w="3740" w:type="dxa"/>
            <w:gridSpan w:val="4"/>
            <w:tcBorders/>
            <w:shd w:fill="auto" w:val="clear"/>
            <w:vAlign w:val="center"/>
          </w:tcPr>
          <w:p>
            <w:pPr>
              <w:pStyle w:val="TableContents"/>
              <w:spacing w:before="0" w:after="283"/>
              <w:rPr>
                <w:sz w:val="4"/>
                <w:szCs w:val="4"/>
              </w:rPr>
            </w:pPr>
            <w:r>
              <w:rPr>
                <w:sz w:val="4"/>
                <w:szCs w:val="4"/>
              </w:rPr>
            </w:r>
          </w:p>
        </w:tc>
      </w:tr>
      <w:tr>
        <w:trPr/>
        <w:tc>
          <w:tcPr>
            <w:tcW w:w="342" w:type="dxa"/>
            <w:tcBorders/>
            <w:shd w:fill="auto" w:val="clear"/>
          </w:tcPr>
          <w:p>
            <w:pPr>
              <w:pStyle w:val="TableContents"/>
              <w:spacing w:before="0" w:after="283"/>
              <w:rPr/>
            </w:pPr>
            <w:r>
              <w:rPr/>
              <w:t>By:</w:t>
            </w:r>
          </w:p>
        </w:tc>
        <w:tc>
          <w:tcPr>
            <w:tcW w:w="60" w:type="dxa"/>
            <w:tcBorders/>
            <w:shd w:fill="auto" w:val="clear"/>
            <w:vAlign w:val="bottom"/>
          </w:tcPr>
          <w:p>
            <w:pPr>
              <w:pStyle w:val="TableContents"/>
              <w:spacing w:before="0" w:after="283"/>
              <w:rPr/>
            </w:pPr>
            <w:r>
              <w:rPr/>
              <w:t> </w:t>
            </w:r>
          </w:p>
        </w:tc>
        <w:tc>
          <w:tcPr>
            <w:tcW w:w="3680" w:type="dxa"/>
            <w:gridSpan w:val="3"/>
            <w:tcBorders/>
            <w:shd w:fill="auto" w:val="clear"/>
            <w:vAlign w:val="bottom"/>
          </w:tcPr>
          <w:p>
            <w:pPr>
              <w:pStyle w:val="TableContents"/>
              <w:pBdr>
                <w:bottom w:val="single" w:sz="2" w:space="1" w:color="000000"/>
              </w:pBdr>
              <w:spacing w:before="0" w:after="20"/>
              <w:rPr/>
            </w:pPr>
            <w:r>
              <w:rPr/>
              <w:t> </w:t>
            </w:r>
          </w:p>
        </w:tc>
      </w:tr>
      <w:tr>
        <w:trPr/>
        <w:tc>
          <w:tcPr>
            <w:tcW w:w="342"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73" w:type="dxa"/>
            <w:tcBorders/>
            <w:shd w:fill="auto" w:val="clear"/>
            <w:vAlign w:val="bottom"/>
          </w:tcPr>
          <w:p>
            <w:pPr>
              <w:pStyle w:val="TableContents"/>
              <w:spacing w:before="0" w:after="283"/>
              <w:rPr/>
            </w:pPr>
            <w:r>
              <w:rPr/>
              <w:t>Name:</w:t>
            </w:r>
          </w:p>
        </w:tc>
        <w:tc>
          <w:tcPr>
            <w:tcW w:w="60" w:type="dxa"/>
            <w:tcBorders/>
            <w:shd w:fill="auto" w:val="clear"/>
            <w:vAlign w:val="bottom"/>
          </w:tcPr>
          <w:p>
            <w:pPr>
              <w:pStyle w:val="TableContents"/>
              <w:spacing w:before="0" w:after="283"/>
              <w:rPr/>
            </w:pPr>
            <w:r>
              <w:rPr/>
              <w:t> </w:t>
            </w:r>
          </w:p>
        </w:tc>
        <w:tc>
          <w:tcPr>
            <w:tcW w:w="2947" w:type="dxa"/>
            <w:tcBorders/>
            <w:shd w:fill="auto" w:val="clear"/>
            <w:vAlign w:val="bottom"/>
          </w:tcPr>
          <w:p>
            <w:pPr>
              <w:pStyle w:val="TableContents"/>
              <w:spacing w:before="0" w:after="283"/>
              <w:rPr>
                <w:sz w:val="4"/>
                <w:szCs w:val="4"/>
              </w:rPr>
            </w:pPr>
            <w:r>
              <w:rPr>
                <w:sz w:val="4"/>
                <w:szCs w:val="4"/>
              </w:rPr>
            </w:r>
          </w:p>
        </w:tc>
      </w:tr>
      <w:tr>
        <w:trPr/>
        <w:tc>
          <w:tcPr>
            <w:tcW w:w="342"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73" w:type="dxa"/>
            <w:tcBorders/>
            <w:shd w:fill="auto" w:val="clear"/>
            <w:vAlign w:val="bottom"/>
          </w:tcPr>
          <w:p>
            <w:pPr>
              <w:pStyle w:val="TableContents"/>
              <w:spacing w:before="0" w:after="283"/>
              <w:rPr/>
            </w:pPr>
            <w:r>
              <w:rPr/>
              <w:t>Title:</w:t>
            </w:r>
          </w:p>
        </w:tc>
        <w:tc>
          <w:tcPr>
            <w:tcW w:w="60" w:type="dxa"/>
            <w:tcBorders/>
            <w:shd w:fill="auto" w:val="clear"/>
            <w:vAlign w:val="bottom"/>
          </w:tcPr>
          <w:p>
            <w:pPr>
              <w:pStyle w:val="TableContents"/>
              <w:spacing w:before="0" w:after="283"/>
              <w:rPr/>
            </w:pPr>
            <w:r>
              <w:rPr/>
              <w:t> </w:t>
            </w:r>
          </w:p>
        </w:tc>
        <w:tc>
          <w:tcPr>
            <w:tcW w:w="2947" w:type="dxa"/>
            <w:tcBorders/>
            <w:shd w:fill="auto" w:val="clear"/>
            <w:vAlign w:val="bottom"/>
          </w:tcPr>
          <w:p>
            <w:pPr>
              <w:pStyle w:val="TableContents"/>
              <w:spacing w:before="0" w:after="283"/>
              <w:rPr>
                <w:sz w:val="4"/>
                <w:szCs w:val="4"/>
              </w:rPr>
            </w:pPr>
            <w:r>
              <w:rPr>
                <w:sz w:val="4"/>
                <w:szCs w:val="4"/>
              </w:rPr>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Warrant Certificate</w:t>
      </w:r>
      <w:r>
        <w:rPr>
          <w:rFonts w:ascii="Times New Roman" w:hAnsi="Times New Roman"/>
          <w:sz w:val="20"/>
        </w:rPr>
        <w:t xml:space="preserve">]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[Form of Warrant Certificate] </w:t>
      </w:r>
    </w:p>
    <w:p>
      <w:pPr>
        <w:pStyle w:val="TextBody"/>
        <w:spacing w:before="240" w:after="0"/>
        <w:jc w:val="center"/>
        <w:rPr>
          <w:rFonts w:ascii="Times New Roman" w:hAnsi="Times New Roman"/>
          <w:b/>
          <w:sz w:val="20"/>
        </w:rPr>
      </w:pPr>
      <w:r>
        <w:rPr>
          <w:rFonts w:ascii="Times New Roman" w:hAnsi="Times New Roman"/>
          <w:b/>
          <w:sz w:val="20"/>
        </w:rPr>
        <w:t xml:space="preserve">[Reverse] </w:t>
      </w:r>
    </w:p>
    <w:p>
      <w:pPr>
        <w:pStyle w:val="TextBody"/>
        <w:spacing w:before="240" w:after="0"/>
        <w:jc w:val="left"/>
        <w:rPr>
          <w:rFonts w:ascii="Times New Roman" w:hAnsi="Times New Roman"/>
          <w:sz w:val="20"/>
        </w:rPr>
      </w:pPr>
      <w:r>
        <w:rPr>
          <w:rFonts w:ascii="Times New Roman" w:hAnsi="Times New Roman"/>
          <w:sz w:val="20"/>
        </w:rPr>
        <w:t>The Warrants evidenced by this Warrant Certificate are part of a duly authorized issue of Warrants entitling the holder on exercise to receive                Ordinary Shares and are issued or to be issued pursuant to a Warrant Agreement dated as of                , 2021 (the </w:t>
      </w:r>
      <w:r>
        <w:rPr>
          <w:rFonts w:ascii="Times New Roman" w:hAnsi="Times New Roman"/>
          <w:b/>
          <w:i/>
          <w:sz w:val="20"/>
        </w:rPr>
        <w:t>Warrant Agreement</w:t>
      </w:r>
      <w:r>
        <w:rPr>
          <w:rFonts w:ascii="Times New Roman" w:hAnsi="Times New Roman"/>
          <w:sz w:val="20"/>
        </w:rPr>
        <w:t>), duly executed and delivered by the Company to Continental Stock Transfer &amp; Trust Company, a New York corporation, as warrant agent (the </w:t>
      </w:r>
      <w:r>
        <w:rPr>
          <w:rFonts w:ascii="Times New Roman" w:hAnsi="Times New Roman"/>
          <w:b/>
          <w:i/>
          <w:sz w:val="20"/>
        </w:rPr>
        <w:t>Warrant Agent</w:t>
      </w:r>
      <w:r>
        <w:rPr>
          <w:rFonts w:ascii="Times New Roman" w:hAnsi="Times New Roman"/>
          <w:sz w:val="20"/>
        </w:rPr>
        <w:t>), which Warrant Agreement is hereby incorporated by reference in and made a part of this instrument and is hereby referred to for a description of the rights, limitation of rights, obligations, duties and immunities thereunder of the Warrant Agent, the Company and the holders (the words </w:t>
      </w:r>
      <w:r>
        <w:rPr>
          <w:rFonts w:ascii="Times New Roman" w:hAnsi="Times New Roman"/>
          <w:b/>
          <w:i/>
          <w:sz w:val="20"/>
        </w:rPr>
        <w:t>holders</w:t>
      </w:r>
      <w:r>
        <w:rPr>
          <w:rFonts w:ascii="Times New Roman" w:hAnsi="Times New Roman"/>
          <w:sz w:val="20"/>
        </w:rPr>
        <w:t> or </w:t>
      </w:r>
      <w:r>
        <w:rPr>
          <w:rFonts w:ascii="Times New Roman" w:hAnsi="Times New Roman"/>
          <w:b/>
          <w:i/>
          <w:sz w:val="20"/>
        </w:rPr>
        <w:t>holder</w:t>
      </w:r>
      <w:r>
        <w:rPr>
          <w:rFonts w:ascii="Times New Roman" w:hAnsi="Times New Roman"/>
          <w:sz w:val="20"/>
        </w:rPr>
        <w:t xml:space="preserve"> meaning the Registered Holders or Registered Holder, respectively) of the Warrants. A copy of the Warrant Agreement may be obtained by the holder hereof upon written request to the Company. Defined terms used in this Warrant Certificate but not defined herein shall have the meanings given to them in the Warrant Agreement. </w:t>
      </w:r>
    </w:p>
    <w:p>
      <w:pPr>
        <w:pStyle w:val="TextBody"/>
        <w:spacing w:before="240" w:after="0"/>
        <w:jc w:val="left"/>
        <w:rPr>
          <w:rFonts w:ascii="Times New Roman" w:hAnsi="Times New Roman"/>
          <w:sz w:val="20"/>
        </w:rPr>
      </w:pPr>
      <w:r>
        <w:rPr>
          <w:rFonts w:ascii="Times New Roman" w:hAnsi="Times New Roman"/>
          <w:sz w:val="20"/>
        </w:rPr>
        <w:t>Warrants may be exercised at any time during the Exercise Period set forth in the Warrant Agreement. The holder of Warrants evidenced by this Warrant Certificate may exercise them by surrendering this Warrant Certificate, with the form of Election to Purchase set forth hereon properly completed and executed, together with payment of the Exercise Price as specified in the Warrant Agreement (or through </w:t>
      </w:r>
      <w:r>
        <w:rPr>
          <w:rFonts w:ascii="Times New Roman" w:hAnsi="Times New Roman"/>
          <w:i/>
          <w:sz w:val="20"/>
        </w:rPr>
        <w:t>cashless exercise</w:t>
      </w:r>
      <w:r>
        <w:rPr>
          <w:rFonts w:ascii="Times New Roman" w:hAnsi="Times New Roman"/>
          <w:sz w:val="20"/>
        </w:rPr>
        <w:t xml:space="preserve"> as provided for in the Warrant Agreement) at the principal corporate trust office of the Warrant Agent. In the event that upon any exercise of Warrants evidenced hereby the number of Warrants exercised shall be less than the total number of Warrants evidenced hereby, there shall be issued to the holder hereof or his, her or its assignee, a new Warrant Certificate evidencing the number of Warrants not exercised. </w:t>
      </w:r>
    </w:p>
    <w:p>
      <w:pPr>
        <w:pStyle w:val="TextBody"/>
        <w:spacing w:before="240" w:after="0"/>
        <w:jc w:val="left"/>
        <w:rPr>
          <w:rFonts w:ascii="Times New Roman" w:hAnsi="Times New Roman"/>
          <w:sz w:val="20"/>
        </w:rPr>
      </w:pPr>
      <w:r>
        <w:rPr>
          <w:rFonts w:ascii="Times New Roman" w:hAnsi="Times New Roman"/>
          <w:sz w:val="20"/>
        </w:rPr>
        <w:t>Notwithstanding anything else in this Warrant Certificate or the Warrant Agreement, no Warrant may be exercised unless at the time of exercise (i) a registration statement covering the issuance of the Ordinary Shares to be issued upon exercise is effective under the Securities Act and (ii) a prospectus thereunder relating to the Ordinary Shares is current, except through </w:t>
      </w:r>
      <w:r>
        <w:rPr>
          <w:rFonts w:ascii="Times New Roman" w:hAnsi="Times New Roman"/>
          <w:i/>
          <w:sz w:val="20"/>
        </w:rPr>
        <w:t>cashless exercise</w:t>
      </w:r>
      <w:r>
        <w:rPr>
          <w:rFonts w:ascii="Times New Roman" w:hAnsi="Times New Roman"/>
          <w:sz w:val="20"/>
        </w:rPr>
        <w:t xml:space="preserve"> as provided for in the Warrant Agreement. </w:t>
      </w:r>
    </w:p>
    <w:p>
      <w:pPr>
        <w:pStyle w:val="TextBody"/>
        <w:spacing w:before="240" w:after="0"/>
        <w:jc w:val="left"/>
        <w:rPr>
          <w:rFonts w:ascii="Times New Roman" w:hAnsi="Times New Roman"/>
          <w:sz w:val="20"/>
        </w:rPr>
      </w:pPr>
      <w:r>
        <w:rPr>
          <w:rFonts w:ascii="Times New Roman" w:hAnsi="Times New Roman"/>
          <w:sz w:val="20"/>
        </w:rPr>
        <w:t xml:space="preserve">The Warrant Agreement provides that upon the occurrence of certain events the number of Ordinary Shares issuable upon exercise of the Warrants set forth on the face hereof may, subject to certain conditions, be adjusted. If, upon exercise of a Warrant, the holder thereof would be entitled to receive a fractional interest in an Ordinary Share, the Company shall, upon exercise, round down to the nearest whole number of Ordinary Shares to be issued to the holder of the Warrant. </w:t>
      </w:r>
    </w:p>
    <w:p>
      <w:pPr>
        <w:pStyle w:val="TextBody"/>
        <w:spacing w:before="240" w:after="0"/>
        <w:jc w:val="left"/>
        <w:rPr>
          <w:rFonts w:ascii="Times New Roman" w:hAnsi="Times New Roman"/>
          <w:sz w:val="20"/>
        </w:rPr>
      </w:pPr>
      <w:r>
        <w:rPr>
          <w:rFonts w:ascii="Times New Roman" w:hAnsi="Times New Roman"/>
          <w:sz w:val="20"/>
        </w:rPr>
        <w:t xml:space="preserve">Warrant Certificates, when surrendered at the principal corporate trust office of the Warrant Agent by the Registered Holder thereof in person or by legal representative or attorney duly authorized in writing, may be exchanged, in the manner and subject to the limitations provided in the Warrant Agreement, but without payment of any service charge, for another Warrant Certificate or Warrant Certificates of like tenor evidencing in the aggregate a like number of Warrants. </w:t>
      </w:r>
    </w:p>
    <w:p>
      <w:pPr>
        <w:pStyle w:val="TextBody"/>
        <w:spacing w:before="240" w:after="0"/>
        <w:jc w:val="left"/>
        <w:rPr>
          <w:rFonts w:ascii="Times New Roman" w:hAnsi="Times New Roman"/>
          <w:sz w:val="20"/>
        </w:rPr>
      </w:pPr>
      <w:r>
        <w:rPr>
          <w:rFonts w:ascii="Times New Roman" w:hAnsi="Times New Roman"/>
          <w:sz w:val="20"/>
        </w:rPr>
        <w:t xml:space="preserve">Upon due presentation for registration of transfer of this Warrant Certificate at the office of the Warrant Agent a new Warrant Certificate or Warrant Certificates of like tenor and evidencing in the aggregate a like number of Warrants shall be issued to the transferee(s) in exchange for this Warrant Certificate, subject to the limitations provided in the Warrant Agreement, without charge except for any tax or other governmental charge imposed in connection therewith. </w:t>
      </w:r>
    </w:p>
    <w:p>
      <w:pPr>
        <w:pStyle w:val="TextBody"/>
        <w:spacing w:before="240" w:after="0"/>
        <w:jc w:val="left"/>
        <w:rPr>
          <w:rFonts w:ascii="Times New Roman" w:hAnsi="Times New Roman"/>
          <w:sz w:val="20"/>
        </w:rPr>
      </w:pPr>
      <w:r>
        <w:rPr>
          <w:rFonts w:ascii="Times New Roman" w:hAnsi="Times New Roman"/>
          <w:sz w:val="20"/>
        </w:rPr>
        <w:t xml:space="preserve">The Company and the Warrant Agent may deem and treat the Registered Holder(s) hereof as the absolute owner(s) of this Warrant Certificate (notwithstanding any notation of ownership or other writing hereon made by anyone), for the purpose of any exercise hereof, of any distribution to the holder(s) hereof, and for all other purposes, and neither the Company nor the Warrant Agent shall be affected by any notice to the contrary. Neither the Warrants nor this Warrant Certificate entitles any holder hereof to any rights of a shareholder of the Company.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Warrant Certificate</w:t>
      </w:r>
      <w:r>
        <w:rPr>
          <w:rFonts w:ascii="Times New Roman" w:hAnsi="Times New Roman"/>
          <w:sz w:val="20"/>
        </w:rPr>
        <w:t xml:space="preserve">] </w:t>
      </w:r>
      <w:r>
        <w:br w:type="page"/>
      </w:r>
    </w:p>
    <w:p>
      <w:pPr>
        <w:pStyle w:val="HorizontalLine"/>
        <w:pBdr>
          <w:bottom w:val="double" w:sz="6" w:space="0" w:color="808080"/>
        </w:pBdr>
        <w:rPr/>
      </w:pPr>
      <w:r>
        <w:rPr/>
      </w:r>
    </w:p>
    <w:p>
      <w:pPr>
        <w:pStyle w:val="TextBody"/>
        <w:spacing w:before="0" w:after="0"/>
        <w:jc w:val="center"/>
        <w:rPr>
          <w:rFonts w:ascii="Times New Roman" w:hAnsi="Times New Roman"/>
          <w:sz w:val="20"/>
        </w:rPr>
      </w:pPr>
      <w:r>
        <w:rPr>
          <w:rFonts w:ascii="Times New Roman" w:hAnsi="Times New Roman"/>
          <w:sz w:val="20"/>
        </w:rPr>
        <w:t xml:space="preserve">Election to Purchase </w:t>
      </w:r>
    </w:p>
    <w:p>
      <w:pPr>
        <w:pStyle w:val="TextBody"/>
        <w:spacing w:before="240" w:after="0"/>
        <w:jc w:val="center"/>
        <w:rPr>
          <w:rFonts w:ascii="Times New Roman" w:hAnsi="Times New Roman"/>
          <w:sz w:val="20"/>
        </w:rPr>
      </w:pPr>
      <w:r>
        <w:rPr>
          <w:rFonts w:ascii="Times New Roman" w:hAnsi="Times New Roman"/>
          <w:sz w:val="20"/>
        </w:rPr>
        <w:t xml:space="preserve">(To Be Executed Upon Exercise of Warrant) </w:t>
      </w:r>
    </w:p>
    <w:p>
      <w:pPr>
        <w:pStyle w:val="TextBody"/>
        <w:spacing w:before="240" w:after="0"/>
        <w:jc w:val="left"/>
        <w:rPr>
          <w:rFonts w:ascii="Times New Roman" w:hAnsi="Times New Roman"/>
          <w:sz w:val="20"/>
        </w:rPr>
      </w:pPr>
      <w:r>
        <w:rPr>
          <w:rFonts w:ascii="Times New Roman" w:hAnsi="Times New Roman"/>
          <w:sz w:val="20"/>
        </w:rPr>
        <w:t>The undersigned hereby irrevocably elects to exercise the right, represented by this Warrant Certificate, to receive Ordinary Shares and herewith tenders payment for such Ordinary Shares to the order of ArcLight Clean Transition Corp. II (the </w:t>
      </w:r>
      <w:r>
        <w:rPr>
          <w:rFonts w:ascii="Times New Roman" w:hAnsi="Times New Roman"/>
          <w:b/>
          <w:i/>
          <w:sz w:val="20"/>
        </w:rPr>
        <w:t>Company</w:t>
      </w:r>
      <w:r>
        <w:rPr>
          <w:rFonts w:ascii="Times New Roman" w:hAnsi="Times New Roman"/>
          <w:sz w:val="20"/>
        </w:rPr>
        <w:t xml:space="preserve">) in the amount of $         in accordance with the terms hereof. The undersigned requests that a certificate for such Ordinary Shares be registered in the name of                    , whose address is                     and that such Ordinary Shares be delivered to                    whose address is                    . If said                    number of Ordinary Shares is less than all of the Ordinary Shares purchasable hereunder, the undersigned requests that a new Warrant Certificate representing the remaining balance of such Ordinary Shares be registered in the name of                    , whose address is                    and that such Warrant Certificate be delivered to                    , whose address is                    . </w:t>
      </w:r>
    </w:p>
    <w:p>
      <w:pPr>
        <w:pStyle w:val="TextBody"/>
        <w:spacing w:before="240" w:after="0"/>
        <w:jc w:val="left"/>
        <w:rPr>
          <w:rFonts w:ascii="Times New Roman" w:hAnsi="Times New Roman"/>
          <w:sz w:val="20"/>
        </w:rPr>
      </w:pPr>
      <w:r>
        <w:rPr>
          <w:rFonts w:ascii="Times New Roman" w:hAnsi="Times New Roman"/>
          <w:sz w:val="20"/>
        </w:rPr>
        <w:t xml:space="preserve">In the event that the Warrant has been called for redemption by the Company pursuant to </w:t>
      </w:r>
      <w:r>
        <w:rPr>
          <w:rFonts w:ascii="Times New Roman" w:hAnsi="Times New Roman"/>
          <w:sz w:val="20"/>
          <w:u w:val="single"/>
        </w:rPr>
        <w:t>Section 6.2</w:t>
      </w:r>
      <w:r>
        <w:rPr>
          <w:rFonts w:ascii="Times New Roman" w:hAnsi="Times New Roman"/>
          <w:sz w:val="20"/>
        </w:rPr>
        <w:t xml:space="preserve"> of the Warrant Agreement and a holder thereof elects to exercise its Warrant pursuant to a Make-Whole Exercise, the number of Ordinary Shares that this Warrant is exercisable for shall be determined in accordance with </w:t>
      </w:r>
      <w:r>
        <w:rPr>
          <w:rFonts w:ascii="Times New Roman" w:hAnsi="Times New Roman"/>
          <w:sz w:val="20"/>
          <w:u w:val="single"/>
        </w:rPr>
        <w:t>subsection 3.3.1(c)</w:t>
      </w:r>
      <w:r>
        <w:rPr>
          <w:rFonts w:ascii="Times New Roman" w:hAnsi="Times New Roman"/>
          <w:sz w:val="20"/>
        </w:rPr>
        <w:t xml:space="preserve"> or </w:t>
      </w:r>
      <w:r>
        <w:rPr>
          <w:rFonts w:ascii="Times New Roman" w:hAnsi="Times New Roman"/>
          <w:sz w:val="20"/>
          <w:u w:val="single"/>
        </w:rPr>
        <w:t>Section 6.2</w:t>
      </w:r>
      <w:r>
        <w:rPr>
          <w:rFonts w:ascii="Times New Roman" w:hAnsi="Times New Roman"/>
          <w:sz w:val="20"/>
        </w:rPr>
        <w:t xml:space="preserve"> of the Warrant Agreement, as applicable. </w:t>
      </w:r>
    </w:p>
    <w:p>
      <w:pPr>
        <w:pStyle w:val="TextBody"/>
        <w:spacing w:before="240" w:after="0"/>
        <w:jc w:val="left"/>
        <w:rPr>
          <w:rFonts w:ascii="Times New Roman" w:hAnsi="Times New Roman"/>
          <w:sz w:val="20"/>
        </w:rPr>
      </w:pPr>
      <w:r>
        <w:rPr>
          <w:rFonts w:ascii="Times New Roman" w:hAnsi="Times New Roman"/>
          <w:sz w:val="20"/>
        </w:rPr>
        <w:t xml:space="preserve">In the event that the Warrant is a Private Placement Warrant that is to be exercised on a cashless basis pursuant to </w:t>
      </w:r>
      <w:r>
        <w:rPr>
          <w:rFonts w:ascii="Times New Roman" w:hAnsi="Times New Roman"/>
          <w:sz w:val="20"/>
          <w:u w:val="single"/>
        </w:rPr>
        <w:t>subsection 3.3.1(c)</w:t>
      </w:r>
      <w:r>
        <w:rPr>
          <w:rFonts w:ascii="Times New Roman" w:hAnsi="Times New Roman"/>
          <w:sz w:val="20"/>
        </w:rPr>
        <w:t xml:space="preserve"> of the Warrant Agreement, the number of Ordinary Shares that this Warrant is exercisable for shall be determined in accordance with </w:t>
      </w:r>
      <w:r>
        <w:rPr>
          <w:rFonts w:ascii="Times New Roman" w:hAnsi="Times New Roman"/>
          <w:sz w:val="20"/>
          <w:u w:val="single"/>
        </w:rPr>
        <w:t>subsection 3.3.1(c)</w:t>
      </w:r>
      <w:r>
        <w:rPr>
          <w:rFonts w:ascii="Times New Roman" w:hAnsi="Times New Roman"/>
          <w:sz w:val="20"/>
        </w:rPr>
        <w:t xml:space="preserve"> of the Warrant Agreement. </w:t>
      </w:r>
    </w:p>
    <w:p>
      <w:pPr>
        <w:pStyle w:val="TextBody"/>
        <w:spacing w:before="240" w:after="0"/>
        <w:jc w:val="left"/>
        <w:rPr>
          <w:rFonts w:ascii="Times New Roman" w:hAnsi="Times New Roman"/>
          <w:sz w:val="20"/>
        </w:rPr>
      </w:pPr>
      <w:r>
        <w:rPr>
          <w:rFonts w:ascii="Times New Roman" w:hAnsi="Times New Roman"/>
          <w:sz w:val="20"/>
        </w:rPr>
        <w:t xml:space="preserve">In the event that the Warrant is to be exercised on a cashless basis pursuant to </w:t>
      </w:r>
      <w:r>
        <w:rPr>
          <w:rFonts w:ascii="Times New Roman" w:hAnsi="Times New Roman"/>
          <w:sz w:val="20"/>
          <w:u w:val="single"/>
        </w:rPr>
        <w:t>Section 7.4</w:t>
      </w:r>
      <w:r>
        <w:rPr>
          <w:rFonts w:ascii="Times New Roman" w:hAnsi="Times New Roman"/>
          <w:sz w:val="20"/>
        </w:rPr>
        <w:t xml:space="preserve"> of the Warrant Agreement, the number of Ordinary Shares that this Warrant is exercisable for shall be determined in accordance with </w:t>
      </w:r>
      <w:r>
        <w:rPr>
          <w:rFonts w:ascii="Times New Roman" w:hAnsi="Times New Roman"/>
          <w:sz w:val="20"/>
          <w:u w:val="single"/>
        </w:rPr>
        <w:t>Section 7.4</w:t>
      </w:r>
      <w:r>
        <w:rPr>
          <w:rFonts w:ascii="Times New Roman" w:hAnsi="Times New Roman"/>
          <w:sz w:val="20"/>
        </w:rPr>
        <w:t xml:space="preserve"> of the Warrant Agreement. </w:t>
      </w:r>
    </w:p>
    <w:p>
      <w:pPr>
        <w:pStyle w:val="TextBody"/>
        <w:spacing w:before="240" w:after="0"/>
        <w:jc w:val="left"/>
        <w:rPr>
          <w:rFonts w:ascii="Times New Roman" w:hAnsi="Times New Roman"/>
          <w:sz w:val="20"/>
        </w:rPr>
      </w:pPr>
      <w:r>
        <w:rPr>
          <w:rFonts w:ascii="Times New Roman" w:hAnsi="Times New Roman"/>
          <w:sz w:val="20"/>
        </w:rPr>
        <w:t xml:space="preserve">In the event that the Warrant may be exercised, to the extent allowed by the Warrant Agreement, through cashless exercise (i) the number of Ordinary Shares that this Warrant is exercisable for would be determined in accordance with the relevant section of the Warrant Agreement which allows for such cashless exercise and (ii) the holder hereof shall complete the following: The undersigned hereby irrevocably elects to exercise the right, represented by this Warrant Certificate, through the cashless exercise provisions of the Warrant Agreement, to receive Ordinary Shares. If said number of shares is less than all of the Ordinary Shares purchasable hereunder (after giving effect to the cashless exercise), the undersigned requests that a new Warrant Certificate representing the remaining balance of such Ordinary Shares be registered in the name of                    , whose address is                    and that such Warrant Certificate be delivered to                    , whose address is                    . </w:t>
      </w:r>
    </w:p>
    <w:p>
      <w:pPr>
        <w:pStyle w:val="TextBody"/>
        <w:spacing w:before="240" w:after="0"/>
        <w:jc w:val="center"/>
        <w:rPr>
          <w:rFonts w:ascii="Times New Roman" w:hAnsi="Times New Roman"/>
          <w:sz w:val="20"/>
        </w:rPr>
      </w:pPr>
      <w:r>
        <w:rPr>
          <w:rFonts w:ascii="Times New Roman" w:hAnsi="Times New Roman"/>
          <w:sz w:val="20"/>
        </w:rPr>
        <w:t xml:space="preserve">[Signature Page Follows]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Warrant Certificate</w:t>
      </w:r>
      <w:r>
        <w:rPr>
          <w:rFonts w:ascii="Times New Roman" w:hAnsi="Times New Roman"/>
          <w:sz w:val="20"/>
        </w:rPr>
        <w:t xml:space="preserve">]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4805"/>
        <w:gridCol w:w="102"/>
        <w:gridCol w:w="408"/>
        <w:gridCol w:w="60"/>
        <w:gridCol w:w="23"/>
        <w:gridCol w:w="102"/>
        <w:gridCol w:w="4705"/>
      </w:tblGrid>
      <w:tr>
        <w:trPr/>
        <w:tc>
          <w:tcPr>
            <w:tcW w:w="4805"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4705" w:type="dxa"/>
            <w:tcBorders/>
            <w:shd w:fill="auto" w:val="clear"/>
            <w:vAlign w:val="center"/>
          </w:tcPr>
          <w:p>
            <w:pPr>
              <w:pStyle w:val="TableContents"/>
              <w:spacing w:before="0" w:after="283"/>
              <w:rPr>
                <w:sz w:val="4"/>
                <w:szCs w:val="4"/>
              </w:rPr>
            </w:pPr>
            <w:r>
              <w:rPr>
                <w:sz w:val="4"/>
                <w:szCs w:val="4"/>
              </w:rPr>
            </w:r>
          </w:p>
        </w:tc>
      </w:tr>
      <w:tr>
        <w:trPr/>
        <w:tc>
          <w:tcPr>
            <w:tcW w:w="4805" w:type="dxa"/>
            <w:tcBorders/>
            <w:shd w:fill="auto" w:val="clear"/>
          </w:tcPr>
          <w:p>
            <w:pPr>
              <w:pStyle w:val="TableContents"/>
              <w:spacing w:before="0" w:after="283"/>
              <w:rPr/>
            </w:pPr>
            <w:r>
              <w:rPr/>
              <w:t>Date:         , 2021</w:t>
            </w:r>
          </w:p>
        </w:tc>
        <w:tc>
          <w:tcPr>
            <w:tcW w:w="102"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3" w:type="dxa"/>
            <w:tcBorders/>
            <w:shd w:fill="auto" w:val="clear"/>
            <w:vAlign w:val="bottom"/>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4705" w:type="dxa"/>
            <w:tcBorders/>
            <w:shd w:fill="auto" w:val="clear"/>
            <w:vAlign w:val="bottom"/>
          </w:tcPr>
          <w:p>
            <w:pPr>
              <w:pStyle w:val="TableContents"/>
              <w:spacing w:before="0" w:after="283"/>
              <w:rPr>
                <w:sz w:val="4"/>
                <w:szCs w:val="4"/>
              </w:rPr>
            </w:pPr>
            <w:r>
              <w:rPr>
                <w:sz w:val="4"/>
                <w:szCs w:val="4"/>
              </w:rPr>
            </w:r>
          </w:p>
        </w:tc>
      </w:tr>
      <w:tr>
        <w:trPr>
          <w:trHeight w:val="240" w:hRule="atLeast"/>
        </w:trPr>
        <w:tc>
          <w:tcPr>
            <w:tcW w:w="4805" w:type="dxa"/>
            <w:tcBorders/>
            <w:shd w:fill="auto" w:val="clear"/>
            <w:vAlign w:val="center"/>
          </w:tcPr>
          <w:p>
            <w:pPr>
              <w:pStyle w:val="TableContents"/>
              <w:spacing w:before="0" w:after="283"/>
              <w:rPr>
                <w:sz w:val="4"/>
                <w:szCs w:val="4"/>
              </w:rPr>
            </w:pPr>
            <w:r>
              <w:rPr>
                <w:sz w:val="4"/>
                <w:szCs w:val="4"/>
              </w:rPr>
            </w:r>
          </w:p>
        </w:tc>
        <w:tc>
          <w:tcPr>
            <w:tcW w:w="510" w:type="dxa"/>
            <w:gridSpan w:val="2"/>
            <w:tcBorders/>
            <w:shd w:fill="auto" w:val="clear"/>
            <w:vAlign w:val="center"/>
          </w:tcPr>
          <w:p>
            <w:pPr>
              <w:pStyle w:val="TableContents"/>
              <w:spacing w:before="0" w:after="283"/>
              <w:rPr>
                <w:sz w:val="4"/>
                <w:szCs w:val="4"/>
              </w:rPr>
            </w:pPr>
            <w:r>
              <w:rPr>
                <w:sz w:val="4"/>
                <w:szCs w:val="4"/>
              </w:rPr>
            </w:r>
          </w:p>
        </w:tc>
        <w:tc>
          <w:tcPr>
            <w:tcW w:w="83" w:type="dxa"/>
            <w:gridSpan w:val="2"/>
            <w:tcBorders/>
            <w:shd w:fill="auto" w:val="clear"/>
            <w:vAlign w:val="center"/>
          </w:tcPr>
          <w:p>
            <w:pPr>
              <w:pStyle w:val="TableContents"/>
              <w:spacing w:before="0" w:after="283"/>
              <w:rPr>
                <w:sz w:val="4"/>
                <w:szCs w:val="4"/>
              </w:rPr>
            </w:pPr>
            <w:r>
              <w:rPr>
                <w:sz w:val="4"/>
                <w:szCs w:val="4"/>
              </w:rPr>
            </w:r>
          </w:p>
        </w:tc>
        <w:tc>
          <w:tcPr>
            <w:tcW w:w="4807" w:type="dxa"/>
            <w:gridSpan w:val="2"/>
            <w:tcBorders/>
            <w:shd w:fill="auto" w:val="clear"/>
            <w:vAlign w:val="center"/>
          </w:tcPr>
          <w:p>
            <w:pPr>
              <w:pStyle w:val="TableContents"/>
              <w:spacing w:before="0" w:after="283"/>
              <w:rPr>
                <w:sz w:val="4"/>
                <w:szCs w:val="4"/>
              </w:rPr>
            </w:pPr>
            <w:r>
              <w:rPr>
                <w:sz w:val="4"/>
                <w:szCs w:val="4"/>
              </w:rPr>
            </w:r>
          </w:p>
        </w:tc>
      </w:tr>
      <w:tr>
        <w:trPr/>
        <w:tc>
          <w:tcPr>
            <w:tcW w:w="4805"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3" w:type="dxa"/>
            <w:tcBorders/>
            <w:shd w:fill="auto" w:val="clear"/>
            <w:vAlign w:val="bottom"/>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4705" w:type="dxa"/>
            <w:tcBorders/>
            <w:shd w:fill="auto" w:val="clear"/>
            <w:vAlign w:val="bottom"/>
          </w:tcPr>
          <w:p>
            <w:pPr>
              <w:pStyle w:val="TableContents"/>
              <w:spacing w:before="0" w:after="283"/>
              <w:rPr/>
            </w:pPr>
            <w:r>
              <w:rPr/>
              <w:t>(Signature)</w:t>
            </w:r>
          </w:p>
        </w:tc>
      </w:tr>
      <w:tr>
        <w:trPr>
          <w:trHeight w:val="240" w:hRule="atLeast"/>
        </w:trPr>
        <w:tc>
          <w:tcPr>
            <w:tcW w:w="4805" w:type="dxa"/>
            <w:tcBorders/>
            <w:shd w:fill="auto" w:val="clear"/>
            <w:vAlign w:val="center"/>
          </w:tcPr>
          <w:p>
            <w:pPr>
              <w:pStyle w:val="TableContents"/>
              <w:spacing w:before="0" w:after="283"/>
              <w:rPr>
                <w:sz w:val="4"/>
                <w:szCs w:val="4"/>
              </w:rPr>
            </w:pPr>
            <w:r>
              <w:rPr>
                <w:sz w:val="4"/>
                <w:szCs w:val="4"/>
              </w:rPr>
            </w:r>
          </w:p>
        </w:tc>
        <w:tc>
          <w:tcPr>
            <w:tcW w:w="510" w:type="dxa"/>
            <w:gridSpan w:val="2"/>
            <w:tcBorders/>
            <w:shd w:fill="auto" w:val="clear"/>
            <w:vAlign w:val="center"/>
          </w:tcPr>
          <w:p>
            <w:pPr>
              <w:pStyle w:val="TableContents"/>
              <w:spacing w:before="0" w:after="283"/>
              <w:rPr>
                <w:sz w:val="4"/>
                <w:szCs w:val="4"/>
              </w:rPr>
            </w:pPr>
            <w:r>
              <w:rPr>
                <w:sz w:val="4"/>
                <w:szCs w:val="4"/>
              </w:rPr>
            </w:r>
          </w:p>
        </w:tc>
        <w:tc>
          <w:tcPr>
            <w:tcW w:w="83" w:type="dxa"/>
            <w:gridSpan w:val="2"/>
            <w:tcBorders/>
            <w:shd w:fill="auto" w:val="clear"/>
            <w:vAlign w:val="center"/>
          </w:tcPr>
          <w:p>
            <w:pPr>
              <w:pStyle w:val="TableContents"/>
              <w:spacing w:before="0" w:after="283"/>
              <w:rPr>
                <w:sz w:val="4"/>
                <w:szCs w:val="4"/>
              </w:rPr>
            </w:pPr>
            <w:r>
              <w:rPr>
                <w:sz w:val="4"/>
                <w:szCs w:val="4"/>
              </w:rPr>
            </w:r>
          </w:p>
        </w:tc>
        <w:tc>
          <w:tcPr>
            <w:tcW w:w="4807" w:type="dxa"/>
            <w:gridSpan w:val="2"/>
            <w:tcBorders/>
            <w:shd w:fill="auto" w:val="clear"/>
            <w:vAlign w:val="center"/>
          </w:tcPr>
          <w:p>
            <w:pPr>
              <w:pStyle w:val="TableContents"/>
              <w:spacing w:before="0" w:after="283"/>
              <w:rPr>
                <w:sz w:val="4"/>
                <w:szCs w:val="4"/>
              </w:rPr>
            </w:pPr>
            <w:r>
              <w:rPr>
                <w:sz w:val="4"/>
                <w:szCs w:val="4"/>
              </w:rPr>
            </w:r>
          </w:p>
        </w:tc>
      </w:tr>
      <w:tr>
        <w:trPr/>
        <w:tc>
          <w:tcPr>
            <w:tcW w:w="4805"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3" w:type="dxa"/>
            <w:tcBorders/>
            <w:shd w:fill="auto" w:val="clear"/>
            <w:vAlign w:val="bottom"/>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4705" w:type="dxa"/>
            <w:tcBorders/>
            <w:shd w:fill="auto" w:val="clear"/>
            <w:vAlign w:val="bottom"/>
          </w:tcPr>
          <w:p>
            <w:pPr>
              <w:pStyle w:val="TableContents"/>
              <w:spacing w:before="0" w:after="283"/>
              <w:rPr/>
            </w:pPr>
            <w:r>
              <w:rPr/>
              <w:t>(Address)</w:t>
            </w:r>
          </w:p>
        </w:tc>
      </w:tr>
      <w:tr>
        <w:trPr/>
        <w:tc>
          <w:tcPr>
            <w:tcW w:w="4805"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3" w:type="dxa"/>
            <w:tcBorders/>
            <w:shd w:fill="auto" w:val="clear"/>
            <w:vAlign w:val="bottom"/>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4705" w:type="dxa"/>
            <w:tcBorders/>
            <w:shd w:fill="auto" w:val="clear"/>
            <w:vAlign w:val="bottom"/>
          </w:tcPr>
          <w:p>
            <w:pPr>
              <w:pStyle w:val="TableContents"/>
              <w:pBdr>
                <w:bottom w:val="single" w:sz="2" w:space="1" w:color="000000"/>
              </w:pBdr>
              <w:spacing w:before="0" w:after="20"/>
              <w:rPr/>
            </w:pPr>
            <w:r>
              <w:rPr/>
              <w:t> </w:t>
            </w:r>
          </w:p>
        </w:tc>
      </w:tr>
      <w:tr>
        <w:trPr/>
        <w:tc>
          <w:tcPr>
            <w:tcW w:w="4805"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3" w:type="dxa"/>
            <w:tcBorders/>
            <w:shd w:fill="auto" w:val="clear"/>
            <w:vAlign w:val="bottom"/>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4705" w:type="dxa"/>
            <w:tcBorders/>
            <w:shd w:fill="auto" w:val="clear"/>
            <w:vAlign w:val="bottom"/>
          </w:tcPr>
          <w:p>
            <w:pPr>
              <w:pStyle w:val="TableContents"/>
              <w:spacing w:before="0" w:after="283"/>
              <w:rPr/>
            </w:pPr>
            <w:r>
              <w:rPr/>
              <w:t>(Tax Identification Number)</w:t>
            </w:r>
          </w:p>
        </w:tc>
      </w:tr>
      <w:tr>
        <w:trPr/>
        <w:tc>
          <w:tcPr>
            <w:tcW w:w="4805" w:type="dxa"/>
            <w:tcBorders/>
            <w:shd w:fill="auto" w:val="clear"/>
          </w:tcPr>
          <w:p>
            <w:pPr>
              <w:pStyle w:val="TableContents"/>
              <w:spacing w:before="0" w:after="283"/>
              <w:rPr/>
            </w:pPr>
            <w:r>
              <w:rPr/>
              <w:t>Signature Guaranteed:</w:t>
            </w:r>
          </w:p>
        </w:tc>
        <w:tc>
          <w:tcPr>
            <w:tcW w:w="102"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3" w:type="dxa"/>
            <w:tcBorders/>
            <w:shd w:fill="auto" w:val="clear"/>
            <w:vAlign w:val="bottom"/>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4705" w:type="dxa"/>
            <w:tcBorders/>
            <w:shd w:fill="auto" w:val="clear"/>
            <w:vAlign w:val="bottom"/>
          </w:tcPr>
          <w:p>
            <w:pPr>
              <w:pStyle w:val="TableContents"/>
              <w:spacing w:before="0" w:after="283"/>
              <w:rPr>
                <w:sz w:val="4"/>
                <w:szCs w:val="4"/>
              </w:rPr>
            </w:pPr>
            <w:r>
              <w:rPr>
                <w:sz w:val="4"/>
                <w:szCs w:val="4"/>
              </w:rPr>
            </w:r>
          </w:p>
        </w:tc>
      </w:tr>
      <w:tr>
        <w:trPr/>
        <w:tc>
          <w:tcPr>
            <w:tcW w:w="4805" w:type="dxa"/>
            <w:tcBorders/>
            <w:shd w:fill="auto" w:val="clear"/>
          </w:tcPr>
          <w:p>
            <w:pPr>
              <w:pStyle w:val="TableContents"/>
              <w:pBdr>
                <w:bottom w:val="single" w:sz="2" w:space="1" w:color="000000"/>
              </w:pBdr>
              <w:spacing w:before="0" w:after="20"/>
              <w:rPr/>
            </w:pPr>
            <w:r>
              <w:rPr/>
              <w:t> </w:t>
            </w:r>
          </w:p>
        </w:tc>
        <w:tc>
          <w:tcPr>
            <w:tcW w:w="102"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3" w:type="dxa"/>
            <w:tcBorders/>
            <w:shd w:fill="auto" w:val="clear"/>
            <w:vAlign w:val="bottom"/>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4705" w:type="dxa"/>
            <w:tcBorders/>
            <w:shd w:fill="auto" w:val="clear"/>
            <w:vAlign w:val="bottom"/>
          </w:tcPr>
          <w:p>
            <w:pPr>
              <w:pStyle w:val="TableContents"/>
              <w:spacing w:before="0" w:after="283"/>
              <w:rPr>
                <w:sz w:val="4"/>
                <w:szCs w:val="4"/>
              </w:rPr>
            </w:pPr>
            <w:r>
              <w:rPr>
                <w:sz w:val="4"/>
                <w:szCs w:val="4"/>
              </w:rPr>
            </w:r>
          </w:p>
        </w:tc>
      </w:tr>
    </w:tbl>
    <w:p>
      <w:pPr>
        <w:pStyle w:val="TextBody"/>
        <w:spacing w:before="240" w:after="0"/>
        <w:jc w:val="left"/>
        <w:rPr>
          <w:rFonts w:ascii="Times New Roman" w:hAnsi="Times New Roman"/>
          <w:sz w:val="20"/>
        </w:rPr>
      </w:pPr>
      <w:r>
        <w:rPr>
          <w:rFonts w:ascii="Times New Roman" w:hAnsi="Times New Roman"/>
          <w:sz w:val="20"/>
        </w:rPr>
        <w:t xml:space="preserve">THE SIGNATURE(S) SHOULD BE GUARANTEED BY AN ELIGIBLE GUARANTOR INSTITUTION (BANKS, STOCKBROKERS, SAVINGS AND LOAN ASSOCIATIONS AND CREDIT UNIONS WITH MEMBERSHIP IN AN APPROVED SIGNATURE GUARANTEE MEDALLION PROGRAM, PURSUANT TO S.E.C. RULE 17Ad-15 UNDER THE SECURITIES EXCHANGE ACT OF 1934, AS AMENDED).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w:t>
      </w:r>
      <w:r>
        <w:rPr>
          <w:rFonts w:ascii="Times New Roman" w:hAnsi="Times New Roman"/>
          <w:sz w:val="20"/>
        </w:rPr>
        <w:t xml:space="preserve"> </w:t>
      </w:r>
      <w:r>
        <w:rPr>
          <w:rFonts w:ascii="Times New Roman" w:hAnsi="Times New Roman"/>
          <w:i/>
          <w:sz w:val="20"/>
        </w:rPr>
        <w:t>Page to Warrant Certificate</w:t>
      </w:r>
      <w:r>
        <w:rPr>
          <w:rFonts w:ascii="Times New Roman" w:hAnsi="Times New Roman"/>
          <w:sz w:val="20"/>
        </w:rPr>
        <w:t xml:space="preserve">]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EXHIBIT B </w:t>
      </w:r>
    </w:p>
    <w:p>
      <w:pPr>
        <w:pStyle w:val="TextBody"/>
        <w:spacing w:before="240" w:after="0"/>
        <w:jc w:val="center"/>
        <w:rPr>
          <w:rFonts w:ascii="Times New Roman" w:hAnsi="Times New Roman"/>
          <w:sz w:val="20"/>
        </w:rPr>
      </w:pPr>
      <w:r>
        <w:rPr>
          <w:rFonts w:ascii="Times New Roman" w:hAnsi="Times New Roman"/>
          <w:sz w:val="20"/>
        </w:rPr>
        <w:t xml:space="preserve">LEGEND </w:t>
      </w:r>
    </w:p>
    <w:p>
      <w:pPr>
        <w:pStyle w:val="TextBody"/>
        <w:spacing w:before="240" w:after="0"/>
        <w:jc w:val="left"/>
        <w:rPr>
          <w:rFonts w:ascii="Times New Roman" w:hAnsi="Times New Roman"/>
          <w:sz w:val="20"/>
        </w:rPr>
      </w:pPr>
      <w:r>
        <w:rPr>
          <w:rFonts w:ascii="Times New Roman" w:hAnsi="Times New Roman"/>
          <w:sz w:val="20"/>
        </w:rPr>
        <w:t>THE SECURITIES REPRESENTED BY THIS CERTIFICATE HAVE NOT BEEN REGISTERED UNDER THE SECURITIES ACT OF 1933, AS AMENDED, OR ANY STATE SECURITIES LAWS, AND MAY NOT BE OFFERED, SOLD, TRANSFERRED OR OTHERWISE DISPOSED OF UNLESS REGISTERED UNDER THE SECURITIES ACT OF 1933, AS AMENDED, AND ANY APPLICABLE STATE SECURITIES LAWS OR AN EXEMPTION FROM REGISTRATION IS AVAILABLE. IN ADDITION, SUBJECT TO ANY ADDITIONAL LIMITATIONS ON TRANSFER DESCRIBED IN THE LETTER AGREEMENT BY AND AMONG ARCLIGHT CLEAN TRANSITION CORP. II (THE </w:t>
      </w:r>
      <w:r>
        <w:rPr>
          <w:rFonts w:ascii="Times New Roman" w:hAnsi="Times New Roman"/>
          <w:b/>
          <w:i/>
          <w:sz w:val="20"/>
        </w:rPr>
        <w:t>COMPANY</w:t>
      </w:r>
      <w:r>
        <w:rPr>
          <w:rFonts w:ascii="Times New Roman" w:hAnsi="Times New Roman"/>
          <w:sz w:val="20"/>
        </w:rPr>
        <w:t xml:space="preserve">), ARCLIGHT CTC HOLDINGS II, L.P. AND THE OTHER PARTIES THERETO, THE SECURITIES REPRESENTED BY THIS CERTIFICATE MAY NOT BE SOLD OR TRANSFERRED PRIOR TO THE DATE THAT IS THIRTY (30) DAYS AFTER THE DATE UPON WHICH THE COMPANY COMPLETES ITS INITIAL BUSINESS COMBINATION (AS DEFINED IN SECTION 3 OF THE WARRANT AGREEMENT REFERRED TO HEREIN) EXCEPT TO A PERMITTED TRANSFEREE (AS DEFINED IN SECTION 2 OF THE WARRANT AGREEMENT) WHO AGREES IN WRITING WITH THE COMPANY TO BE SUBJECT TO SUCH TRANSFER PROVISIONS. </w:t>
      </w:r>
    </w:p>
    <w:p>
      <w:pPr>
        <w:pStyle w:val="TextBody"/>
        <w:spacing w:before="240" w:after="0"/>
        <w:jc w:val="left"/>
        <w:rPr>
          <w:rFonts w:ascii="Times New Roman" w:hAnsi="Times New Roman"/>
          <w:sz w:val="20"/>
        </w:rPr>
      </w:pPr>
      <w:r>
        <w:rPr>
          <w:rFonts w:ascii="Times New Roman" w:hAnsi="Times New Roman"/>
          <w:sz w:val="20"/>
        </w:rPr>
        <w:t xml:space="preserve">SECURITIES EVIDENCED BY THIS CERTIFICATE AND CLASS A ORDINARY SHARES OF THE COMPANY ISSUED UPON EXERCISE OF SUCH SECURITIES SHALL BE ENTITLED TO REGISTRATION RIGHTS UNDER A REGISTRATION AND SHAREHOLDER RIGHTS AGREEMENT TO BE EXECUTED BY THE COMPANY. </w:t>
      </w:r>
    </w:p>
    <w:p>
      <w:pPr>
        <w:pStyle w:val="TextBody"/>
        <w:spacing w:before="240" w:after="0"/>
        <w:jc w:val="left"/>
        <w:rPr>
          <w:rFonts w:ascii="Times New Roman" w:hAnsi="Times New Roman"/>
          <w:sz w:val="20"/>
        </w:rPr>
      </w:pPr>
      <w:r>
        <w:rPr>
          <w:rFonts w:ascii="Times New Roman" w:hAnsi="Times New Roman"/>
          <w:sz w:val="20"/>
        </w:rPr>
        <w:t xml:space="preserve">NO. [                    ] WARRANT </w:t>
      </w:r>
      <w:r>
        <w:br w:type="page"/>
      </w:r>
    </w:p>
    <w:p>
      <w:pPr>
        <w:pStyle w:val="TextBody"/>
        <w:spacing w:before="0" w:after="0"/>
        <w:jc w:val="right"/>
        <w:rPr>
          <w:rFonts w:ascii="Times New Roman" w:hAnsi="Times New Roman"/>
          <w:b/>
          <w:sz w:val="20"/>
        </w:rPr>
      </w:pPr>
      <w:bookmarkStart w:id="8" w:name="d167128dex101.htm"/>
      <w:bookmarkStart w:id="9" w:name="ksd167128dex101"/>
      <w:bookmarkEnd w:id="8"/>
      <w:bookmarkEnd w:id="9"/>
      <w:r>
        <w:rPr>
          <w:rFonts w:ascii="Times New Roman" w:hAnsi="Times New Roman"/>
          <w:b/>
          <w:sz w:val="20"/>
        </w:rPr>
        <w:t xml:space="preserve">Exhibit 10.1 </w:t>
      </w:r>
    </w:p>
    <w:p>
      <w:pPr>
        <w:pStyle w:val="TextBody"/>
        <w:spacing w:before="240" w:after="0"/>
        <w:jc w:val="center"/>
        <w:rPr>
          <w:rFonts w:ascii="Times New Roman" w:hAnsi="Times New Roman"/>
          <w:b/>
          <w:sz w:val="20"/>
        </w:rPr>
      </w:pPr>
      <w:r>
        <w:rPr>
          <w:rFonts w:ascii="Times New Roman" w:hAnsi="Times New Roman"/>
          <w:b/>
          <w:sz w:val="20"/>
        </w:rPr>
        <w:t xml:space="preserve">PRIVATE PLACEMENT WARRANTS PURCHASE AGREEMENT </w:t>
      </w:r>
    </w:p>
    <w:p>
      <w:pPr>
        <w:pStyle w:val="TextBody"/>
        <w:spacing w:before="240" w:after="0"/>
        <w:jc w:val="left"/>
        <w:rPr>
          <w:rFonts w:ascii="Times New Roman" w:hAnsi="Times New Roman"/>
          <w:sz w:val="20"/>
        </w:rPr>
      </w:pPr>
      <w:r>
        <w:rPr>
          <w:rFonts w:ascii="Times New Roman" w:hAnsi="Times New Roman"/>
          <w:sz w:val="20"/>
        </w:rPr>
        <w:t>THIS PRIVATE PLACEMENT WARRANTS PURCHASE AGREEMENT (as it may from time to time be amended and including all exhibits referenced herein, this </w:t>
      </w:r>
      <w:r>
        <w:rPr>
          <w:rFonts w:ascii="Times New Roman" w:hAnsi="Times New Roman"/>
          <w:b/>
          <w:i/>
          <w:sz w:val="20"/>
        </w:rPr>
        <w:t>Agreement</w:t>
      </w:r>
      <w:r>
        <w:rPr>
          <w:rFonts w:ascii="Times New Roman" w:hAnsi="Times New Roman"/>
          <w:sz w:val="20"/>
        </w:rPr>
        <w:t>), dated as of March 22, 2021, is entered into by and between ArcLight Clean Transition Corp. II, a Cayman Islands exempted company (the </w:t>
      </w:r>
      <w:r>
        <w:rPr>
          <w:rFonts w:ascii="Times New Roman" w:hAnsi="Times New Roman"/>
          <w:b/>
          <w:i/>
          <w:sz w:val="20"/>
        </w:rPr>
        <w:t>Company</w:t>
      </w:r>
      <w:r>
        <w:rPr>
          <w:rFonts w:ascii="Times New Roman" w:hAnsi="Times New Roman"/>
          <w:sz w:val="20"/>
        </w:rPr>
        <w:t>), and ArcLight CTC Holdings II, L.P., a Delaware limited partnership (the </w:t>
      </w:r>
      <w:r>
        <w:rPr>
          <w:rFonts w:ascii="Times New Roman" w:hAnsi="Times New Roman"/>
          <w:b/>
          <w:i/>
          <w:sz w:val="20"/>
        </w:rPr>
        <w:t>Purchaser</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WHEREAS, the Company intends to consummate an initial public offering of the Companys units (the </w:t>
      </w:r>
      <w:r>
        <w:rPr>
          <w:rFonts w:ascii="Times New Roman" w:hAnsi="Times New Roman"/>
          <w:b/>
          <w:i/>
          <w:sz w:val="20"/>
        </w:rPr>
        <w:t>Public Offering</w:t>
      </w:r>
      <w:r>
        <w:rPr>
          <w:rFonts w:ascii="Times New Roman" w:hAnsi="Times New Roman"/>
          <w:sz w:val="20"/>
        </w:rPr>
        <w:t>), each unit consisting of one Class A ordinary share of the Company, par value $0.0001 per share (each, a </w:t>
      </w:r>
      <w:r>
        <w:rPr>
          <w:rFonts w:ascii="Times New Roman" w:hAnsi="Times New Roman"/>
          <w:b/>
          <w:i/>
          <w:sz w:val="20"/>
        </w:rPr>
        <w:t>Share</w:t>
      </w:r>
      <w:r>
        <w:rPr>
          <w:rFonts w:ascii="Times New Roman" w:hAnsi="Times New Roman"/>
          <w:sz w:val="20"/>
        </w:rPr>
        <w:t>), and one-fifth of one redeemable warrant, each whole warrant entitling the holder to purchase one Share at an exercise price of $11.50 per Share, as set forth in the Companys Registration Statement on Form S-1, filed with the U.S. Securities and Exchange Commission (the </w:t>
      </w:r>
      <w:r>
        <w:rPr>
          <w:rFonts w:ascii="Times New Roman" w:hAnsi="Times New Roman"/>
          <w:b/>
          <w:i/>
          <w:sz w:val="20"/>
        </w:rPr>
        <w:t>SEC</w:t>
      </w:r>
      <w:r>
        <w:rPr>
          <w:rFonts w:ascii="Times New Roman" w:hAnsi="Times New Roman"/>
          <w:sz w:val="20"/>
        </w:rPr>
        <w:t>), File Number 333-252730 (the </w:t>
      </w:r>
      <w:r>
        <w:rPr>
          <w:rFonts w:ascii="Times New Roman" w:hAnsi="Times New Roman"/>
          <w:b/>
          <w:i/>
          <w:sz w:val="20"/>
        </w:rPr>
        <w:t>Registration Statement</w:t>
      </w:r>
      <w:r>
        <w:rPr>
          <w:rFonts w:ascii="Times New Roman" w:hAnsi="Times New Roman"/>
          <w:sz w:val="20"/>
        </w:rPr>
        <w:t>), under the Securities Act of 1933, as amended (the </w:t>
      </w:r>
      <w:r>
        <w:rPr>
          <w:rFonts w:ascii="Times New Roman" w:hAnsi="Times New Roman"/>
          <w:b/>
          <w:i/>
          <w:sz w:val="20"/>
        </w:rPr>
        <w:t>Securities Act</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WHEREAS, the Purchaser has agreed to purchase an aggregate of 8,500,000 warrants (and up to 9,325,000 additional redeemable warrants if the underwriters in the Public Offering exercises their option to purchase additional units in full) (the </w:t>
      </w:r>
      <w:r>
        <w:rPr>
          <w:rFonts w:ascii="Times New Roman" w:hAnsi="Times New Roman"/>
          <w:b/>
          <w:i/>
          <w:sz w:val="20"/>
        </w:rPr>
        <w:t>Private Placement Warrants</w:t>
      </w:r>
      <w:r>
        <w:rPr>
          <w:rFonts w:ascii="Times New Roman" w:hAnsi="Times New Roman"/>
          <w:sz w:val="20"/>
        </w:rPr>
        <w:t xml:space="preserve">), each Private Placement Warrant entitling the holder to purchase one Share at an exercise price of $11.50 per Share, at a price of $1.50 per warrant, subject to adjustment. </w:t>
      </w:r>
    </w:p>
    <w:p>
      <w:pPr>
        <w:pStyle w:val="TextBody"/>
        <w:spacing w:before="240" w:after="0"/>
        <w:jc w:val="left"/>
        <w:rPr>
          <w:rFonts w:ascii="Times New Roman" w:hAnsi="Times New Roman"/>
          <w:sz w:val="20"/>
        </w:rPr>
      </w:pPr>
      <w:r>
        <w:rPr>
          <w:rFonts w:ascii="Times New Roman" w:hAnsi="Times New Roman"/>
          <w:sz w:val="20"/>
        </w:rPr>
        <w:t xml:space="preserve">NOW THEREFORE, in consideration of the mutual promises contained in this Agreement and other good and valuable consideration, the receipt and sufficiency of which are hereby acknowledged, the parties to this Agreement hereby, intending legally to be bound, agree as follows: </w:t>
      </w:r>
    </w:p>
    <w:p>
      <w:pPr>
        <w:pStyle w:val="TextBody"/>
        <w:spacing w:before="480" w:after="0"/>
        <w:jc w:val="center"/>
        <w:rPr>
          <w:rFonts w:ascii="Times New Roman" w:hAnsi="Times New Roman"/>
          <w:sz w:val="20"/>
          <w:u w:val="single"/>
        </w:rPr>
      </w:pPr>
      <w:r>
        <w:rPr>
          <w:rFonts w:ascii="Times New Roman" w:hAnsi="Times New Roman"/>
          <w:sz w:val="20"/>
          <w:u w:val="single"/>
        </w:rPr>
        <w:t xml:space="preserve">AGREEMENT </w:t>
      </w:r>
    </w:p>
    <w:p>
      <w:pPr>
        <w:pStyle w:val="TextBody"/>
        <w:spacing w:before="240" w:after="0"/>
        <w:jc w:val="left"/>
        <w:rPr>
          <w:rFonts w:ascii="Times New Roman" w:hAnsi="Times New Roman"/>
          <w:b/>
          <w:sz w:val="20"/>
        </w:rPr>
      </w:pPr>
      <w:r>
        <w:rPr>
          <w:rFonts w:ascii="Times New Roman" w:hAnsi="Times New Roman"/>
          <w:b/>
          <w:sz w:val="20"/>
        </w:rPr>
        <w:t xml:space="preserve">Section 1. Authorization, Purchase and Sale; Terms of the Private Placement Warrants. </w:t>
      </w:r>
    </w:p>
    <w:p>
      <w:pPr>
        <w:pStyle w:val="TextBody"/>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Authorization of the Private Placement Warrants</w:t>
      </w:r>
      <w:r>
        <w:rPr>
          <w:rFonts w:ascii="Times New Roman" w:hAnsi="Times New Roman"/>
          <w:sz w:val="20"/>
        </w:rPr>
        <w:t xml:space="preserve">. The Company has duly authorized the issuance and sale of the Private Placement Warrants to the Purchaser. </w:t>
      </w:r>
    </w:p>
    <w:p>
      <w:pPr>
        <w:pStyle w:val="TextBody"/>
        <w:spacing w:before="36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Purchase and Sale of the Private Placement Warrants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(i) On the date of the consummation of the Public Offering (the </w:t>
      </w:r>
      <w:r>
        <w:rPr>
          <w:rFonts w:ascii="Times New Roman" w:hAnsi="Times New Roman"/>
          <w:b/>
          <w:i/>
          <w:sz w:val="20"/>
        </w:rPr>
        <w:t>IPO Closing Date</w:t>
      </w:r>
      <w:r>
        <w:rPr>
          <w:rFonts w:ascii="Times New Roman" w:hAnsi="Times New Roman"/>
          <w:sz w:val="20"/>
        </w:rPr>
        <w:t>), the Company shall issue and sell to the Purchaser, and the Purchaser shall purchase from the Company, 8,000,000 Private Placement Warrants at a price of $1.00 per warrant for an aggregate purchase price of $8,000,000 (the </w:t>
      </w:r>
      <w:r>
        <w:rPr>
          <w:rFonts w:ascii="Times New Roman" w:hAnsi="Times New Roman"/>
          <w:b/>
          <w:i/>
          <w:sz w:val="20"/>
        </w:rPr>
        <w:t>Purchase Price</w:t>
      </w:r>
      <w:r>
        <w:rPr>
          <w:rFonts w:ascii="Times New Roman" w:hAnsi="Times New Roman"/>
          <w:sz w:val="20"/>
        </w:rPr>
        <w:t>). The Purchaser shall pay the Purchase Price by wire transfer of immediately available funds in the following amounts: (i) $1,550,000 to the Company at a financial institution to be chosen by the Company, and (ii) $6,450,000 to the trust account maintained by Continental Stock Transfer &amp; Trust Company, acting as trustee (the </w:t>
      </w:r>
      <w:r>
        <w:rPr>
          <w:rFonts w:ascii="Times New Roman" w:hAnsi="Times New Roman"/>
          <w:b/>
          <w:i/>
          <w:sz w:val="20"/>
        </w:rPr>
        <w:t>Trust Account</w:t>
      </w:r>
      <w:r>
        <w:rPr>
          <w:rFonts w:ascii="Times New Roman" w:hAnsi="Times New Roman"/>
          <w:sz w:val="20"/>
        </w:rPr>
        <w:t xml:space="preserve">), in each case in accordance with the Companys wiring instructions, at least one (1) business day prior to the IPO Closing Date. On the IPO Closing Date, subject to the receipt of funds pursuant to the immediately prior sentence, the Company, at its option, shall deliver a certificate evidencing the Private Placement Warrants purchased on such date duly registered in the Purchasers name to the Purchaser or effect such delivery in book-entry form. </w:t>
      </w:r>
    </w:p>
    <w:p>
      <w:pPr>
        <w:pStyle w:val="TextBody"/>
        <w:spacing w:before="240" w:after="0"/>
        <w:jc w:val="left"/>
        <w:rPr>
          <w:rFonts w:ascii="Times New Roman" w:hAnsi="Times New Roman"/>
          <w:sz w:val="20"/>
        </w:rPr>
      </w:pPr>
      <w:r>
        <w:rPr>
          <w:rFonts w:ascii="Times New Roman" w:hAnsi="Times New Roman"/>
          <w:sz w:val="20"/>
        </w:rPr>
        <w:t>(ii) On the date of the closing of the option to purchase additional units, if any, in connection with the Public Offering or on such earlier time and date as may be mutually agreed by the Purchaser and the Company (the </w:t>
      </w:r>
      <w:r>
        <w:rPr>
          <w:rFonts w:ascii="Times New Roman" w:hAnsi="Times New Roman"/>
          <w:b/>
          <w:i/>
          <w:sz w:val="20"/>
        </w:rPr>
        <w:t>Option Closing Date</w:t>
      </w:r>
      <w:r>
        <w:rPr>
          <w:rFonts w:ascii="Times New Roman" w:hAnsi="Times New Roman"/>
          <w:sz w:val="20"/>
        </w:rPr>
        <w:t>, and each Option Closing Date (if any) and the IPO Closing Date, a </w:t>
      </w:r>
      <w:r>
        <w:rPr>
          <w:rFonts w:ascii="Times New Roman" w:hAnsi="Times New Roman"/>
          <w:b/>
          <w:i/>
          <w:sz w:val="20"/>
        </w:rPr>
        <w:t>Closing Date</w:t>
      </w:r>
      <w:r>
        <w:rPr>
          <w:rFonts w:ascii="Times New Roman" w:hAnsi="Times New Roman"/>
          <w:sz w:val="20"/>
        </w:rPr>
        <w:t>), the Company shall issue and sell to the Purchaser, and the Purchaser shall purchase from the Company, up to 500,000 Private Placement Warrants (or, to the extent the option to purchase additional units is not exercised in full, a lesser number of Private Placement Warrants in proportion to portion of the option that is exercised) at a price of $1.00 per warrant for an aggregate purchase price of up to $750,000 (the </w:t>
      </w:r>
      <w:r>
        <w:rPr>
          <w:rFonts w:ascii="Times New Roman" w:hAnsi="Times New Roman"/>
          <w:b/>
          <w:i/>
          <w:sz w:val="20"/>
        </w:rPr>
        <w:t>Option Purchase Price</w:t>
      </w:r>
      <w:r>
        <w:rPr>
          <w:rFonts w:ascii="Times New Roman" w:hAnsi="Times New Roman"/>
          <w:sz w:val="20"/>
        </w:rPr>
        <w:t xml:space="preserve">). The Purchaser shall pay the Option Purchase Price in accordance with the Companys wire instruction by wire transfer of immediately available funds to the Trust Account, at least one (1) business day prior to the Option Closing Date. On the Option Closing Date, subject to the receipt of funds pursuant to the immediately prior sentence, the Company shall, at its option, deliver a certificate evidencing the Private Placement Warrants purchased on such date duly registered in the Purchasers name to the Purchaser or effect such delivery in book-entry form.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Terms of the Private Placement Warrants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(i) Each Private Placement Warrant shall have the terms set forth in a Warrant Agreement to be entered into by the Company and a warrant agent on the IPO Closing Date, in connection with the Public Offering (the </w:t>
      </w:r>
      <w:r>
        <w:rPr>
          <w:rFonts w:ascii="Times New Roman" w:hAnsi="Times New Roman"/>
          <w:b/>
          <w:i/>
          <w:sz w:val="20"/>
        </w:rPr>
        <w:t>Warrant Agreement</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(ii) On the IPO Closing Date, the Company and the Purchaser shall enter into a registration and shareholder rights agreement (the </w:t>
      </w:r>
      <w:r>
        <w:rPr>
          <w:rFonts w:ascii="Times New Roman" w:hAnsi="Times New Roman"/>
          <w:b/>
          <w:i/>
          <w:sz w:val="20"/>
        </w:rPr>
        <w:t>Registration and Shareholder Rights Agreement</w:t>
      </w:r>
      <w:r>
        <w:rPr>
          <w:rFonts w:ascii="Times New Roman" w:hAnsi="Times New Roman"/>
          <w:sz w:val="20"/>
        </w:rPr>
        <w:t xml:space="preserve">) pursuant to which the Company will grant certain registration rights to the Purchaser relating to the Private Placement Warrants and the Shares underlying the Private Placement Warrants.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 Representations and Warranties of the Company.</w:t>
      </w:r>
      <w:r>
        <w:rPr>
          <w:rFonts w:ascii="Times New Roman" w:hAnsi="Times New Roman"/>
          <w:sz w:val="20"/>
        </w:rPr>
        <w:t xml:space="preserve"> As a material inducement to the Purchaser to enter into this Agreement and purchase the Private Placement Warrants, the Company hereby represents and warrants to the Purchaser (which representations and warranties shall survive each Closing Date) that: </w:t>
      </w:r>
    </w:p>
    <w:p>
      <w:pPr>
        <w:pStyle w:val="TextBody"/>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Incorporation and Corporate Power</w:t>
      </w:r>
      <w:r>
        <w:rPr>
          <w:rFonts w:ascii="Times New Roman" w:hAnsi="Times New Roman"/>
          <w:sz w:val="20"/>
        </w:rPr>
        <w:t xml:space="preserve">. The Company is an exempted company duly incorporated, validly existing and in good standing under the laws of the Cayman Islands and is qualified to do business in every jurisdiction in which the failure to so qualify would reasonably be expected to have a material adverse effect on the financial condition, operating results or assets of the Company. The Company possesses all requisite corporate power and authority necessary to carry out the transactions contemplated by this Agreement and the Warrant Agreement. </w:t>
      </w:r>
    </w:p>
    <w:p>
      <w:pPr>
        <w:pStyle w:val="TextBody"/>
        <w:spacing w:before="36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Authorization; No Breach</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(i) The execution, delivery and performance of this Agreement and the Private Placement Warrants have been duly authorized by the Company as of the Closing Date. This Agreement constitutes the valid and binding obligation of the Company, enforceable in accordance with its terms, subject to bankruptcy, insolvency, fraudulent conveyance, reorganization, moratorium and other laws of general applicability relating to or affecting creditors rights and to general equitable principles (whether considered in a proceeding in equity or law). Upon issuance in accordance with, and payment pursuant to, the terms of the Warrant Agreement and this Agreement, the Private Placement Warrants will constitute valid and binding obligations of the Company, enforceable in accordance with their terms as of the Closing Date. </w:t>
      </w:r>
    </w:p>
    <w:p>
      <w:pPr>
        <w:pStyle w:val="TextBody"/>
        <w:spacing w:before="240" w:after="0"/>
        <w:jc w:val="left"/>
        <w:rPr>
          <w:rFonts w:ascii="Times New Roman" w:hAnsi="Times New Roman"/>
          <w:sz w:val="20"/>
        </w:rPr>
      </w:pPr>
      <w:r>
        <w:rPr>
          <w:rFonts w:ascii="Times New Roman" w:hAnsi="Times New Roman"/>
          <w:sz w:val="20"/>
        </w:rPr>
        <w:t xml:space="preserve">(ii) The execution and delivery by the Company of this Agreement and the Private Placement Warrants, the issuance and sale of the Private Placement Warrants, the issuance of the Shares upon exercise of the Private Placement Warrants and the fulfillment of and compliance with the respective terms hereof and thereof by the Company, do not and will not as of the Closing Date (a) conflict with or result in a breach of the terms, conditions or provisions of, (b) constitute a default under, (c) result in the creation of any lien, security interest, charge or encumbrance upon the Companys share capital or assets under, (d) result in a violation of, or (e) require any authorization, consent, approval, exemption or other action by or notice or declaration to, or filing with, any court or administrative or governmental body or agency pursuant to the memorandum and articles of association of the Company (in effect on the date hereof or as may be amended prior to completion of the Public Offering) or any material law, statute, rule or regulation to which the Company is subject, or any agreement, order, judgment or decree to which the Company is subject, except for any filings required after the date hereof under federal or state securities laws. </w:t>
      </w:r>
    </w:p>
    <w:p>
      <w:pPr>
        <w:pStyle w:val="TextBody"/>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Title to Securities</w:t>
      </w:r>
      <w:r>
        <w:rPr>
          <w:rFonts w:ascii="Times New Roman" w:hAnsi="Times New Roman"/>
          <w:sz w:val="20"/>
        </w:rPr>
        <w:t xml:space="preserve">. Upon issuance in accordance with, and payment pursuant to, the terms hereof and the Warrant Agreement and the amended and restate memorandum and articles of association of the Company, and upon registration in the Companys register of members, the Shares issuable upon exercise of the Private Placement Warrants will be duly and validly issued, fully paid and nonassessable. On the date of issuance of the Private Placement Warrants, the Shares issuable upon exercise of the Private Placement Warrants shall have been reserved for issuance. Upon issuance in accordance with, and payment pursuant to, the terms hereof and the Warrant Agreement, and upon registration in the Companys register of members, the Purchaser will have good title to the Private Placement Warrants purchased by it and the Shares issuable upon exercise of such Private Placement Warrants, free and clear of all liens, claims and encumbrances of any kind, other than (i) transfer restrictions hereunder and under the other agreements contemplated hereby, (ii) transfer restrictions under federal and state securities laws, and (iii) liens, claims or encumbrances imposed due to the actions of the Purchaser.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Governmental Consents</w:t>
      </w:r>
      <w:r>
        <w:rPr>
          <w:rFonts w:ascii="Times New Roman" w:hAnsi="Times New Roman"/>
          <w:sz w:val="20"/>
        </w:rPr>
        <w:t xml:space="preserve">. No permit, consent, approval or authorization of, or declaration to or filing with, any governmental authority is required in connection with the execution, delivery and performance by the Company of this Agreement or the consummation by the Company of any other transactions contemplated hereby. </w:t>
      </w:r>
    </w:p>
    <w:p>
      <w:pPr>
        <w:pStyle w:val="TextBody"/>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Regulation D Qualification</w:t>
      </w:r>
      <w:r>
        <w:rPr>
          <w:rFonts w:ascii="Times New Roman" w:hAnsi="Times New Roman"/>
          <w:sz w:val="20"/>
        </w:rPr>
        <w:t xml:space="preserve">. Neither the Company nor, to its actual knowledge, any of its affiliates, members, officers, directors or beneficial shareholders of 20% or more of its outstanding securities, has experienced a disqualifying event as enumerated pursuant to Rule 506(d) of Regulation D under the Securities Act.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 Representations and Warranties of the Purchaser.</w:t>
      </w:r>
      <w:r>
        <w:rPr>
          <w:rFonts w:ascii="Times New Roman" w:hAnsi="Times New Roman"/>
          <w:sz w:val="20"/>
        </w:rPr>
        <w:t xml:space="preserve"> As a material inducement to the Company to enter into this Agreement and issue and sell the Private Placement Warrants to the Purchaser, the Purchaser hereby represents and warrants to the Company (which representations and warranties shall survive each Closing Date) that: </w:t>
      </w:r>
    </w:p>
    <w:p>
      <w:pPr>
        <w:pStyle w:val="TextBody"/>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Organization and Requisite Authority</w:t>
      </w:r>
      <w:r>
        <w:rPr>
          <w:rFonts w:ascii="Times New Roman" w:hAnsi="Times New Roman"/>
          <w:sz w:val="20"/>
        </w:rPr>
        <w:t xml:space="preserve">. The Purchaser possesses all requisite power and authority necessary to carry out the transactions contemplated by this Agreement. </w:t>
      </w:r>
    </w:p>
    <w:p>
      <w:pPr>
        <w:pStyle w:val="TextBody"/>
        <w:spacing w:before="36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Authorization; No Breach</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(i) This Agreement constitutes a valid and binding obligation of the Purchaser, enforceable in accordance with its terms, subject to bankruptcy, insolvency, fraudulent conveyance, reorganization, moratorium and other laws of general applicability relating to or affecting creditors rights and to general equitable principles (whether considered in a proceeding in equity or law). </w:t>
      </w:r>
    </w:p>
    <w:p>
      <w:pPr>
        <w:pStyle w:val="TextBody"/>
        <w:spacing w:before="240" w:after="0"/>
        <w:jc w:val="left"/>
        <w:rPr>
          <w:rFonts w:ascii="Times New Roman" w:hAnsi="Times New Roman"/>
          <w:sz w:val="20"/>
        </w:rPr>
      </w:pPr>
      <w:r>
        <w:rPr>
          <w:rFonts w:ascii="Times New Roman" w:hAnsi="Times New Roman"/>
          <w:sz w:val="20"/>
        </w:rPr>
        <w:t xml:space="preserve">(ii) The execution and delivery by the Purchaser of this Agreement and the fulfillment of and compliance with the terms hereof by the Purchaser does not and shall not as of each Closing Date (a) conflict with or result in a breach by the Purchaser of the terms, conditions or provisions of, (b) constitute a default under, (c) result in the creation of any lien, security interest, charge or encumbrance upon the Purchasers equity or assets under, (d) result in a violation of, or (e) require authorization, consent, approval, exemption or other action by or notice or declaration to, or filing with, any court or administrative or governmental body or agency pursuant to the Purchasers organizational documents in effect on the date hereof or as may be amended prior to completion of the contemplated Public Offering, or any material law, statute, rule or regulation to which the Purchaser is subject, or any agreement, instrument, order, judgment or decree to which the Purchaser is subject, except for any filings required after the date hereof under federal or state securities laws. </w:t>
      </w:r>
    </w:p>
    <w:p>
      <w:pPr>
        <w:pStyle w:val="TextBody"/>
        <w:spacing w:before="36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Investment Representations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(i) The Purchaser is acquiring the Private Placement Warrants and, upon exercise of the Private Placement Warrants, the Shares issuable upon such exercise (collectively, the </w:t>
      </w:r>
      <w:r>
        <w:rPr>
          <w:rFonts w:ascii="Times New Roman" w:hAnsi="Times New Roman"/>
          <w:b/>
          <w:i/>
          <w:sz w:val="20"/>
        </w:rPr>
        <w:t>Securities</w:t>
      </w:r>
      <w:r>
        <w:rPr>
          <w:rFonts w:ascii="Times New Roman" w:hAnsi="Times New Roman"/>
          <w:sz w:val="20"/>
        </w:rPr>
        <w:t xml:space="preserve">) for its own account, for investment purposes only and not with a view towards, or for resale in connection with, any public sale or distribution thereof. </w:t>
      </w:r>
    </w:p>
    <w:p>
      <w:pPr>
        <w:pStyle w:val="TextBody"/>
        <w:spacing w:before="240" w:after="0"/>
        <w:jc w:val="left"/>
        <w:rPr>
          <w:rFonts w:ascii="Times New Roman" w:hAnsi="Times New Roman"/>
          <w:sz w:val="20"/>
        </w:rPr>
      </w:pPr>
      <w:r>
        <w:rPr>
          <w:rFonts w:ascii="Times New Roman" w:hAnsi="Times New Roman"/>
          <w:sz w:val="20"/>
        </w:rPr>
        <w:t>(ii) The Purchaser is an </w:t>
      </w:r>
      <w:r>
        <w:rPr>
          <w:rFonts w:ascii="Times New Roman" w:hAnsi="Times New Roman"/>
          <w:b/>
          <w:i/>
          <w:sz w:val="20"/>
        </w:rPr>
        <w:t>accredited investor</w:t>
      </w:r>
      <w:r>
        <w:rPr>
          <w:rFonts w:ascii="Times New Roman" w:hAnsi="Times New Roman"/>
          <w:sz w:val="20"/>
        </w:rPr>
        <w:t xml:space="preserve"> as such term is defined in Rule 501(a)(3) of Regulation D, and the Purchaser has not experienced a disqualifying event as enumerated pursuant to Rule 506(d) of Regulation D under the Securities Act. </w:t>
      </w:r>
    </w:p>
    <w:p>
      <w:pPr>
        <w:pStyle w:val="TextBody"/>
        <w:spacing w:before="240" w:after="0"/>
        <w:jc w:val="left"/>
        <w:rPr>
          <w:rFonts w:ascii="Times New Roman" w:hAnsi="Times New Roman"/>
          <w:sz w:val="20"/>
        </w:rPr>
      </w:pPr>
      <w:r>
        <w:rPr>
          <w:rFonts w:ascii="Times New Roman" w:hAnsi="Times New Roman"/>
          <w:sz w:val="20"/>
        </w:rPr>
        <w:t xml:space="preserve">(iii) The Purchaser understands that the Securities are being offered and will be sold to it in reliance on specific exemptions from the registration requirements of the United States federal and state securities laws and that the Company is relying upon the truth and accuracy of, and the Purchasers compliance with, the representations and warranties of the Purchaser set forth herein in order to determine the availability of such exemptions and the eligibility of the Purchaser to acquire such Securities. </w:t>
      </w:r>
    </w:p>
    <w:p>
      <w:pPr>
        <w:pStyle w:val="TextBody"/>
        <w:spacing w:before="240" w:after="0"/>
        <w:jc w:val="left"/>
        <w:rPr>
          <w:rFonts w:ascii="Times New Roman" w:hAnsi="Times New Roman"/>
          <w:sz w:val="20"/>
        </w:rPr>
      </w:pPr>
      <w:r>
        <w:rPr>
          <w:rFonts w:ascii="Times New Roman" w:hAnsi="Times New Roman"/>
          <w:sz w:val="20"/>
        </w:rPr>
        <w:t xml:space="preserve">(iv) The Purchaser did not decide to enter into this Agreement as a result of any general solicitation or general advertising within the meaning of Rule 502(c) under the Securities Act. </w:t>
      </w:r>
    </w:p>
    <w:p>
      <w:pPr>
        <w:pStyle w:val="TextBody"/>
        <w:spacing w:before="240" w:after="0"/>
        <w:jc w:val="left"/>
        <w:rPr>
          <w:rFonts w:ascii="Times New Roman" w:hAnsi="Times New Roman"/>
          <w:sz w:val="20"/>
        </w:rPr>
      </w:pPr>
      <w:r>
        <w:rPr>
          <w:rFonts w:ascii="Times New Roman" w:hAnsi="Times New Roman"/>
          <w:sz w:val="20"/>
        </w:rPr>
        <w:t xml:space="preserve">(v) The Purchaser has been furnished with all materials relating to the business, finances and operations of the Company and materials relating to the offer and sale of the Securities which have been requested by the Purchaser. The Purchaser has been afforded the opportunity to ask questions of the executive officers and directors of the Company. The Purchaser understands that its investment in the Securities involves a high degree of risk and it has sought such accounting, legal and tax advice as it has considered necessary to make an informed investment decision with respect to the acquisition of the Securities. </w:t>
      </w:r>
    </w:p>
    <w:p>
      <w:pPr>
        <w:pStyle w:val="TextBody"/>
        <w:spacing w:before="240" w:after="0"/>
        <w:jc w:val="left"/>
        <w:rPr>
          <w:rFonts w:ascii="Times New Roman" w:hAnsi="Times New Roman"/>
          <w:sz w:val="20"/>
        </w:rPr>
      </w:pPr>
      <w:r>
        <w:rPr>
          <w:rFonts w:ascii="Times New Roman" w:hAnsi="Times New Roman"/>
          <w:sz w:val="20"/>
        </w:rPr>
        <w:t xml:space="preserve">(vi) The Purchaser understands that no United States federal or state agency or any other government or governmental agency has passed on or made any recommendation or endorsement of the Securities or the fairness or suitability of the investment in the Securities by the Purchaser nor have such authorities passed upon or endorsed the merits of the offering of the Securities.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(vii) The Purchaser understands that: (a) the Securities have not been and are not being registered under the Securities Act or any state securities laws, and may not be offered for sale, sold, assigned or transferred unless (1) subsequently registered thereunder or (2) sold in reliance on an exemption therefrom; and (b) except as specifically set forth in the Registration and Shareholder Rights Agreement, neither the Company nor any other person is under any obligation to register the Securities under the Securities Act or any state securities laws or to comply with the terms and conditions of any exemption thereunder. In this regard, the Purchaser understands that the SEC has taken the position that promoters or affiliates of a blank check company and their transferees, both before and after an initial Business Combination, are deemed to be </w:t>
      </w:r>
      <w:r>
        <w:rPr>
          <w:rFonts w:ascii="Times New Roman" w:hAnsi="Times New Roman"/>
          <w:b/>
          <w:i/>
          <w:sz w:val="20"/>
        </w:rPr>
        <w:t>underwriters</w:t>
      </w:r>
      <w:r>
        <w:rPr>
          <w:rFonts w:ascii="Times New Roman" w:hAnsi="Times New Roman"/>
          <w:sz w:val="20"/>
        </w:rPr>
        <w:t xml:space="preserve"> under the Securities Act when reselling the securities of a blank check company. Based on that position, Rule 144 adopted pursuant to the Securities Act would not be available for resale transactions of the Securities despite technical compliance with the requirements of such Rule, and the Securities can be resold only through a registered offering or in reliance upon another exemption from the registration requirements of the Securities Act. </w:t>
      </w:r>
    </w:p>
    <w:p>
      <w:pPr>
        <w:pStyle w:val="TextBody"/>
        <w:spacing w:before="240" w:after="0"/>
        <w:jc w:val="left"/>
        <w:rPr>
          <w:rFonts w:ascii="Times New Roman" w:hAnsi="Times New Roman"/>
          <w:sz w:val="20"/>
        </w:rPr>
      </w:pPr>
      <w:r>
        <w:rPr>
          <w:rFonts w:ascii="Times New Roman" w:hAnsi="Times New Roman"/>
          <w:sz w:val="20"/>
        </w:rPr>
        <w:t xml:space="preserve">(viii) The Purchaser has such knowledge and experience in financial and business matters, knowledge of the high degree of risk associated with investments in the securities of companies in the development stage such as the Company, is capable of evaluating the merits and risks of an investment in the Securities and is able to bear the economic risk of an investment in the Securities in the amount contemplated hereunder for an indefinite period of time. The Purchaser has adequate means of providing for its current financial needs and contingencies and will have no current or anticipated future needs for liquidity which would be jeopardized by the investment in the Securities. The Purchaser can afford a complete loss of its investments in the Securities. </w:t>
      </w:r>
    </w:p>
    <w:p>
      <w:pPr>
        <w:pStyle w:val="TextBody"/>
        <w:spacing w:before="240" w:after="0"/>
        <w:jc w:val="left"/>
        <w:rPr>
          <w:rFonts w:ascii="Times New Roman" w:hAnsi="Times New Roman"/>
          <w:sz w:val="20"/>
        </w:rPr>
      </w:pPr>
      <w:r>
        <w:rPr>
          <w:rFonts w:ascii="Times New Roman" w:hAnsi="Times New Roman"/>
          <w:sz w:val="20"/>
        </w:rPr>
        <w:t xml:space="preserve">(ix) The Purchaser understands that the Private Placement Warrants shall bear the legend substantially in the form set forth in the Warrant Agreement.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4. Conditions of the Purchasers Obligations. </w:t>
      </w:r>
      <w:r>
        <w:rPr>
          <w:rFonts w:ascii="Times New Roman" w:hAnsi="Times New Roman"/>
          <w:sz w:val="20"/>
        </w:rPr>
        <w:t xml:space="preserve">The obligations of the Purchaser to purchase and pay for the Private Placement Warrants are subject to the fulfillment, on or before each Closing Date, of each of the following conditions: </w:t>
      </w:r>
    </w:p>
    <w:p>
      <w:pPr>
        <w:pStyle w:val="TextBody"/>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Representations and Warranties</w:t>
      </w:r>
      <w:r>
        <w:rPr>
          <w:rFonts w:ascii="Times New Roman" w:hAnsi="Times New Roman"/>
          <w:sz w:val="20"/>
        </w:rPr>
        <w:t xml:space="preserve">. The representations and warranties of the Company contained in Section 2 shall be true and correct at and as of the Closing Date as though then made. </w:t>
      </w:r>
    </w:p>
    <w:p>
      <w:pPr>
        <w:pStyle w:val="TextBody"/>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Performance</w:t>
      </w:r>
      <w:r>
        <w:rPr>
          <w:rFonts w:ascii="Times New Roman" w:hAnsi="Times New Roman"/>
          <w:sz w:val="20"/>
        </w:rPr>
        <w:t xml:space="preserve">. The Company shall have performed and complied with all agreements, obligations and conditions contained in this Agreement that are required to be performed or complied with by it on or before such Closing Date. </w:t>
      </w:r>
    </w:p>
    <w:p>
      <w:pPr>
        <w:pStyle w:val="TextBody"/>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 Injunction</w:t>
      </w:r>
      <w:r>
        <w:rPr>
          <w:rFonts w:ascii="Times New Roman" w:hAnsi="Times New Roman"/>
          <w:sz w:val="20"/>
        </w:rPr>
        <w:t xml:space="preserve">. No litigation, statute, rule, regulation, executive order, decree, ruling or injunction shall have been enacted, entered, promulgated or endorsed by or in any court or governmental authority of competent jurisdiction or any self-regulatory organization having authority over the matters contemplated hereby, which prohibits the consummation of any of the transactions contemplated by this Agreement or the Warrant Agreement. </w:t>
      </w:r>
    </w:p>
    <w:p>
      <w:pPr>
        <w:pStyle w:val="TextBody"/>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Warrant Agreement and Registration and Shareholder Rights Agreement</w:t>
      </w:r>
      <w:r>
        <w:rPr>
          <w:rFonts w:ascii="Times New Roman" w:hAnsi="Times New Roman"/>
          <w:sz w:val="20"/>
        </w:rPr>
        <w:t xml:space="preserve">. The Company shall have entered into the Warrant Agreement, in the form of Exhibit A hereto, and the Registration and Shareholder Rights Agreement, in the form of Exhibit B hereto, in each case on terms satisfactory to the Purchaser. </w:t>
      </w:r>
    </w:p>
    <w:p>
      <w:pPr>
        <w:pStyle w:val="TextBody"/>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5. Conditions of the Companys Obligations. </w:t>
      </w:r>
      <w:r>
        <w:rPr>
          <w:rFonts w:ascii="Times New Roman" w:hAnsi="Times New Roman"/>
          <w:sz w:val="20"/>
        </w:rPr>
        <w:t xml:space="preserve">The obligations of the Company to the Purchaser under this Agreement are subject to the fulfillment, on or before each Closing Date, of each of the following conditions: </w:t>
      </w:r>
    </w:p>
    <w:p>
      <w:pPr>
        <w:pStyle w:val="TextBody"/>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Representations and Warranties</w:t>
      </w:r>
      <w:r>
        <w:rPr>
          <w:rFonts w:ascii="Times New Roman" w:hAnsi="Times New Roman"/>
          <w:sz w:val="20"/>
        </w:rPr>
        <w:t xml:space="preserve">. The representations and warranties of the Purchaser contained in Section 3 shall be true and correct at and as of such Closing Date as though then made. </w:t>
      </w:r>
    </w:p>
    <w:p>
      <w:pPr>
        <w:pStyle w:val="TextBody"/>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Performance</w:t>
      </w:r>
      <w:r>
        <w:rPr>
          <w:rFonts w:ascii="Times New Roman" w:hAnsi="Times New Roman"/>
          <w:sz w:val="20"/>
        </w:rPr>
        <w:t xml:space="preserve">. The Purchaser shall have performed and complied with all agreements, obligations and conditions contained in this Agreement that are required to be performed or complied with by the Purchaser on or before such Closing Date. </w:t>
      </w:r>
    </w:p>
    <w:p>
      <w:pPr>
        <w:pStyle w:val="TextBody"/>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Corporate Consents</w:t>
      </w:r>
      <w:r>
        <w:rPr>
          <w:rFonts w:ascii="Times New Roman" w:hAnsi="Times New Roman"/>
          <w:sz w:val="20"/>
        </w:rPr>
        <w:t xml:space="preserve">. The Company shall have obtained the consent of its Board of Directors authorizing the execution, delivery and performance of this Agreement and the Warrant Agreement and the issuance and sale of the Private Placement Warrants hereunder.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No Injunction</w:t>
      </w:r>
      <w:r>
        <w:rPr>
          <w:rFonts w:ascii="Times New Roman" w:hAnsi="Times New Roman"/>
          <w:sz w:val="20"/>
        </w:rPr>
        <w:t xml:space="preserve">. No litigation, statute, rule, regulation, executive order, decree, ruling or injunction shall have been enacted, entered, promulgated or endorsed by or in any court or governmental authority of competent jurisdiction or any self-regulatory organization having authority over the matters contemplated hereby, which prohibits the consummation of any of the transactions contemplated by this Agreement or the Warrant Agreement. </w:t>
      </w:r>
    </w:p>
    <w:p>
      <w:pPr>
        <w:pStyle w:val="TextBody"/>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Warrant Agreement</w:t>
      </w:r>
      <w:r>
        <w:rPr>
          <w:rFonts w:ascii="Times New Roman" w:hAnsi="Times New Roman"/>
          <w:sz w:val="20"/>
        </w:rPr>
        <w:t xml:space="preserve">. The Company shall have entered into the Warrant Agreement. </w:t>
      </w:r>
    </w:p>
    <w:p>
      <w:pPr>
        <w:pStyle w:val="TextBody"/>
        <w:spacing w:before="36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 Miscellaneous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Successors and Assigns</w:t>
      </w:r>
      <w:r>
        <w:rPr>
          <w:rFonts w:ascii="Times New Roman" w:hAnsi="Times New Roman"/>
          <w:sz w:val="20"/>
        </w:rPr>
        <w:t xml:space="preserve">. Except as otherwise expressly provided herein, all covenants and agreements contained in this Agreement by or on behalf of any of the parties hereto shall bind and inure to the benefit of the respective successors of the parties hereto whether so expressed or not. Notwithstanding the foregoing or anything to the contrary herein, the parties may not assign this Agreement, other than assignments by the Purchaser to affiliates thereof (including, without limitation one or more of its members). </w:t>
      </w:r>
    </w:p>
    <w:p>
      <w:pPr>
        <w:pStyle w:val="TextBody"/>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Severability</w:t>
      </w:r>
      <w:r>
        <w:rPr>
          <w:rFonts w:ascii="Times New Roman" w:hAnsi="Times New Roman"/>
          <w:sz w:val="20"/>
        </w:rPr>
        <w:t xml:space="preserve">. Whenever possible, each provision of this Agreement shall be interpreted in such manner as to be effective and valid under applicable law, but if any provision of this Agreement is held to be prohibited by or invalid under applicable law, such provision shall be ineffective only to the extent of such prohibition or invalidity, without invalidating the remainder of this Agreement. </w:t>
      </w:r>
    </w:p>
    <w:p>
      <w:pPr>
        <w:pStyle w:val="TextBody"/>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Counterparts</w:t>
      </w:r>
      <w:r>
        <w:rPr>
          <w:rFonts w:ascii="Times New Roman" w:hAnsi="Times New Roman"/>
          <w:sz w:val="20"/>
        </w:rPr>
        <w:t xml:space="preserve">. This Agreement may be executed simultaneously in two or more counterparts, none of which need contain the signatures of more than one party, but all such counterparts taken together shall constitute one and the same agreement. Signatures to this Agreement transmitted via facsimile or e-mail shall be valid and effective to bind the party so signing. </w:t>
      </w:r>
    </w:p>
    <w:p>
      <w:pPr>
        <w:pStyle w:val="TextBody"/>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Descriptive Headings; Interpretation</w:t>
      </w:r>
      <w:r>
        <w:rPr>
          <w:rFonts w:ascii="Times New Roman" w:hAnsi="Times New Roman"/>
          <w:sz w:val="20"/>
        </w:rPr>
        <w:t xml:space="preserve">. The descriptive headings of this Agreement are inserted for convenience only and do not constitute a substantive part of this Agreement. The use of the word including in this Agreement shall be by way of example rather than by limitation. </w:t>
      </w:r>
    </w:p>
    <w:p>
      <w:pPr>
        <w:pStyle w:val="TextBody"/>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Governing Law</w:t>
      </w:r>
      <w:r>
        <w:rPr>
          <w:rFonts w:ascii="Times New Roman" w:hAnsi="Times New Roman"/>
          <w:sz w:val="20"/>
        </w:rPr>
        <w:t xml:space="preserve">. This Agreement shall be deemed to be a contract made under the laws of the State of New York and for all purposes shall be construed in accordance with the internal laws of the State of New York, without giving effect to conflicts of law principles that would result in the application of the laws of another jurisdiction. </w:t>
      </w:r>
    </w:p>
    <w:p>
      <w:pPr>
        <w:pStyle w:val="TextBody"/>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Amendments</w:t>
      </w:r>
      <w:r>
        <w:rPr>
          <w:rFonts w:ascii="Times New Roman" w:hAnsi="Times New Roman"/>
          <w:sz w:val="20"/>
        </w:rPr>
        <w:t xml:space="preserve">. This Agreement may not be amended, modified or waived as to any particular provision, except by a written instrument executed by the parties hereto. </w:t>
      </w:r>
    </w:p>
    <w:p>
      <w:pPr>
        <w:pStyle w:val="TextBody"/>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follows</w:t>
      </w:r>
      <w:r>
        <w:rPr>
          <w:rFonts w:ascii="Times New Roman" w:hAnsi="Times New Roman"/>
          <w:sz w:val="20"/>
        </w:rPr>
        <w:t xml:space="preserve">]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IN WITNESS WHEREOF, the parties hereto have executed this Agreement.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364"/>
        <w:gridCol w:w="60"/>
        <w:gridCol w:w="657"/>
        <w:gridCol w:w="60"/>
        <w:gridCol w:w="2941"/>
      </w:tblGrid>
      <w:tr>
        <w:trPr/>
        <w:tc>
          <w:tcPr>
            <w:tcW w:w="36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5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941" w:type="dxa"/>
            <w:tcBorders/>
            <w:shd w:fill="auto" w:val="clear"/>
            <w:vAlign w:val="center"/>
          </w:tcPr>
          <w:p>
            <w:pPr>
              <w:pStyle w:val="TableContents"/>
              <w:spacing w:before="0" w:after="283"/>
              <w:rPr>
                <w:sz w:val="4"/>
                <w:szCs w:val="4"/>
              </w:rPr>
            </w:pPr>
            <w:r>
              <w:rPr>
                <w:sz w:val="4"/>
                <w:szCs w:val="4"/>
              </w:rPr>
            </w:r>
          </w:p>
        </w:tc>
      </w:tr>
      <w:tr>
        <w:trPr/>
        <w:tc>
          <w:tcPr>
            <w:tcW w:w="4082" w:type="dxa"/>
            <w:gridSpan w:val="5"/>
            <w:tcBorders/>
            <w:shd w:fill="auto" w:val="clear"/>
          </w:tcPr>
          <w:p>
            <w:pPr>
              <w:pStyle w:val="TableContents"/>
              <w:spacing w:before="0" w:after="283"/>
              <w:rPr>
                <w:b/>
              </w:rPr>
            </w:pPr>
            <w:r>
              <w:rPr>
                <w:b/>
              </w:rPr>
              <w:t>COMPANY:</w:t>
            </w:r>
          </w:p>
        </w:tc>
      </w:tr>
      <w:tr>
        <w:trPr>
          <w:trHeight w:val="240" w:hRule="atLeast"/>
        </w:trPr>
        <w:tc>
          <w:tcPr>
            <w:tcW w:w="4082" w:type="dxa"/>
            <w:gridSpan w:val="5"/>
            <w:tcBorders/>
            <w:shd w:fill="auto" w:val="clear"/>
            <w:vAlign w:val="center"/>
          </w:tcPr>
          <w:p>
            <w:pPr>
              <w:pStyle w:val="TableContents"/>
              <w:spacing w:before="0" w:after="283"/>
              <w:rPr>
                <w:sz w:val="4"/>
                <w:szCs w:val="4"/>
              </w:rPr>
            </w:pPr>
            <w:r>
              <w:rPr>
                <w:sz w:val="4"/>
                <w:szCs w:val="4"/>
              </w:rPr>
            </w:r>
          </w:p>
        </w:tc>
      </w:tr>
      <w:tr>
        <w:trPr/>
        <w:tc>
          <w:tcPr>
            <w:tcW w:w="4082" w:type="dxa"/>
            <w:gridSpan w:val="5"/>
            <w:tcBorders/>
            <w:shd w:fill="auto" w:val="clear"/>
          </w:tcPr>
          <w:p>
            <w:pPr>
              <w:pStyle w:val="TableContents"/>
              <w:spacing w:before="0" w:after="283"/>
              <w:rPr>
                <w:b/>
              </w:rPr>
            </w:pPr>
            <w:r>
              <w:rPr>
                <w:b/>
              </w:rPr>
              <w:t>ARCLIGHT CLEAN TRANSITION CORP. II</w:t>
            </w:r>
          </w:p>
        </w:tc>
      </w:tr>
      <w:tr>
        <w:trPr>
          <w:trHeight w:val="240" w:hRule="atLeast"/>
        </w:trPr>
        <w:tc>
          <w:tcPr>
            <w:tcW w:w="364" w:type="dxa"/>
            <w:tcBorders/>
            <w:shd w:fill="auto" w:val="clear"/>
            <w:vAlign w:val="center"/>
          </w:tcPr>
          <w:p>
            <w:pPr>
              <w:pStyle w:val="TableContents"/>
              <w:spacing w:before="0" w:after="283"/>
              <w:rPr>
                <w:sz w:val="4"/>
                <w:szCs w:val="4"/>
              </w:rPr>
            </w:pPr>
            <w:r>
              <w:rPr>
                <w:sz w:val="4"/>
                <w:szCs w:val="4"/>
              </w:rPr>
            </w:r>
          </w:p>
        </w:tc>
        <w:tc>
          <w:tcPr>
            <w:tcW w:w="3718" w:type="dxa"/>
            <w:gridSpan w:val="4"/>
            <w:tcBorders/>
            <w:shd w:fill="auto" w:val="clear"/>
            <w:vAlign w:val="center"/>
          </w:tcPr>
          <w:p>
            <w:pPr>
              <w:pStyle w:val="TableContents"/>
              <w:spacing w:before="0" w:after="283"/>
              <w:rPr>
                <w:sz w:val="4"/>
                <w:szCs w:val="4"/>
              </w:rPr>
            </w:pPr>
            <w:r>
              <w:rPr>
                <w:sz w:val="4"/>
                <w:szCs w:val="4"/>
              </w:rPr>
            </w:r>
          </w:p>
        </w:tc>
      </w:tr>
      <w:tr>
        <w:trPr/>
        <w:tc>
          <w:tcPr>
            <w:tcW w:w="364" w:type="dxa"/>
            <w:tcBorders/>
            <w:shd w:fill="auto" w:val="clear"/>
          </w:tcPr>
          <w:p>
            <w:pPr>
              <w:pStyle w:val="TableContents"/>
              <w:spacing w:before="0" w:after="283"/>
              <w:rPr/>
            </w:pPr>
            <w:r>
              <w:rPr/>
              <w:t>By:</w:t>
            </w:r>
          </w:p>
        </w:tc>
        <w:tc>
          <w:tcPr>
            <w:tcW w:w="60" w:type="dxa"/>
            <w:tcBorders/>
            <w:shd w:fill="auto" w:val="clear"/>
            <w:vAlign w:val="bottom"/>
          </w:tcPr>
          <w:p>
            <w:pPr>
              <w:pStyle w:val="TableContents"/>
              <w:spacing w:before="0" w:after="283"/>
              <w:rPr/>
            </w:pPr>
            <w:r>
              <w:rPr/>
              <w:t> </w:t>
            </w:r>
          </w:p>
        </w:tc>
        <w:tc>
          <w:tcPr>
            <w:tcW w:w="3658" w:type="dxa"/>
            <w:gridSpan w:val="3"/>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John F. Erhard</w:t>
            </w:r>
          </w:p>
        </w:tc>
      </w:tr>
      <w:tr>
        <w:trPr/>
        <w:tc>
          <w:tcPr>
            <w:tcW w:w="364"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57" w:type="dxa"/>
            <w:tcBorders/>
            <w:shd w:fill="auto" w:val="clear"/>
          </w:tcPr>
          <w:p>
            <w:pPr>
              <w:pStyle w:val="TableContents"/>
              <w:spacing w:before="0" w:after="283"/>
              <w:rPr/>
            </w:pPr>
            <w:r>
              <w:rPr/>
              <w:t>Name:</w:t>
            </w:r>
          </w:p>
        </w:tc>
        <w:tc>
          <w:tcPr>
            <w:tcW w:w="60" w:type="dxa"/>
            <w:tcBorders/>
            <w:shd w:fill="auto" w:val="clear"/>
            <w:vAlign w:val="bottom"/>
          </w:tcPr>
          <w:p>
            <w:pPr>
              <w:pStyle w:val="TableContents"/>
              <w:spacing w:before="0" w:after="283"/>
              <w:rPr/>
            </w:pPr>
            <w:r>
              <w:rPr/>
              <w:t> </w:t>
            </w:r>
          </w:p>
        </w:tc>
        <w:tc>
          <w:tcPr>
            <w:tcW w:w="2941" w:type="dxa"/>
            <w:tcBorders/>
            <w:shd w:fill="auto" w:val="clear"/>
          </w:tcPr>
          <w:p>
            <w:pPr>
              <w:pStyle w:val="TableContents"/>
              <w:spacing w:before="0" w:after="283"/>
              <w:rPr/>
            </w:pPr>
            <w:r>
              <w:rPr/>
              <w:t>John F. Erhard</w:t>
            </w:r>
          </w:p>
        </w:tc>
      </w:tr>
      <w:tr>
        <w:trPr/>
        <w:tc>
          <w:tcPr>
            <w:tcW w:w="364"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57" w:type="dxa"/>
            <w:tcBorders/>
            <w:shd w:fill="auto" w:val="clear"/>
          </w:tcPr>
          <w:p>
            <w:pPr>
              <w:pStyle w:val="TableContents"/>
              <w:spacing w:before="0" w:after="283"/>
              <w:rPr/>
            </w:pPr>
            <w:r>
              <w:rPr/>
              <w:t>Title:</w:t>
            </w:r>
          </w:p>
        </w:tc>
        <w:tc>
          <w:tcPr>
            <w:tcW w:w="60" w:type="dxa"/>
            <w:tcBorders/>
            <w:shd w:fill="auto" w:val="clear"/>
            <w:vAlign w:val="bottom"/>
          </w:tcPr>
          <w:p>
            <w:pPr>
              <w:pStyle w:val="TableContents"/>
              <w:spacing w:before="0" w:after="283"/>
              <w:rPr/>
            </w:pPr>
            <w:r>
              <w:rPr/>
              <w:t> </w:t>
            </w:r>
          </w:p>
        </w:tc>
        <w:tc>
          <w:tcPr>
            <w:tcW w:w="2941" w:type="dxa"/>
            <w:tcBorders/>
            <w:shd w:fill="auto" w:val="clear"/>
          </w:tcPr>
          <w:p>
            <w:pPr>
              <w:pStyle w:val="TableContents"/>
              <w:spacing w:before="0" w:after="283"/>
              <w:rPr/>
            </w:pPr>
            <w:r>
              <w:rPr/>
              <w:t>President and Chief Executive Officer</w:t>
            </w:r>
          </w:p>
        </w:tc>
      </w:tr>
    </w:tbl>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366"/>
        <w:gridCol w:w="60"/>
        <w:gridCol w:w="661"/>
        <w:gridCol w:w="60"/>
        <w:gridCol w:w="2935"/>
      </w:tblGrid>
      <w:tr>
        <w:trPr/>
        <w:tc>
          <w:tcPr>
            <w:tcW w:w="36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935" w:type="dxa"/>
            <w:tcBorders/>
            <w:shd w:fill="auto" w:val="clear"/>
            <w:vAlign w:val="center"/>
          </w:tcPr>
          <w:p>
            <w:pPr>
              <w:pStyle w:val="TableContents"/>
              <w:spacing w:before="0" w:after="283"/>
              <w:rPr>
                <w:sz w:val="4"/>
                <w:szCs w:val="4"/>
              </w:rPr>
            </w:pPr>
            <w:r>
              <w:rPr>
                <w:sz w:val="4"/>
                <w:szCs w:val="4"/>
              </w:rPr>
            </w:r>
          </w:p>
        </w:tc>
      </w:tr>
      <w:tr>
        <w:trPr/>
        <w:tc>
          <w:tcPr>
            <w:tcW w:w="4082" w:type="dxa"/>
            <w:gridSpan w:val="5"/>
            <w:tcBorders/>
            <w:shd w:fill="auto" w:val="clear"/>
          </w:tcPr>
          <w:p>
            <w:pPr>
              <w:pStyle w:val="TableContents"/>
              <w:spacing w:before="0" w:after="283"/>
              <w:rPr>
                <w:b/>
              </w:rPr>
            </w:pPr>
            <w:r>
              <w:rPr>
                <w:b/>
              </w:rPr>
              <w:t>PURCHASER:</w:t>
            </w:r>
          </w:p>
        </w:tc>
      </w:tr>
      <w:tr>
        <w:trPr>
          <w:trHeight w:val="240" w:hRule="atLeast"/>
        </w:trPr>
        <w:tc>
          <w:tcPr>
            <w:tcW w:w="4082" w:type="dxa"/>
            <w:gridSpan w:val="5"/>
            <w:tcBorders/>
            <w:shd w:fill="auto" w:val="clear"/>
            <w:vAlign w:val="center"/>
          </w:tcPr>
          <w:p>
            <w:pPr>
              <w:pStyle w:val="TableContents"/>
              <w:spacing w:before="0" w:after="283"/>
              <w:rPr>
                <w:sz w:val="4"/>
                <w:szCs w:val="4"/>
              </w:rPr>
            </w:pPr>
            <w:r>
              <w:rPr>
                <w:sz w:val="4"/>
                <w:szCs w:val="4"/>
              </w:rPr>
            </w:r>
          </w:p>
        </w:tc>
      </w:tr>
      <w:tr>
        <w:trPr/>
        <w:tc>
          <w:tcPr>
            <w:tcW w:w="4082" w:type="dxa"/>
            <w:gridSpan w:val="5"/>
            <w:tcBorders/>
            <w:shd w:fill="auto" w:val="clear"/>
          </w:tcPr>
          <w:p>
            <w:pPr>
              <w:pStyle w:val="TableContents"/>
              <w:spacing w:before="0" w:after="0"/>
              <w:rPr>
                <w:rFonts w:ascii="Times New Roman" w:hAnsi="Times New Roman"/>
                <w:sz w:val="20"/>
              </w:rPr>
            </w:pPr>
            <w:r>
              <w:rPr>
                <w:rFonts w:ascii="Times New Roman" w:hAnsi="Times New Roman"/>
                <w:b/>
                <w:sz w:val="20"/>
              </w:rPr>
              <w:t xml:space="preserve">ARCLIGHT CTC HOLDINGS II, L.P., </w:t>
            </w:r>
            <w:r>
              <w:rPr>
                <w:rFonts w:ascii="Times New Roman" w:hAnsi="Times New Roman"/>
                <w:sz w:val="20"/>
              </w:rPr>
              <w:t>a Delaware limited partnership</w:t>
            </w:r>
          </w:p>
          <w:p>
            <w:pPr>
              <w:pStyle w:val="TableContents"/>
              <w:spacing w:before="0" w:after="20"/>
              <w:rPr/>
            </w:pPr>
            <w:r>
              <w:rPr/>
              <w:t> </w:t>
            </w:r>
          </w:p>
        </w:tc>
      </w:tr>
      <w:tr>
        <w:trPr/>
        <w:tc>
          <w:tcPr>
            <w:tcW w:w="4082" w:type="dxa"/>
            <w:gridSpan w:val="5"/>
            <w:tcBorders/>
            <w:shd w:fill="auto" w:val="clear"/>
          </w:tcPr>
          <w:p>
            <w:pPr>
              <w:pStyle w:val="TableContents"/>
              <w:spacing w:before="0" w:after="283"/>
              <w:rPr/>
            </w:pPr>
            <w:r>
              <w:rPr/>
              <w:t>By: ACTC Holdings GP II, LLC, its General Partner</w:t>
            </w:r>
          </w:p>
        </w:tc>
      </w:tr>
      <w:tr>
        <w:trPr/>
        <w:tc>
          <w:tcPr>
            <w:tcW w:w="4082" w:type="dxa"/>
            <w:gridSpan w:val="5"/>
            <w:tcBorders/>
            <w:shd w:fill="auto" w:val="clear"/>
          </w:tcPr>
          <w:p>
            <w:pPr>
              <w:pStyle w:val="TableContents"/>
              <w:spacing w:before="0" w:after="283"/>
              <w:rPr/>
            </w:pPr>
            <w:r>
              <w:rPr/>
              <w:t>By: ArcLight Capital Holdings, LLC, its Manager</w:t>
            </w:r>
          </w:p>
        </w:tc>
      </w:tr>
      <w:tr>
        <w:trPr/>
        <w:tc>
          <w:tcPr>
            <w:tcW w:w="4082" w:type="dxa"/>
            <w:gridSpan w:val="5"/>
            <w:tcBorders/>
            <w:shd w:fill="auto" w:val="clear"/>
          </w:tcPr>
          <w:p>
            <w:pPr>
              <w:pStyle w:val="TableContents"/>
              <w:spacing w:before="0" w:after="283"/>
              <w:rPr/>
            </w:pPr>
            <w:r>
              <w:rPr/>
              <w:t>By: ACHP II, L.P., its Managing Member</w:t>
            </w:r>
          </w:p>
        </w:tc>
      </w:tr>
      <w:tr>
        <w:trPr/>
        <w:tc>
          <w:tcPr>
            <w:tcW w:w="4082" w:type="dxa"/>
            <w:gridSpan w:val="5"/>
            <w:tcBorders/>
            <w:shd w:fill="auto" w:val="clear"/>
          </w:tcPr>
          <w:p>
            <w:pPr>
              <w:pStyle w:val="TableContents"/>
              <w:spacing w:before="0" w:after="283"/>
              <w:rPr/>
            </w:pPr>
            <w:r>
              <w:rPr/>
              <w:t>By: ACH GP, LLC, its General Partner</w:t>
            </w:r>
          </w:p>
        </w:tc>
      </w:tr>
      <w:tr>
        <w:trPr>
          <w:trHeight w:val="240" w:hRule="atLeast"/>
        </w:trPr>
        <w:tc>
          <w:tcPr>
            <w:tcW w:w="366" w:type="dxa"/>
            <w:tcBorders/>
            <w:shd w:fill="auto" w:val="clear"/>
            <w:vAlign w:val="center"/>
          </w:tcPr>
          <w:p>
            <w:pPr>
              <w:pStyle w:val="TableContents"/>
              <w:spacing w:before="0" w:after="283"/>
              <w:rPr>
                <w:sz w:val="4"/>
                <w:szCs w:val="4"/>
              </w:rPr>
            </w:pPr>
            <w:r>
              <w:rPr>
                <w:sz w:val="4"/>
                <w:szCs w:val="4"/>
              </w:rPr>
            </w:r>
          </w:p>
        </w:tc>
        <w:tc>
          <w:tcPr>
            <w:tcW w:w="3716" w:type="dxa"/>
            <w:gridSpan w:val="4"/>
            <w:tcBorders/>
            <w:shd w:fill="auto" w:val="clear"/>
            <w:vAlign w:val="center"/>
          </w:tcPr>
          <w:p>
            <w:pPr>
              <w:pStyle w:val="TableContents"/>
              <w:spacing w:before="0" w:after="283"/>
              <w:rPr>
                <w:sz w:val="4"/>
                <w:szCs w:val="4"/>
              </w:rPr>
            </w:pPr>
            <w:r>
              <w:rPr>
                <w:sz w:val="4"/>
                <w:szCs w:val="4"/>
              </w:rPr>
            </w:r>
          </w:p>
        </w:tc>
      </w:tr>
      <w:tr>
        <w:trPr/>
        <w:tc>
          <w:tcPr>
            <w:tcW w:w="366" w:type="dxa"/>
            <w:tcBorders/>
            <w:shd w:fill="auto" w:val="clear"/>
          </w:tcPr>
          <w:p>
            <w:pPr>
              <w:pStyle w:val="TableContents"/>
              <w:spacing w:before="0" w:after="283"/>
              <w:rPr/>
            </w:pPr>
            <w:r>
              <w:rPr/>
              <w:t>By:</w:t>
            </w:r>
          </w:p>
        </w:tc>
        <w:tc>
          <w:tcPr>
            <w:tcW w:w="60" w:type="dxa"/>
            <w:tcBorders/>
            <w:shd w:fill="auto" w:val="clear"/>
            <w:vAlign w:val="bottom"/>
          </w:tcPr>
          <w:p>
            <w:pPr>
              <w:pStyle w:val="TableContents"/>
              <w:spacing w:before="0" w:after="283"/>
              <w:rPr/>
            </w:pPr>
            <w:r>
              <w:rPr/>
              <w:t> </w:t>
            </w:r>
          </w:p>
        </w:tc>
        <w:tc>
          <w:tcPr>
            <w:tcW w:w="3656" w:type="dxa"/>
            <w:gridSpan w:val="3"/>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Daniel R. Revers</w:t>
            </w:r>
          </w:p>
        </w:tc>
      </w:tr>
      <w:tr>
        <w:trPr/>
        <w:tc>
          <w:tcPr>
            <w:tcW w:w="366"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61" w:type="dxa"/>
            <w:tcBorders/>
            <w:shd w:fill="auto" w:val="clear"/>
          </w:tcPr>
          <w:p>
            <w:pPr>
              <w:pStyle w:val="TableContents"/>
              <w:spacing w:before="0" w:after="283"/>
              <w:rPr/>
            </w:pPr>
            <w:r>
              <w:rPr/>
              <w:t>Name:</w:t>
            </w:r>
          </w:p>
        </w:tc>
        <w:tc>
          <w:tcPr>
            <w:tcW w:w="60" w:type="dxa"/>
            <w:tcBorders/>
            <w:shd w:fill="auto" w:val="clear"/>
            <w:vAlign w:val="bottom"/>
          </w:tcPr>
          <w:p>
            <w:pPr>
              <w:pStyle w:val="TableContents"/>
              <w:spacing w:before="0" w:after="283"/>
              <w:rPr/>
            </w:pPr>
            <w:r>
              <w:rPr/>
              <w:t> </w:t>
            </w:r>
          </w:p>
        </w:tc>
        <w:tc>
          <w:tcPr>
            <w:tcW w:w="2935" w:type="dxa"/>
            <w:tcBorders/>
            <w:shd w:fill="auto" w:val="clear"/>
          </w:tcPr>
          <w:p>
            <w:pPr>
              <w:pStyle w:val="TableContents"/>
              <w:spacing w:before="0" w:after="283"/>
              <w:rPr/>
            </w:pPr>
            <w:r>
              <w:rPr/>
              <w:t>Daniel R. Revers</w:t>
            </w:r>
          </w:p>
        </w:tc>
      </w:tr>
      <w:tr>
        <w:trPr/>
        <w:tc>
          <w:tcPr>
            <w:tcW w:w="366"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61" w:type="dxa"/>
            <w:tcBorders/>
            <w:shd w:fill="auto" w:val="clear"/>
          </w:tcPr>
          <w:p>
            <w:pPr>
              <w:pStyle w:val="TableContents"/>
              <w:spacing w:before="0" w:after="283"/>
              <w:rPr/>
            </w:pPr>
            <w:r>
              <w:rPr/>
              <w:t>Title:</w:t>
            </w:r>
          </w:p>
        </w:tc>
        <w:tc>
          <w:tcPr>
            <w:tcW w:w="60" w:type="dxa"/>
            <w:tcBorders/>
            <w:shd w:fill="auto" w:val="clear"/>
            <w:vAlign w:val="bottom"/>
          </w:tcPr>
          <w:p>
            <w:pPr>
              <w:pStyle w:val="TableContents"/>
              <w:spacing w:before="0" w:after="283"/>
              <w:rPr/>
            </w:pPr>
            <w:r>
              <w:rPr/>
              <w:t> </w:t>
            </w:r>
          </w:p>
        </w:tc>
        <w:tc>
          <w:tcPr>
            <w:tcW w:w="2935" w:type="dxa"/>
            <w:tcBorders/>
            <w:shd w:fill="auto" w:val="clear"/>
          </w:tcPr>
          <w:p>
            <w:pPr>
              <w:pStyle w:val="TableContents"/>
              <w:spacing w:before="0" w:after="283"/>
              <w:rPr/>
            </w:pPr>
            <w:r>
              <w:rPr/>
              <w:t>Manager</w:t>
            </w:r>
          </w:p>
        </w:tc>
      </w:tr>
    </w:tbl>
    <w:p>
      <w:pPr>
        <w:pStyle w:val="HorizontalLine"/>
        <w:pBdr>
          <w:bottom w:val="double" w:sz="6" w:space="0" w:color="808080"/>
        </w:pBdr>
        <w:rPr/>
      </w:pPr>
      <w:r>
        <w:br w:type="page"/>
      </w:r>
      <w:r>
        <w:rPr/>
      </w:r>
    </w:p>
    <w:p>
      <w:pPr>
        <w:pStyle w:val="TextBody"/>
        <w:spacing w:before="0" w:after="0"/>
        <w:jc w:val="center"/>
        <w:rPr>
          <w:rFonts w:ascii="Times New Roman" w:hAnsi="Times New Roman"/>
          <w:b/>
          <w:sz w:val="20"/>
        </w:rPr>
      </w:pPr>
      <w:r>
        <w:rPr>
          <w:rFonts w:ascii="Times New Roman" w:hAnsi="Times New Roman"/>
          <w:b/>
          <w:sz w:val="20"/>
        </w:rPr>
        <w:t xml:space="preserve">EXHIBIT A </w:t>
      </w:r>
    </w:p>
    <w:p>
      <w:pPr>
        <w:pStyle w:val="TextBody"/>
        <w:spacing w:before="240" w:after="0"/>
        <w:jc w:val="center"/>
        <w:rPr>
          <w:rFonts w:ascii="Times New Roman" w:hAnsi="Times New Roman"/>
          <w:b/>
          <w:sz w:val="20"/>
        </w:rPr>
      </w:pPr>
      <w:r>
        <w:rPr>
          <w:rFonts w:ascii="Times New Roman" w:hAnsi="Times New Roman"/>
          <w:b/>
          <w:sz w:val="20"/>
        </w:rPr>
        <w:t xml:space="preserve">Warrant Agreement </w:t>
      </w:r>
      <w:r>
        <w:br w:type="page"/>
      </w:r>
    </w:p>
    <w:p>
      <w:pPr>
        <w:pStyle w:val="HorizontalLine"/>
        <w:pBdr>
          <w:bottom w:val="double" w:sz="6" w:space="0" w:color="808080"/>
        </w:pBdr>
        <w:rPr/>
      </w:pPr>
      <w:r>
        <w:rPr/>
      </w:r>
    </w:p>
    <w:p>
      <w:pPr>
        <w:pStyle w:val="TextBody"/>
        <w:spacing w:before="0" w:after="0"/>
        <w:jc w:val="right"/>
        <w:rPr>
          <w:rFonts w:ascii="Times New Roman" w:hAnsi="Times New Roman"/>
          <w:b/>
          <w:sz w:val="20"/>
        </w:rPr>
      </w:pPr>
      <w:r>
        <w:rPr>
          <w:rFonts w:ascii="Times New Roman" w:hAnsi="Times New Roman"/>
          <w:b/>
          <w:sz w:val="20"/>
        </w:rPr>
        <w:t xml:space="preserve">Exhibit 4.4 </w:t>
      </w:r>
    </w:p>
    <w:p>
      <w:pPr>
        <w:pStyle w:val="TextBody"/>
        <w:spacing w:before="240" w:after="0"/>
        <w:jc w:val="center"/>
        <w:rPr>
          <w:rFonts w:ascii="Times New Roman" w:hAnsi="Times New Roman"/>
          <w:sz w:val="20"/>
        </w:rPr>
      </w:pPr>
      <w:r>
        <w:rPr>
          <w:rFonts w:ascii="Times New Roman" w:hAnsi="Times New Roman"/>
          <w:sz w:val="20"/>
        </w:rPr>
        <w:t xml:space="preserve">WARRANT AGREEMENT </w:t>
      </w:r>
    </w:p>
    <w:p>
      <w:pPr>
        <w:pStyle w:val="TextBody"/>
        <w:spacing w:before="240" w:after="0"/>
        <w:jc w:val="center"/>
        <w:rPr>
          <w:rFonts w:ascii="Times New Roman" w:hAnsi="Times New Roman"/>
          <w:sz w:val="20"/>
        </w:rPr>
      </w:pPr>
      <w:r>
        <w:rPr>
          <w:rFonts w:ascii="Times New Roman" w:hAnsi="Times New Roman"/>
          <w:sz w:val="20"/>
        </w:rPr>
        <w:t xml:space="preserve">ARCLIGHT CLEAN TRANSITION CORP. II </w:t>
      </w:r>
    </w:p>
    <w:p>
      <w:pPr>
        <w:pStyle w:val="TextBody"/>
        <w:spacing w:before="240" w:after="0"/>
        <w:jc w:val="center"/>
        <w:rPr>
          <w:rFonts w:ascii="Times New Roman" w:hAnsi="Times New Roman"/>
          <w:sz w:val="20"/>
        </w:rPr>
      </w:pPr>
      <w:r>
        <w:rPr>
          <w:rFonts w:ascii="Times New Roman" w:hAnsi="Times New Roman"/>
          <w:sz w:val="20"/>
        </w:rPr>
        <w:t xml:space="preserve">and </w:t>
      </w:r>
    </w:p>
    <w:p>
      <w:pPr>
        <w:pStyle w:val="TextBody"/>
        <w:spacing w:before="240" w:after="0"/>
        <w:jc w:val="center"/>
        <w:rPr>
          <w:rFonts w:ascii="Times New Roman" w:hAnsi="Times New Roman"/>
          <w:sz w:val="20"/>
        </w:rPr>
      </w:pPr>
      <w:r>
        <w:rPr>
          <w:rFonts w:ascii="Times New Roman" w:hAnsi="Times New Roman"/>
          <w:sz w:val="20"/>
        </w:rPr>
        <w:t xml:space="preserve">CONTINENTAL STOCK TRANSFER &amp; TRUST COMPANY </w:t>
      </w:r>
    </w:p>
    <w:p>
      <w:pPr>
        <w:pStyle w:val="TextBody"/>
        <w:spacing w:before="240" w:after="0"/>
        <w:jc w:val="center"/>
        <w:rPr>
          <w:rFonts w:ascii="Times New Roman" w:hAnsi="Times New Roman"/>
          <w:sz w:val="20"/>
        </w:rPr>
      </w:pPr>
      <w:r>
        <w:rPr>
          <w:rFonts w:ascii="Times New Roman" w:hAnsi="Times New Roman"/>
          <w:sz w:val="20"/>
        </w:rPr>
        <w:t xml:space="preserve">Dated March 25, 2021 </w:t>
      </w:r>
    </w:p>
    <w:p>
      <w:pPr>
        <w:pStyle w:val="TextBody"/>
        <w:spacing w:before="240" w:after="0"/>
        <w:jc w:val="left"/>
        <w:rPr>
          <w:rFonts w:ascii="Times New Roman" w:hAnsi="Times New Roman"/>
          <w:sz w:val="20"/>
        </w:rPr>
      </w:pPr>
      <w:r>
        <w:rPr>
          <w:rFonts w:ascii="Times New Roman" w:hAnsi="Times New Roman"/>
          <w:sz w:val="20"/>
        </w:rPr>
        <w:t>THIS WARRANT AGREEMENT (this </w:t>
      </w:r>
      <w:r>
        <w:rPr>
          <w:rFonts w:ascii="Times New Roman" w:hAnsi="Times New Roman"/>
          <w:b/>
          <w:i/>
          <w:sz w:val="20"/>
        </w:rPr>
        <w:t>Agreement</w:t>
      </w:r>
      <w:r>
        <w:rPr>
          <w:rFonts w:ascii="Times New Roman" w:hAnsi="Times New Roman"/>
          <w:sz w:val="20"/>
        </w:rPr>
        <w:t>), dated March 25, 2021, is by and between ArcLight Clean Transition Corp. II, a Cayman Islands exempted company (the </w:t>
      </w:r>
      <w:r>
        <w:rPr>
          <w:rFonts w:ascii="Times New Roman" w:hAnsi="Times New Roman"/>
          <w:b/>
          <w:i/>
          <w:sz w:val="20"/>
        </w:rPr>
        <w:t>Company</w:t>
      </w:r>
      <w:r>
        <w:rPr>
          <w:rFonts w:ascii="Times New Roman" w:hAnsi="Times New Roman"/>
          <w:sz w:val="20"/>
        </w:rPr>
        <w:t>), and Continental Stock Transfer &amp; Trust Company, a New York corporation, as warrant agent (in such capacity, the </w:t>
      </w:r>
      <w:r>
        <w:rPr>
          <w:rFonts w:ascii="Times New Roman" w:hAnsi="Times New Roman"/>
          <w:b/>
          <w:i/>
          <w:sz w:val="20"/>
        </w:rPr>
        <w:t>Warrant Agent</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WHEREAS, it is proposed that the Company enter into that certain Sponsor Warrants Purchase Agreement, with ArcLight CTC Holdings II, L.P., a Delaware limited partnership (the </w:t>
      </w:r>
      <w:r>
        <w:rPr>
          <w:rFonts w:ascii="Times New Roman" w:hAnsi="Times New Roman"/>
          <w:b/>
          <w:i/>
          <w:sz w:val="20"/>
        </w:rPr>
        <w:t>Sponsor</w:t>
      </w:r>
      <w:r>
        <w:rPr>
          <w:rFonts w:ascii="Times New Roman" w:hAnsi="Times New Roman"/>
          <w:sz w:val="20"/>
        </w:rPr>
        <w:t xml:space="preserve">), pursuant to which the Sponsor will purchase an aggregate of 8,500,000 warrants (or up to 9,325,000 warrants if the underwriters in the Public Offering (defined below) exercise their Over-allotment Option (as defined below) in full) simultaneously with the closing of the Offering (and the closing of the Over-allotment Option, if applicable), bearing the legend set forth in </w:t>
      </w:r>
      <w:r>
        <w:rPr>
          <w:rFonts w:ascii="Times New Roman" w:hAnsi="Times New Roman"/>
          <w:sz w:val="20"/>
          <w:u w:val="single"/>
        </w:rPr>
        <w:t>Exhibit B</w:t>
      </w:r>
      <w:r>
        <w:rPr>
          <w:rFonts w:ascii="Times New Roman" w:hAnsi="Times New Roman"/>
          <w:sz w:val="20"/>
        </w:rPr>
        <w:t xml:space="preserve"> hereto (the </w:t>
      </w:r>
      <w:r>
        <w:rPr>
          <w:rFonts w:ascii="Times New Roman" w:hAnsi="Times New Roman"/>
          <w:b/>
          <w:i/>
          <w:sz w:val="20"/>
        </w:rPr>
        <w:t>Private Placement Warrants</w:t>
      </w:r>
      <w:r>
        <w:rPr>
          <w:rFonts w:ascii="Times New Roman" w:hAnsi="Times New Roman"/>
          <w:sz w:val="20"/>
        </w:rPr>
        <w:t xml:space="preserve">) at a purchase price of $1.00 per Private Placement Warrant. Each Private Placement Warrant entitles the holder thereof to purchase one Ordinary Share (as defined below) at a price of $11.50 per share, subject to adjustment as described herein; and </w:t>
      </w:r>
    </w:p>
    <w:p>
      <w:pPr>
        <w:pStyle w:val="TextBody"/>
        <w:spacing w:before="240" w:after="0"/>
        <w:jc w:val="left"/>
        <w:rPr>
          <w:rFonts w:ascii="Times New Roman" w:hAnsi="Times New Roman"/>
          <w:sz w:val="20"/>
        </w:rPr>
      </w:pPr>
      <w:r>
        <w:rPr>
          <w:rFonts w:ascii="Times New Roman" w:hAnsi="Times New Roman"/>
          <w:sz w:val="20"/>
        </w:rPr>
        <w:t>WHEREAS, in order to finance the Companys transaction costs in connection with an intended initial merger, share exchange, asset acquisition, share purchase, reorganization or similar business combination, involving the Company and one or more businesses (a </w:t>
      </w:r>
      <w:r>
        <w:rPr>
          <w:rFonts w:ascii="Times New Roman" w:hAnsi="Times New Roman"/>
          <w:b/>
          <w:i/>
          <w:sz w:val="20"/>
        </w:rPr>
        <w:t>Business Combination</w:t>
      </w:r>
      <w:r>
        <w:rPr>
          <w:rFonts w:ascii="Times New Roman" w:hAnsi="Times New Roman"/>
          <w:sz w:val="20"/>
        </w:rPr>
        <w:t xml:space="preserve">), the Sponsor or an affiliate of the Sponsor or certain of the Companys officers and directors may, but are not obligated to, loan the Company funds as the Company may require, of which up to $1,500,000 of such loans may be convertible into up to an additional 1,000,000 Private Placement Warrants at a price of $1.00 per Private Placement Warrant; and </w:t>
      </w:r>
    </w:p>
    <w:p>
      <w:pPr>
        <w:pStyle w:val="TextBody"/>
        <w:spacing w:before="240" w:after="0"/>
        <w:jc w:val="left"/>
        <w:rPr>
          <w:rFonts w:ascii="Times New Roman" w:hAnsi="Times New Roman"/>
          <w:sz w:val="20"/>
        </w:rPr>
      </w:pPr>
      <w:r>
        <w:rPr>
          <w:rFonts w:ascii="Times New Roman" w:hAnsi="Times New Roman"/>
          <w:sz w:val="20"/>
        </w:rPr>
        <w:t>WHEREAS, the Company is engaged in an initial public offering (the </w:t>
      </w:r>
      <w:r>
        <w:rPr>
          <w:rFonts w:ascii="Times New Roman" w:hAnsi="Times New Roman"/>
          <w:b/>
          <w:i/>
          <w:sz w:val="20"/>
        </w:rPr>
        <w:t>Offering</w:t>
      </w:r>
      <w:r>
        <w:rPr>
          <w:rFonts w:ascii="Times New Roman" w:hAnsi="Times New Roman"/>
          <w:sz w:val="20"/>
        </w:rPr>
        <w:t>) of units of the Companys equity securities, each such unit comprised of one Ordinary Share and one-fifth of one Public Warrant (as defined below) (the </w:t>
      </w:r>
      <w:r>
        <w:rPr>
          <w:rFonts w:ascii="Times New Roman" w:hAnsi="Times New Roman"/>
          <w:b/>
          <w:i/>
          <w:sz w:val="20"/>
        </w:rPr>
        <w:t>Units</w:t>
      </w:r>
      <w:r>
        <w:rPr>
          <w:rFonts w:ascii="Times New Roman" w:hAnsi="Times New Roman"/>
          <w:sz w:val="20"/>
        </w:rPr>
        <w:t>) and, in connection therewith, has determined to issue and deliver up to 6,325,000 redeemable warrants (including up to 575,000 redeemable warrants subject to the Over-allotment Option) to public investors in the Offering (the </w:t>
      </w:r>
      <w:r>
        <w:rPr>
          <w:rFonts w:ascii="Times New Roman" w:hAnsi="Times New Roman"/>
          <w:b/>
          <w:i/>
          <w:sz w:val="20"/>
        </w:rPr>
        <w:t>Public Warrants</w:t>
      </w:r>
      <w:r>
        <w:rPr>
          <w:rFonts w:ascii="Times New Roman" w:hAnsi="Times New Roman"/>
          <w:sz w:val="20"/>
        </w:rPr>
        <w:t> and, together with the Private Placement Warrants, the </w:t>
      </w:r>
      <w:r>
        <w:rPr>
          <w:rFonts w:ascii="Times New Roman" w:hAnsi="Times New Roman"/>
          <w:b/>
          <w:i/>
          <w:sz w:val="20"/>
        </w:rPr>
        <w:t>Warrants</w:t>
      </w:r>
      <w:r>
        <w:rPr>
          <w:rFonts w:ascii="Times New Roman" w:hAnsi="Times New Roman"/>
          <w:sz w:val="20"/>
        </w:rPr>
        <w:t>). Each whole Warrant entitles the holder thereof to purchase one Class A ordinary share of the Company, par value $0.0001 per share (</w:t>
      </w:r>
      <w:r>
        <w:rPr>
          <w:rFonts w:ascii="Times New Roman" w:hAnsi="Times New Roman"/>
          <w:b/>
          <w:i/>
          <w:sz w:val="20"/>
        </w:rPr>
        <w:t>Ordinary Shares</w:t>
      </w:r>
      <w:r>
        <w:rPr>
          <w:rFonts w:ascii="Times New Roman" w:hAnsi="Times New Roman"/>
          <w:sz w:val="20"/>
        </w:rPr>
        <w:t xml:space="preserve">), for $11.50 per share, subject to adjustment as described herein. Only whole Warrants are exercisable. A holder of the Public Warrants will not be able to exercise any fraction of a Warrant; and </w:t>
      </w:r>
    </w:p>
    <w:p>
      <w:pPr>
        <w:pStyle w:val="TextBody"/>
        <w:spacing w:before="240" w:after="0"/>
        <w:jc w:val="left"/>
        <w:rPr>
          <w:rFonts w:ascii="Times New Roman" w:hAnsi="Times New Roman"/>
          <w:sz w:val="20"/>
        </w:rPr>
      </w:pPr>
      <w:r>
        <w:rPr>
          <w:rFonts w:ascii="Times New Roman" w:hAnsi="Times New Roman"/>
          <w:sz w:val="20"/>
        </w:rPr>
        <w:t>WHEREAS, the Company has filed with the Securities and Exchange Commission (the </w:t>
      </w:r>
      <w:r>
        <w:rPr>
          <w:rFonts w:ascii="Times New Roman" w:hAnsi="Times New Roman"/>
          <w:b/>
          <w:i/>
          <w:sz w:val="20"/>
        </w:rPr>
        <w:t>Commission</w:t>
      </w:r>
      <w:r>
        <w:rPr>
          <w:rFonts w:ascii="Times New Roman" w:hAnsi="Times New Roman"/>
          <w:sz w:val="20"/>
        </w:rPr>
        <w:t>) a registration statement on Form S-1, File No. 333-252730 and prospectus (the </w:t>
      </w:r>
      <w:r>
        <w:rPr>
          <w:rFonts w:ascii="Times New Roman" w:hAnsi="Times New Roman"/>
          <w:b/>
          <w:i/>
          <w:sz w:val="20"/>
        </w:rPr>
        <w:t>Prospectus</w:t>
      </w:r>
      <w:r>
        <w:rPr>
          <w:rFonts w:ascii="Times New Roman" w:hAnsi="Times New Roman"/>
          <w:sz w:val="20"/>
        </w:rPr>
        <w:t>), for the registration, under the Securities Act of 1933, as amended (the </w:t>
      </w:r>
      <w:r>
        <w:rPr>
          <w:rFonts w:ascii="Times New Roman" w:hAnsi="Times New Roman"/>
          <w:b/>
          <w:i/>
          <w:sz w:val="20"/>
        </w:rPr>
        <w:t>Securities Act</w:t>
      </w:r>
      <w:r>
        <w:rPr>
          <w:rFonts w:ascii="Times New Roman" w:hAnsi="Times New Roman"/>
          <w:sz w:val="20"/>
        </w:rPr>
        <w:t xml:space="preserve">), of the Units, the Public Warrants and the Ordinary Shares included in the Units; and </w:t>
      </w:r>
    </w:p>
    <w:p>
      <w:pPr>
        <w:pStyle w:val="TextBody"/>
        <w:spacing w:before="240" w:after="0"/>
        <w:jc w:val="left"/>
        <w:rPr>
          <w:rFonts w:ascii="Times New Roman" w:hAnsi="Times New Roman"/>
          <w:sz w:val="20"/>
        </w:rPr>
      </w:pPr>
      <w:r>
        <w:rPr>
          <w:rFonts w:ascii="Times New Roman" w:hAnsi="Times New Roman"/>
          <w:sz w:val="20"/>
        </w:rPr>
        <w:t xml:space="preserve">WHEREAS, the Company desires the Warrant Agent to act on behalf of the Company, and the Warrant Agent is willing to so act, in connection with the issuance, registration, transfer, exchange, redemption and exercise of the Warrants; and </w:t>
      </w:r>
    </w:p>
    <w:p>
      <w:pPr>
        <w:pStyle w:val="TextBody"/>
        <w:spacing w:before="240" w:after="0"/>
        <w:jc w:val="left"/>
        <w:rPr>
          <w:rFonts w:ascii="Times New Roman" w:hAnsi="Times New Roman"/>
          <w:sz w:val="20"/>
        </w:rPr>
      </w:pPr>
      <w:r>
        <w:rPr>
          <w:rFonts w:ascii="Times New Roman" w:hAnsi="Times New Roman"/>
          <w:sz w:val="20"/>
        </w:rPr>
        <w:t xml:space="preserve">WHEREAS, the Company desires to provide for the form and provisions of the Warrants, the terms upon which they shall be issued and exercised, and the respective rights, limitation of rights, and immunities of the Company, the Warrant Agent and the holders of the Warrants; and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WHEREAS, all acts and things have been done and performed which are necessary to make the Warrants, when executed on behalf of the Company and countersigned by or on behalf of the Warrant Agent (if a physical certificate is issued), as provided herein, the valid, binding and legal obligations of the Company, and to authorize the execution and delivery of this Agreement. </w:t>
      </w:r>
    </w:p>
    <w:p>
      <w:pPr>
        <w:pStyle w:val="TextBody"/>
        <w:spacing w:before="240" w:after="0"/>
        <w:jc w:val="left"/>
        <w:rPr>
          <w:rFonts w:ascii="Times New Roman" w:hAnsi="Times New Roman"/>
          <w:sz w:val="20"/>
        </w:rPr>
      </w:pPr>
      <w:r>
        <w:rPr>
          <w:rFonts w:ascii="Times New Roman" w:hAnsi="Times New Roman"/>
          <w:sz w:val="20"/>
        </w:rPr>
        <w:t xml:space="preserve">NOW, THEREFORE, in consideration of the mutual agreements herein contained, the parties hereto agree as follows: </w:t>
      </w:r>
    </w:p>
    <w:p>
      <w:pPr>
        <w:pStyle w:val="TextBody"/>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Appointment of Warrant Agent</w:t>
      </w:r>
      <w:r>
        <w:rPr>
          <w:rFonts w:ascii="Times New Roman" w:hAnsi="Times New Roman"/>
          <w:sz w:val="20"/>
        </w:rPr>
        <w:t xml:space="preserve">. The Company hereby appoints the Warrant Agent to act as agent for the Company for the Warrants, and the Warrant Agent hereby accepts such appointment and agrees to perform the same in accordance with the terms and conditions set forth in this Agreement. </w:t>
      </w:r>
    </w:p>
    <w:p>
      <w:pPr>
        <w:pStyle w:val="TextBody"/>
        <w:spacing w:before="36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Warrants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2.1. </w:t>
      </w:r>
      <w:r>
        <w:rPr>
          <w:rFonts w:ascii="Times New Roman" w:hAnsi="Times New Roman"/>
          <w:sz w:val="20"/>
          <w:u w:val="single"/>
        </w:rPr>
        <w:t>Form of Warrant</w:t>
      </w:r>
      <w:r>
        <w:rPr>
          <w:rFonts w:ascii="Times New Roman" w:hAnsi="Times New Roman"/>
          <w:sz w:val="20"/>
        </w:rPr>
        <w:t xml:space="preserve">. Each Warrant shall initially be issued in registered form only. </w:t>
      </w:r>
    </w:p>
    <w:p>
      <w:pPr>
        <w:pStyle w:val="TextBody"/>
        <w:spacing w:before="120" w:after="0"/>
        <w:jc w:val="left"/>
        <w:rPr>
          <w:rFonts w:ascii="Times New Roman" w:hAnsi="Times New Roman"/>
          <w:sz w:val="20"/>
        </w:rPr>
      </w:pPr>
      <w:r>
        <w:rPr>
          <w:rFonts w:ascii="Times New Roman" w:hAnsi="Times New Roman"/>
          <w:sz w:val="20"/>
        </w:rPr>
        <w:t xml:space="preserve">2.2. </w:t>
      </w:r>
      <w:r>
        <w:rPr>
          <w:rFonts w:ascii="Times New Roman" w:hAnsi="Times New Roman"/>
          <w:sz w:val="20"/>
          <w:u w:val="single"/>
        </w:rPr>
        <w:t>Effect of Countersignature</w:t>
      </w:r>
      <w:r>
        <w:rPr>
          <w:rFonts w:ascii="Times New Roman" w:hAnsi="Times New Roman"/>
          <w:sz w:val="20"/>
        </w:rPr>
        <w:t xml:space="preserve">. If a physical certificate is issued, unless and until countersigned by the Warrant Agent pursuant to this Agreement, a certificated Warrant shall be invalid and of no effect and may not be exercised by the holder thereof. </w:t>
      </w:r>
    </w:p>
    <w:p>
      <w:pPr>
        <w:pStyle w:val="TextBody"/>
        <w:spacing w:before="360" w:after="0"/>
        <w:jc w:val="left"/>
        <w:rPr>
          <w:rFonts w:ascii="Times New Roman" w:hAnsi="Times New Roman"/>
          <w:sz w:val="20"/>
        </w:rPr>
      </w:pPr>
      <w:r>
        <w:rPr>
          <w:rFonts w:ascii="Times New Roman" w:hAnsi="Times New Roman"/>
          <w:sz w:val="20"/>
        </w:rPr>
        <w:t xml:space="preserve">2.3. </w:t>
      </w:r>
      <w:r>
        <w:rPr>
          <w:rFonts w:ascii="Times New Roman" w:hAnsi="Times New Roman"/>
          <w:sz w:val="20"/>
          <w:u w:val="single"/>
        </w:rPr>
        <w:t>Registration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2.3.1. </w:t>
      </w:r>
      <w:r>
        <w:rPr>
          <w:rFonts w:ascii="Times New Roman" w:hAnsi="Times New Roman"/>
          <w:sz w:val="20"/>
          <w:u w:val="single"/>
        </w:rPr>
        <w:t>Warrant Register</w:t>
      </w:r>
      <w:r>
        <w:rPr>
          <w:rFonts w:ascii="Times New Roman" w:hAnsi="Times New Roman"/>
          <w:sz w:val="20"/>
        </w:rPr>
        <w:t>. The Warrant Agent shall maintain books (the </w:t>
      </w:r>
      <w:r>
        <w:rPr>
          <w:rFonts w:ascii="Times New Roman" w:hAnsi="Times New Roman"/>
          <w:b/>
          <w:i/>
          <w:sz w:val="20"/>
        </w:rPr>
        <w:t>Warrant Register</w:t>
      </w:r>
      <w:r>
        <w:rPr>
          <w:rFonts w:ascii="Times New Roman" w:hAnsi="Times New Roman"/>
          <w:sz w:val="20"/>
        </w:rPr>
        <w:t>), for the registration of original issuance and the registration of transfer of the Warrants. Upon the initial issuance of the Warrants in book-entry form, the Warrant Agent shall issue and register the Warrants in the names of the respective holders thereof in such denominations and otherwise in accordance with instructions delivered to the Warrant Agent by the Company. Ownership of beneficial interests in the Public Warrants shall be shown on, and the transfer of such ownership shall be effected through, records maintained by institutions that have accounts with The Depository Trust Company (the </w:t>
      </w:r>
      <w:r>
        <w:rPr>
          <w:rFonts w:ascii="Times New Roman" w:hAnsi="Times New Roman"/>
          <w:b/>
          <w:i/>
          <w:sz w:val="20"/>
        </w:rPr>
        <w:t>Depositary</w:t>
      </w:r>
      <w:r>
        <w:rPr>
          <w:rFonts w:ascii="Times New Roman" w:hAnsi="Times New Roman"/>
          <w:sz w:val="20"/>
        </w:rPr>
        <w:t>) (such institution, with respect to a Warrant in its account, a </w:t>
      </w:r>
      <w:r>
        <w:rPr>
          <w:rFonts w:ascii="Times New Roman" w:hAnsi="Times New Roman"/>
          <w:b/>
          <w:i/>
          <w:sz w:val="20"/>
        </w:rPr>
        <w:t>Participant</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If the Depositary subsequently ceases to make its book-entry settlement system available for the Public Warrants, the Company may instruct the Warrant Agent regarding making other arrangements for book-entry settlement. In the event that the Public Warrants are not eligible for, or it is no longer necessary to have the Public Warrants available in, book-entry form, the Warrant Agent shall provide written instructions to the Depositary to deliver to the Warrant Agent for cancellation each book-entry Public Warrant, and the Company shall instruct the Warrant Agent to deliver to the Depositary definitive certificates in physical form evidencing such Warrants (</w:t>
      </w:r>
      <w:r>
        <w:rPr>
          <w:rFonts w:ascii="Times New Roman" w:hAnsi="Times New Roman"/>
          <w:b/>
          <w:i/>
          <w:sz w:val="20"/>
        </w:rPr>
        <w:t>Definitive Warrant Certificates</w:t>
      </w:r>
      <w:r>
        <w:rPr>
          <w:rFonts w:ascii="Times New Roman" w:hAnsi="Times New Roman"/>
          <w:sz w:val="20"/>
        </w:rPr>
        <w:t xml:space="preserve">) which shall be in the form annexed hereto as </w:t>
      </w:r>
      <w:r>
        <w:rPr>
          <w:rFonts w:ascii="Times New Roman" w:hAnsi="Times New Roman"/>
          <w:sz w:val="20"/>
          <w:u w:val="single"/>
        </w:rPr>
        <w:t>Exhibit A</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Physical certificates, if issued, shall be signed by, or bear the facsimile signature of, the Chairman of the Board, Chief Executive Officer, President, Chief Financial Officer, Chief Operating Officer, General Counsel, Secretary or other principal officer of the Company. In the event the person whose facsimile signature has been placed upon any Warrant shall have ceased to serve in the capacity in which such person signed the Warrant before such Warrant is issued, it may be issued with the same effect as if he or she had not ceased to be such at the date of issuance. </w:t>
      </w:r>
    </w:p>
    <w:p>
      <w:pPr>
        <w:pStyle w:val="TextBody"/>
        <w:spacing w:before="240" w:after="0"/>
        <w:jc w:val="left"/>
        <w:rPr>
          <w:rFonts w:ascii="Times New Roman" w:hAnsi="Times New Roman"/>
          <w:sz w:val="20"/>
        </w:rPr>
      </w:pPr>
      <w:r>
        <w:rPr>
          <w:rFonts w:ascii="Times New Roman" w:hAnsi="Times New Roman"/>
          <w:sz w:val="20"/>
        </w:rPr>
        <w:t xml:space="preserve">2.3.2. </w:t>
      </w:r>
      <w:r>
        <w:rPr>
          <w:rFonts w:ascii="Times New Roman" w:hAnsi="Times New Roman"/>
          <w:sz w:val="20"/>
          <w:u w:val="single"/>
        </w:rPr>
        <w:t>Registered Holder</w:t>
      </w:r>
      <w:r>
        <w:rPr>
          <w:rFonts w:ascii="Times New Roman" w:hAnsi="Times New Roman"/>
          <w:sz w:val="20"/>
        </w:rPr>
        <w:t>. Prior to due presentment for registration of transfer of any Warrant, the Company and the Warrant Agent may deem and treat the person in whose name such Warrant is registered in the Warrant Register (the </w:t>
      </w:r>
      <w:r>
        <w:rPr>
          <w:rFonts w:ascii="Times New Roman" w:hAnsi="Times New Roman"/>
          <w:b/>
          <w:i/>
          <w:sz w:val="20"/>
        </w:rPr>
        <w:t>Registered Holder</w:t>
      </w:r>
      <w:r>
        <w:rPr>
          <w:rFonts w:ascii="Times New Roman" w:hAnsi="Times New Roman"/>
          <w:sz w:val="20"/>
        </w:rPr>
        <w:t xml:space="preserve">) as the absolute owner of such Warrant and of each Warrant represented thereby, for the purpose of any exercise thereof, and for all other purposes, and neither the Company nor the Warrant Agent shall be affected by any notice to the contrary. </w:t>
      </w:r>
    </w:p>
    <w:p>
      <w:pPr>
        <w:pStyle w:val="TextBody"/>
        <w:spacing w:before="240" w:after="0"/>
        <w:jc w:val="left"/>
        <w:rPr>
          <w:rFonts w:ascii="Times New Roman" w:hAnsi="Times New Roman"/>
          <w:sz w:val="20"/>
        </w:rPr>
      </w:pPr>
      <w:r>
        <w:rPr>
          <w:rFonts w:ascii="Times New Roman" w:hAnsi="Times New Roman"/>
          <w:sz w:val="20"/>
        </w:rPr>
        <w:t xml:space="preserve">2.4. </w:t>
      </w:r>
      <w:r>
        <w:rPr>
          <w:rFonts w:ascii="Times New Roman" w:hAnsi="Times New Roman"/>
          <w:sz w:val="20"/>
          <w:u w:val="single"/>
        </w:rPr>
        <w:t>Detachability of Warrants</w:t>
      </w:r>
      <w:r>
        <w:rPr>
          <w:rFonts w:ascii="Times New Roman" w:hAnsi="Times New Roman"/>
          <w:sz w:val="20"/>
        </w:rPr>
        <w:t>. The Ordinary Shares and Public Warrants comprising the Units shall begin separate trading on the 52nd day following the date of the Prospectus or, if such 52nd day is not on a day, other than a Saturday, Sunday or federal holiday, on which banks in New York City are generally open for normal business (a </w:t>
      </w:r>
      <w:r>
        <w:rPr>
          <w:rFonts w:ascii="Times New Roman" w:hAnsi="Times New Roman"/>
          <w:b/>
          <w:i/>
          <w:sz w:val="20"/>
        </w:rPr>
        <w:t>Business Day</w:t>
      </w:r>
      <w:r>
        <w:rPr>
          <w:rFonts w:ascii="Times New Roman" w:hAnsi="Times New Roman"/>
          <w:sz w:val="20"/>
        </w:rPr>
        <w:t>), then on the immediately succeeding Business Day following such date, or earlier (the </w:t>
      </w:r>
      <w:r>
        <w:rPr>
          <w:rFonts w:ascii="Times New Roman" w:hAnsi="Times New Roman"/>
          <w:b/>
          <w:i/>
          <w:sz w:val="20"/>
        </w:rPr>
        <w:t>Detachment Date</w:t>
      </w:r>
      <w:r>
        <w:rPr>
          <w:rFonts w:ascii="Times New Roman" w:hAnsi="Times New Roman"/>
          <w:sz w:val="20"/>
        </w:rPr>
        <w:t>) with the consent of Citigroup Global Markets Inc. and Barclays Capital Inc., but in no event shall the Ordinary Shares and the Public Warrants comprising the Units be separately traded until (A) the Company has filed a Current Report on Form 8-K with the Commission containing an audited balance sheet reflecting the receipt by the Company of the gross proceeds of the Offering, including the proceeds then received by the Company from the exercise by the underwriters of their right to purchase additional Units in the Offering (the </w:t>
      </w:r>
      <w:r>
        <w:rPr>
          <w:rFonts w:ascii="Times New Roman" w:hAnsi="Times New Roman"/>
          <w:b/>
          <w:i/>
          <w:sz w:val="20"/>
        </w:rPr>
        <w:t>Over-allotment Option</w:t>
      </w:r>
      <w:r>
        <w:rPr>
          <w:rFonts w:ascii="Times New Roman" w:hAnsi="Times New Roman"/>
          <w:sz w:val="20"/>
        </w:rPr>
        <w:t xml:space="preserve">), if the Over-allotment Option is exercised prior to the filing of the Current Report on Form 8-K, and (B) the Company issues a press release announcing when such separate trading shall begin.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2.5. </w:t>
      </w:r>
      <w:r>
        <w:rPr>
          <w:rFonts w:ascii="Times New Roman" w:hAnsi="Times New Roman"/>
          <w:sz w:val="20"/>
          <w:u w:val="single"/>
        </w:rPr>
        <w:t>Fractional Warrants</w:t>
      </w:r>
      <w:r>
        <w:rPr>
          <w:rFonts w:ascii="Times New Roman" w:hAnsi="Times New Roman"/>
          <w:sz w:val="20"/>
        </w:rPr>
        <w:t xml:space="preserve">. The Company shall not issue fractional Warrants other than as part of the Units, each of which is comprised of one Ordinary Share and one-fifth of one whole Public Warrant. If, upon the detachment of Public Warrants from the Units or otherwise, a holder of Warrants would be entitled to receive a fractional Warrant, the Company shall round down to the nearest whole number the number of Warrants to be issued to such holder. </w:t>
      </w:r>
    </w:p>
    <w:p>
      <w:pPr>
        <w:pStyle w:val="TextBody"/>
        <w:spacing w:before="240" w:after="0"/>
        <w:jc w:val="left"/>
        <w:rPr>
          <w:rFonts w:ascii="Times New Roman" w:hAnsi="Times New Roman"/>
          <w:sz w:val="20"/>
        </w:rPr>
      </w:pPr>
      <w:r>
        <w:rPr>
          <w:rFonts w:ascii="Times New Roman" w:hAnsi="Times New Roman"/>
          <w:sz w:val="20"/>
        </w:rPr>
        <w:t xml:space="preserve">2.6. </w:t>
      </w:r>
      <w:r>
        <w:rPr>
          <w:rFonts w:ascii="Times New Roman" w:hAnsi="Times New Roman"/>
          <w:sz w:val="20"/>
          <w:u w:val="single"/>
        </w:rPr>
        <w:t>Private Placement Warrants</w:t>
      </w:r>
      <w:r>
        <w:rPr>
          <w:rFonts w:ascii="Times New Roman" w:hAnsi="Times New Roman"/>
          <w:sz w:val="20"/>
        </w:rPr>
        <w:t xml:space="preserve">. The Private Placement Warrants shall be identical to the Public Warrants, except that so long as they are held by the Sponsor or any of its Permitted Transferees (as defined below) the Private Placement Warrants: (i) may be exercised for cash or on a cashless basis, pursuant to </w:t>
      </w:r>
      <w:r>
        <w:rPr>
          <w:rFonts w:ascii="Times New Roman" w:hAnsi="Times New Roman"/>
          <w:sz w:val="20"/>
          <w:u w:val="single"/>
        </w:rPr>
        <w:t>subsection 3.3.1(c)</w:t>
      </w:r>
      <w:r>
        <w:rPr>
          <w:rFonts w:ascii="Times New Roman" w:hAnsi="Times New Roman"/>
          <w:sz w:val="20"/>
        </w:rPr>
        <w:t xml:space="preserve"> hereof, (ii) including the Ordinary Shares issuable upon exercise of the Private Placement Warrants, may not be transferred, assigned or sold until thirty (30) days after the completion by the Company of an initial Business Combination, (iii) shall not be redeemable by the Company pursuant to </w:t>
      </w:r>
      <w:r>
        <w:rPr>
          <w:rFonts w:ascii="Times New Roman" w:hAnsi="Times New Roman"/>
          <w:sz w:val="20"/>
          <w:u w:val="single"/>
        </w:rPr>
        <w:t>Section 6.1</w:t>
      </w:r>
      <w:r>
        <w:rPr>
          <w:rFonts w:ascii="Times New Roman" w:hAnsi="Times New Roman"/>
          <w:sz w:val="20"/>
        </w:rPr>
        <w:t xml:space="preserve"> hereof and (iv) shall only be redeemable by the Company pursuant to </w:t>
      </w:r>
      <w:r>
        <w:rPr>
          <w:rFonts w:ascii="Times New Roman" w:hAnsi="Times New Roman"/>
          <w:sz w:val="20"/>
          <w:u w:val="single"/>
        </w:rPr>
        <w:t>Section 6.2</w:t>
      </w:r>
      <w:r>
        <w:rPr>
          <w:rFonts w:ascii="Times New Roman" w:hAnsi="Times New Roman"/>
          <w:sz w:val="20"/>
        </w:rPr>
        <w:t xml:space="preserve"> if the Reference Value (as defined below) is less than $18.00 per share (subject to adjustment in compliance with </w:t>
      </w:r>
      <w:r>
        <w:rPr>
          <w:rFonts w:ascii="Times New Roman" w:hAnsi="Times New Roman"/>
          <w:sz w:val="20"/>
          <w:u w:val="single"/>
        </w:rPr>
        <w:t>Section 4</w:t>
      </w:r>
      <w:r>
        <w:rPr>
          <w:rFonts w:ascii="Times New Roman" w:hAnsi="Times New Roman"/>
          <w:sz w:val="20"/>
        </w:rPr>
        <w:t xml:space="preserve"> hereof);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the case of (ii), the Private Placement Warrants and any Ordinary Shares issued upon exercise of the Private Placement Warrants may be transferred by the holders thereof: </w:t>
      </w:r>
    </w:p>
    <w:p>
      <w:pPr>
        <w:pStyle w:val="TextBody"/>
        <w:spacing w:before="240" w:after="0"/>
        <w:jc w:val="left"/>
        <w:rPr>
          <w:rFonts w:ascii="Times New Roman" w:hAnsi="Times New Roman"/>
          <w:sz w:val="20"/>
        </w:rPr>
      </w:pPr>
      <w:r>
        <w:rPr>
          <w:rFonts w:ascii="Times New Roman" w:hAnsi="Times New Roman"/>
          <w:sz w:val="20"/>
        </w:rPr>
        <w:t xml:space="preserve">(a) to the Companys officers or directors, any affiliates or family members of any of the Companys officers or directors, any members or partners of the Sponsor or their affiliates, any affiliates of the Sponsor, or any employees of such affiliates; </w:t>
      </w:r>
    </w:p>
    <w:p>
      <w:pPr>
        <w:pStyle w:val="TextBody"/>
        <w:spacing w:before="240" w:after="0"/>
        <w:jc w:val="left"/>
        <w:rPr>
          <w:rFonts w:ascii="Times New Roman" w:hAnsi="Times New Roman"/>
          <w:sz w:val="20"/>
        </w:rPr>
      </w:pPr>
      <w:r>
        <w:rPr>
          <w:rFonts w:ascii="Times New Roman" w:hAnsi="Times New Roman"/>
          <w:sz w:val="20"/>
        </w:rPr>
        <w:t xml:space="preserve">(b) in the case of an individual, by gift to a member of one of the individuals immediate family or to a trust, the beneficiary of which is a member of the individuals immediate family, an affiliate of such person or to a charitable organization; </w:t>
      </w:r>
    </w:p>
    <w:p>
      <w:pPr>
        <w:pStyle w:val="TextBody"/>
        <w:spacing w:before="240" w:after="0"/>
        <w:jc w:val="left"/>
        <w:rPr>
          <w:rFonts w:ascii="Times New Roman" w:hAnsi="Times New Roman"/>
          <w:sz w:val="20"/>
        </w:rPr>
      </w:pPr>
      <w:r>
        <w:rPr>
          <w:rFonts w:ascii="Times New Roman" w:hAnsi="Times New Roman"/>
          <w:sz w:val="20"/>
        </w:rPr>
        <w:t xml:space="preserve">(c) in the case of an individual, by virtue of laws of descent and distribution upon death of the individual; </w:t>
      </w:r>
    </w:p>
    <w:p>
      <w:pPr>
        <w:pStyle w:val="TextBody"/>
        <w:spacing w:before="240" w:after="0"/>
        <w:jc w:val="left"/>
        <w:rPr>
          <w:rFonts w:ascii="Times New Roman" w:hAnsi="Times New Roman"/>
          <w:sz w:val="20"/>
        </w:rPr>
      </w:pPr>
      <w:r>
        <w:rPr>
          <w:rFonts w:ascii="Times New Roman" w:hAnsi="Times New Roman"/>
          <w:sz w:val="20"/>
        </w:rPr>
        <w:t xml:space="preserve">(d) in the case of an individual, pursuant to a qualified domestic relations order; </w:t>
      </w:r>
    </w:p>
    <w:p>
      <w:pPr>
        <w:pStyle w:val="TextBody"/>
        <w:spacing w:before="240" w:after="0"/>
        <w:jc w:val="left"/>
        <w:rPr>
          <w:rFonts w:ascii="Times New Roman" w:hAnsi="Times New Roman"/>
          <w:sz w:val="20"/>
        </w:rPr>
      </w:pPr>
      <w:r>
        <w:rPr>
          <w:rFonts w:ascii="Times New Roman" w:hAnsi="Times New Roman"/>
          <w:sz w:val="20"/>
        </w:rPr>
        <w:t xml:space="preserve">(e) by private sales or transfers made in connection with the consummation of the Companys Business Combination at prices no greater than the price at which the Private Placement Warrants or Ordinary Shares, as applicable, were originally purchased; </w:t>
      </w:r>
    </w:p>
    <w:p>
      <w:pPr>
        <w:pStyle w:val="TextBody"/>
        <w:spacing w:before="240" w:after="0"/>
        <w:jc w:val="left"/>
        <w:rPr>
          <w:rFonts w:ascii="Times New Roman" w:hAnsi="Times New Roman"/>
          <w:sz w:val="20"/>
        </w:rPr>
      </w:pPr>
      <w:r>
        <w:rPr>
          <w:rFonts w:ascii="Times New Roman" w:hAnsi="Times New Roman"/>
          <w:sz w:val="20"/>
        </w:rPr>
        <w:t xml:space="preserve">(f) by virtue of the Sponsors organizational documents upon liquidation or dissolution of the Sponsor; </w:t>
      </w:r>
    </w:p>
    <w:p>
      <w:pPr>
        <w:pStyle w:val="TextBody"/>
        <w:spacing w:before="240" w:after="0"/>
        <w:jc w:val="left"/>
        <w:rPr>
          <w:rFonts w:ascii="Times New Roman" w:hAnsi="Times New Roman"/>
          <w:sz w:val="20"/>
        </w:rPr>
      </w:pPr>
      <w:r>
        <w:rPr>
          <w:rFonts w:ascii="Times New Roman" w:hAnsi="Times New Roman"/>
          <w:sz w:val="20"/>
        </w:rPr>
        <w:t xml:space="preserve">(g) to the Company for no value for cancellation in connection with the consummation of our initial Business Combination; </w:t>
      </w:r>
    </w:p>
    <w:p>
      <w:pPr>
        <w:pStyle w:val="TextBody"/>
        <w:spacing w:before="240" w:after="0"/>
        <w:jc w:val="left"/>
        <w:rPr>
          <w:rFonts w:ascii="Times New Roman" w:hAnsi="Times New Roman"/>
          <w:sz w:val="20"/>
        </w:rPr>
      </w:pPr>
      <w:r>
        <w:rPr>
          <w:rFonts w:ascii="Times New Roman" w:hAnsi="Times New Roman"/>
          <w:sz w:val="20"/>
        </w:rPr>
        <w:t xml:space="preserve">(h) in the event of the Companys liquidation prior to the completion of its initial Business Combination; or </w:t>
      </w:r>
    </w:p>
    <w:p>
      <w:pPr>
        <w:pStyle w:val="TextBody"/>
        <w:spacing w:before="240" w:after="0"/>
        <w:jc w:val="left"/>
        <w:rPr>
          <w:rFonts w:ascii="Times New Roman" w:hAnsi="Times New Roman"/>
          <w:sz w:val="20"/>
        </w:rPr>
      </w:pPr>
      <w:r>
        <w:rPr>
          <w:rFonts w:ascii="Times New Roman" w:hAnsi="Times New Roman"/>
          <w:sz w:val="20"/>
        </w:rPr>
        <w:t xml:space="preserve">(i) in the event of the Companys completion of a liquidation, merger, share exchange or other similar transaction which results in all of the public shareholders having the right to exchange their Ordinary Shares for cash, securities or other property subsequent to the completion of the Companys initial Business Combination; </w:t>
      </w:r>
    </w:p>
    <w:p>
      <w:pPr>
        <w:pStyle w:val="TextBody"/>
        <w:spacing w:before="24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in the case of clauses (a) through (f), these permitted transferees (the </w:t>
      </w:r>
      <w:r>
        <w:rPr>
          <w:rFonts w:ascii="Times New Roman" w:hAnsi="Times New Roman"/>
          <w:b/>
          <w:i/>
          <w:sz w:val="20"/>
        </w:rPr>
        <w:t>Permitted Transferees</w:t>
      </w:r>
      <w:r>
        <w:rPr>
          <w:rFonts w:ascii="Times New Roman" w:hAnsi="Times New Roman"/>
          <w:sz w:val="20"/>
        </w:rPr>
        <w:t xml:space="preserve">) must enter into a written agreement with the Company agreeing to be bound by the transfer restrictions in this Agreement. </w:t>
      </w:r>
    </w:p>
    <w:p>
      <w:pPr>
        <w:pStyle w:val="TextBody"/>
        <w:spacing w:before="36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Terms and Exercise of Warrants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3.1. </w:t>
      </w:r>
      <w:r>
        <w:rPr>
          <w:rFonts w:ascii="Times New Roman" w:hAnsi="Times New Roman"/>
          <w:sz w:val="20"/>
          <w:u w:val="single"/>
        </w:rPr>
        <w:t>Warrant Price</w:t>
      </w:r>
      <w:r>
        <w:rPr>
          <w:rFonts w:ascii="Times New Roman" w:hAnsi="Times New Roman"/>
          <w:sz w:val="20"/>
        </w:rPr>
        <w:t xml:space="preserve">. Each whole Warrant shall entitle the Registered Holder thereof, subject to the provisions of such Warrant and of this Agreement, to purchase from the Company the number of Ordinary Shares stated therein, at the price of $11.50 per share, subject to the adjustments provided in </w:t>
      </w:r>
      <w:r>
        <w:rPr>
          <w:rFonts w:ascii="Times New Roman" w:hAnsi="Times New Roman"/>
          <w:sz w:val="20"/>
          <w:u w:val="single"/>
        </w:rPr>
        <w:t>Section 4</w:t>
      </w:r>
      <w:r>
        <w:rPr>
          <w:rFonts w:ascii="Times New Roman" w:hAnsi="Times New Roman"/>
          <w:sz w:val="20"/>
        </w:rPr>
        <w:t xml:space="preserve"> hereof and in the last sentence of this </w:t>
      </w:r>
      <w:r>
        <w:rPr>
          <w:rFonts w:ascii="Times New Roman" w:hAnsi="Times New Roman"/>
          <w:sz w:val="20"/>
          <w:u w:val="single"/>
        </w:rPr>
        <w:t>Section 3.1</w:t>
      </w:r>
      <w:r>
        <w:rPr>
          <w:rFonts w:ascii="Times New Roman" w:hAnsi="Times New Roman"/>
          <w:sz w:val="20"/>
        </w:rPr>
        <w:t>. The term </w:t>
      </w:r>
      <w:r>
        <w:rPr>
          <w:rFonts w:ascii="Times New Roman" w:hAnsi="Times New Roman"/>
          <w:b/>
          <w:i/>
          <w:sz w:val="20"/>
        </w:rPr>
        <w:t>Warrant Price</w:t>
      </w:r>
      <w:r>
        <w:rPr>
          <w:rFonts w:ascii="Times New Roman" w:hAnsi="Times New Roman"/>
          <w:sz w:val="20"/>
        </w:rPr>
        <w:t xml:space="preserve"> as used in this Agreement shall mean the price per share (including in cash or by payment of Warrants pursuant to a cashless exercise, to the extent permitted hereunder) described in the prior sentence at which Ordinary Shares may be purchased at the time a Warrant is exercised. The Company in its sole discretion may lower the Warrant Price at any time prior to the Expiration Date (as defined below) for a period of not less than fifteen Business Days (unless otherwise required by the Commission, any national securities exchange on which the Warrants are listed or applicable law); provided that the Company shall provide at least five days prior written notice of such reduction to Registered Holders of the Warrants; and provided further, that any such reduction shall be identical among all of the Warrants.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3.2. </w:t>
      </w:r>
      <w:r>
        <w:rPr>
          <w:rFonts w:ascii="Times New Roman" w:hAnsi="Times New Roman"/>
          <w:sz w:val="20"/>
          <w:u w:val="single"/>
        </w:rPr>
        <w:t>Duration of Warrants</w:t>
      </w:r>
      <w:r>
        <w:rPr>
          <w:rFonts w:ascii="Times New Roman" w:hAnsi="Times New Roman"/>
          <w:sz w:val="20"/>
        </w:rPr>
        <w:t>. A Warrant may be exercised only during the period (the </w:t>
      </w:r>
      <w:r>
        <w:rPr>
          <w:rFonts w:ascii="Times New Roman" w:hAnsi="Times New Roman"/>
          <w:b/>
          <w:i/>
          <w:sz w:val="20"/>
        </w:rPr>
        <w:t>Exercise Period</w:t>
      </w:r>
      <w:r>
        <w:rPr>
          <w:rFonts w:ascii="Times New Roman" w:hAnsi="Times New Roman"/>
          <w:sz w:val="20"/>
        </w:rPr>
        <w:t xml:space="preserve">) (A) commencing on the date that is thirty (30) days after the first date on which the Company completes a Business Combination, and (B) terminating at the earliest to occur of (x) 5:00 p.m., New York City time on the date that is five (5) years after the date on which the Company completes its initial Business Combination, (y) the liquidation of the Company in accordance with the Companys amended and restated memorandum and articles of association, as amended from time to time, if the Company fails to complete a Business Combination, and (z) other than with respect to the Private Placement Warrants then held by the Sponsor or its Permitted Transferees with respect to a redemption pursuant to </w:t>
      </w:r>
      <w:r>
        <w:rPr>
          <w:rFonts w:ascii="Times New Roman" w:hAnsi="Times New Roman"/>
          <w:sz w:val="20"/>
          <w:u w:val="single"/>
        </w:rPr>
        <w:t>Section 6.1</w:t>
      </w:r>
      <w:r>
        <w:rPr>
          <w:rFonts w:ascii="Times New Roman" w:hAnsi="Times New Roman"/>
          <w:sz w:val="20"/>
        </w:rPr>
        <w:t xml:space="preserve"> hereof or, if the Reference Value equals or exceeds $18.00 per share (subject to adjustment in compliance with </w:t>
      </w:r>
      <w:r>
        <w:rPr>
          <w:rFonts w:ascii="Times New Roman" w:hAnsi="Times New Roman"/>
          <w:sz w:val="20"/>
          <w:u w:val="single"/>
        </w:rPr>
        <w:t>Section 4</w:t>
      </w:r>
      <w:r>
        <w:rPr>
          <w:rFonts w:ascii="Times New Roman" w:hAnsi="Times New Roman"/>
          <w:sz w:val="20"/>
        </w:rPr>
        <w:t xml:space="preserve"> hereof), </w:t>
      </w:r>
      <w:r>
        <w:rPr>
          <w:rFonts w:ascii="Times New Roman" w:hAnsi="Times New Roman"/>
          <w:sz w:val="20"/>
          <w:u w:val="single"/>
        </w:rPr>
        <w:t>Section 6.2</w:t>
      </w:r>
      <w:r>
        <w:rPr>
          <w:rFonts w:ascii="Times New Roman" w:hAnsi="Times New Roman"/>
          <w:sz w:val="20"/>
        </w:rPr>
        <w:t xml:space="preserve"> hereof, 5:00 p.m., New York City time on the Redemption Date (as defined below) as provided in </w:t>
      </w:r>
      <w:r>
        <w:rPr>
          <w:rFonts w:ascii="Times New Roman" w:hAnsi="Times New Roman"/>
          <w:sz w:val="20"/>
          <w:u w:val="single"/>
        </w:rPr>
        <w:t>Section 6.3</w:t>
      </w:r>
      <w:r>
        <w:rPr>
          <w:rFonts w:ascii="Times New Roman" w:hAnsi="Times New Roman"/>
          <w:sz w:val="20"/>
        </w:rPr>
        <w:t xml:space="preserve"> hereof (the </w:t>
      </w:r>
      <w:r>
        <w:rPr>
          <w:rFonts w:ascii="Times New Roman" w:hAnsi="Times New Roman"/>
          <w:b/>
          <w:i/>
          <w:sz w:val="20"/>
        </w:rPr>
        <w:t>Expiration Date</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exercise of any Warrant shall be subject to the satisfaction of any applicable conditions, as set forth in </w:t>
      </w:r>
      <w:r>
        <w:rPr>
          <w:rFonts w:ascii="Times New Roman" w:hAnsi="Times New Roman"/>
          <w:sz w:val="20"/>
          <w:u w:val="single"/>
        </w:rPr>
        <w:t>subsection 3.3.2</w:t>
      </w:r>
      <w:r>
        <w:rPr>
          <w:rFonts w:ascii="Times New Roman" w:hAnsi="Times New Roman"/>
          <w:sz w:val="20"/>
        </w:rPr>
        <w:t xml:space="preserve"> below, with respect to an effective registration statement or a valid exemption therefrom being available. Except with respect to the right to receive the Redemption Price (as defined below) (other than with respect to a Private Placement Warrant then held by the Sponsor or its Permitted Transferees in connection with a redemption pursuant to </w:t>
      </w:r>
      <w:r>
        <w:rPr>
          <w:rFonts w:ascii="Times New Roman" w:hAnsi="Times New Roman"/>
          <w:sz w:val="20"/>
          <w:u w:val="single"/>
        </w:rPr>
        <w:t>Section 6.1</w:t>
      </w:r>
      <w:r>
        <w:rPr>
          <w:rFonts w:ascii="Times New Roman" w:hAnsi="Times New Roman"/>
          <w:sz w:val="20"/>
        </w:rPr>
        <w:t xml:space="preserve"> hereof or, if the Reference Value equals or exceeds $18.00 per share (subject to adjustment in compliance with </w:t>
      </w:r>
      <w:r>
        <w:rPr>
          <w:rFonts w:ascii="Times New Roman" w:hAnsi="Times New Roman"/>
          <w:sz w:val="20"/>
          <w:u w:val="single"/>
        </w:rPr>
        <w:t>Section 4</w:t>
      </w:r>
      <w:r>
        <w:rPr>
          <w:rFonts w:ascii="Times New Roman" w:hAnsi="Times New Roman"/>
          <w:sz w:val="20"/>
        </w:rPr>
        <w:t xml:space="preserve"> hereof), </w:t>
      </w:r>
      <w:r>
        <w:rPr>
          <w:rFonts w:ascii="Times New Roman" w:hAnsi="Times New Roman"/>
          <w:sz w:val="20"/>
          <w:u w:val="single"/>
        </w:rPr>
        <w:t>Section 6.2</w:t>
      </w:r>
      <w:r>
        <w:rPr>
          <w:rFonts w:ascii="Times New Roman" w:hAnsi="Times New Roman"/>
          <w:sz w:val="20"/>
        </w:rPr>
        <w:t xml:space="preserve"> hereof) in the event of a redemption (as set forth in Section 6 hereof), each Warrant (other than a Private Placement Warrant then held by the Sponsor or its Permitted Transferees in the event of a redemption pursuant to </w:t>
      </w:r>
      <w:r>
        <w:rPr>
          <w:rFonts w:ascii="Times New Roman" w:hAnsi="Times New Roman"/>
          <w:sz w:val="20"/>
          <w:u w:val="single"/>
        </w:rPr>
        <w:t>Section 6.1</w:t>
      </w:r>
      <w:r>
        <w:rPr>
          <w:rFonts w:ascii="Times New Roman" w:hAnsi="Times New Roman"/>
          <w:sz w:val="20"/>
        </w:rPr>
        <w:t xml:space="preserve"> hereof or, if the Reference Value equals or exceeds $18.00 per share (subject to adjustment in compliance with </w:t>
      </w:r>
      <w:r>
        <w:rPr>
          <w:rFonts w:ascii="Times New Roman" w:hAnsi="Times New Roman"/>
          <w:sz w:val="20"/>
          <w:u w:val="single"/>
        </w:rPr>
        <w:t>Section 4</w:t>
      </w:r>
      <w:r>
        <w:rPr>
          <w:rFonts w:ascii="Times New Roman" w:hAnsi="Times New Roman"/>
          <w:sz w:val="20"/>
        </w:rPr>
        <w:t xml:space="preserve"> hereof), </w:t>
      </w:r>
      <w:r>
        <w:rPr>
          <w:rFonts w:ascii="Times New Roman" w:hAnsi="Times New Roman"/>
          <w:sz w:val="20"/>
          <w:u w:val="single"/>
        </w:rPr>
        <w:t>Section 6.2</w:t>
      </w:r>
      <w:r>
        <w:rPr>
          <w:rFonts w:ascii="Times New Roman" w:hAnsi="Times New Roman"/>
          <w:sz w:val="20"/>
        </w:rPr>
        <w:t xml:space="preserve"> hereof) not exercised on or before the Expiration Date shall become void, and all rights thereunder and all rights in respect thereof under this Agreement shall cease at 5:00 p.m. New York City time on the Expiration Date. The Company in its sole discretion may extend the duration of the Warrants by delaying the Expiration Date; </w:t>
      </w:r>
      <w:r>
        <w:rPr>
          <w:rFonts w:ascii="Times New Roman" w:hAnsi="Times New Roman"/>
          <w:sz w:val="20"/>
          <w:u w:val="single"/>
        </w:rPr>
        <w:t>provided</w:t>
      </w:r>
      <w:r>
        <w:rPr>
          <w:rFonts w:ascii="Times New Roman" w:hAnsi="Times New Roman"/>
          <w:sz w:val="20"/>
        </w:rPr>
        <w:t xml:space="preserve"> that the Company shall provide at least twenty (20) days prior written notice of any such extension to Registered Holders of the Warrants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any such extension shall be identical in duration among all the Warrants. </w:t>
      </w:r>
    </w:p>
    <w:p>
      <w:pPr>
        <w:pStyle w:val="TextBody"/>
        <w:spacing w:before="360" w:after="0"/>
        <w:jc w:val="left"/>
        <w:rPr>
          <w:rFonts w:ascii="Times New Roman" w:hAnsi="Times New Roman"/>
          <w:sz w:val="20"/>
        </w:rPr>
      </w:pPr>
      <w:r>
        <w:rPr>
          <w:rFonts w:ascii="Times New Roman" w:hAnsi="Times New Roman"/>
          <w:sz w:val="20"/>
        </w:rPr>
        <w:t xml:space="preserve">3.3. </w:t>
      </w:r>
      <w:r>
        <w:rPr>
          <w:rFonts w:ascii="Times New Roman" w:hAnsi="Times New Roman"/>
          <w:sz w:val="20"/>
          <w:u w:val="single"/>
        </w:rPr>
        <w:t>Exercise of Warrants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3.3.1. </w:t>
      </w:r>
      <w:r>
        <w:rPr>
          <w:rFonts w:ascii="Times New Roman" w:hAnsi="Times New Roman"/>
          <w:sz w:val="20"/>
          <w:u w:val="single"/>
        </w:rPr>
        <w:t>Payment</w:t>
      </w:r>
      <w:r>
        <w:rPr>
          <w:rFonts w:ascii="Times New Roman" w:hAnsi="Times New Roman"/>
          <w:sz w:val="20"/>
        </w:rPr>
        <w:t>. Subject to the provisions of the Warrant and this Agreement, a Warrant may be exercised by the Registered Holder thereof by delivering to the Warrant Agent at its corporate trust department (i) the Definitive Warrant Certificate evidencing the Warrants to be exercised, or, in the case of a Warrant represented by a book-entry, the Warrants to be exercised (the </w:t>
      </w:r>
      <w:r>
        <w:rPr>
          <w:rFonts w:ascii="Times New Roman" w:hAnsi="Times New Roman"/>
          <w:b/>
          <w:i/>
          <w:sz w:val="20"/>
        </w:rPr>
        <w:t>Book-Entry Warrants</w:t>
      </w:r>
      <w:r>
        <w:rPr>
          <w:rFonts w:ascii="Times New Roman" w:hAnsi="Times New Roman"/>
          <w:sz w:val="20"/>
        </w:rPr>
        <w:t>) on the records of the Depositary to an account of the Warrant Agent at the Depositary designated for such purposes in writing by the Warrant Agent to the Depositary from time to time, (ii) an election to purchase (</w:t>
      </w:r>
      <w:r>
        <w:rPr>
          <w:rFonts w:ascii="Times New Roman" w:hAnsi="Times New Roman"/>
          <w:b/>
          <w:i/>
          <w:sz w:val="20"/>
        </w:rPr>
        <w:t>Election to Purchase</w:t>
      </w:r>
      <w:r>
        <w:rPr>
          <w:rFonts w:ascii="Times New Roman" w:hAnsi="Times New Roman"/>
          <w:sz w:val="20"/>
        </w:rPr>
        <w:t xml:space="preserve">) any Ordinary Shares pursuant to the exercise of a Warrant, properly completed and executed by the Registered Holder on the reverse of the Definitive Warrant Certificate or, in the case of a Book-Entry Warrant, properly delivered by the Participant in accordance with the Depositarys procedures, and (iii) the payment in full of the Warrant Price for each Ordinary Share as to which the Warrant is exercised and any and all applicable taxes due in connection with the exercise of the Warrant, the exchange of the Warrant for the Ordinary Shares and the issuance of such Ordinary Shares, as follows: </w:t>
      </w:r>
    </w:p>
    <w:p>
      <w:pPr>
        <w:pStyle w:val="TextBody"/>
        <w:spacing w:before="240" w:after="0"/>
        <w:jc w:val="left"/>
        <w:rPr>
          <w:rFonts w:ascii="Times New Roman" w:hAnsi="Times New Roman"/>
          <w:sz w:val="20"/>
        </w:rPr>
      </w:pPr>
      <w:r>
        <w:rPr>
          <w:rFonts w:ascii="Times New Roman" w:hAnsi="Times New Roman"/>
          <w:sz w:val="20"/>
        </w:rPr>
        <w:t xml:space="preserve">(a) in lawful money of the United States, in good certified check or wire payable to the Warrant Agent; </w:t>
      </w:r>
    </w:p>
    <w:p>
      <w:pPr>
        <w:pStyle w:val="TextBody"/>
        <w:spacing w:before="240" w:after="0"/>
        <w:jc w:val="left"/>
        <w:rPr>
          <w:rFonts w:ascii="Times New Roman" w:hAnsi="Times New Roman"/>
          <w:sz w:val="20"/>
        </w:rPr>
      </w:pPr>
      <w:r>
        <w:rPr>
          <w:rFonts w:ascii="Times New Roman" w:hAnsi="Times New Roman"/>
          <w:sz w:val="20"/>
        </w:rPr>
        <w:t xml:space="preserve">(b) [Reserved]; </w:t>
      </w:r>
    </w:p>
    <w:p>
      <w:pPr>
        <w:pStyle w:val="TextBody"/>
        <w:spacing w:before="240" w:after="0"/>
        <w:jc w:val="left"/>
        <w:rPr>
          <w:rFonts w:ascii="Times New Roman" w:hAnsi="Times New Roman"/>
          <w:sz w:val="20"/>
        </w:rPr>
      </w:pPr>
      <w:r>
        <w:rPr>
          <w:rFonts w:ascii="Times New Roman" w:hAnsi="Times New Roman"/>
          <w:sz w:val="20"/>
        </w:rPr>
        <w:t xml:space="preserve">(c) with respect to any Private Placement Warrant, so long as such Private Placement Warrant is held by the Sponsor or a Permitted Transferee, by surrendering the Warrants for that number of Ordinary Shares equal to (i) if in connection with a redemption of Private Placement Warrants pursuant to </w:t>
      </w:r>
      <w:r>
        <w:rPr>
          <w:rFonts w:ascii="Times New Roman" w:hAnsi="Times New Roman"/>
          <w:sz w:val="20"/>
          <w:u w:val="single"/>
        </w:rPr>
        <w:t>Section 6.2</w:t>
      </w:r>
      <w:r>
        <w:rPr>
          <w:rFonts w:ascii="Times New Roman" w:hAnsi="Times New Roman"/>
          <w:sz w:val="20"/>
        </w:rPr>
        <w:t xml:space="preserve"> hereof, as provided in </w:t>
      </w:r>
      <w:r>
        <w:rPr>
          <w:rFonts w:ascii="Times New Roman" w:hAnsi="Times New Roman"/>
          <w:sz w:val="20"/>
          <w:u w:val="single"/>
        </w:rPr>
        <w:t>Section 6.2</w:t>
      </w:r>
      <w:r>
        <w:rPr>
          <w:rFonts w:ascii="Times New Roman" w:hAnsi="Times New Roman"/>
          <w:sz w:val="20"/>
        </w:rPr>
        <w:t xml:space="preserve"> hereof with respect to a Make-Whole Exercise and (ii) in all other scenarios the quotient obtained by dividing (x) the product of the number of Ordinary Shares underlying the Warrants, multiplied by the excess of the </w:t>
      </w:r>
      <w:r>
        <w:rPr>
          <w:rFonts w:ascii="Times New Roman" w:hAnsi="Times New Roman"/>
          <w:b/>
          <w:i/>
          <w:sz w:val="20"/>
        </w:rPr>
        <w:t>Sponsor Exercise Fair Market Value</w:t>
      </w:r>
      <w:r>
        <w:rPr>
          <w:rFonts w:ascii="Times New Roman" w:hAnsi="Times New Roman"/>
          <w:sz w:val="20"/>
        </w:rPr>
        <w:t xml:space="preserve"> (as defined in this </w:t>
      </w:r>
      <w:r>
        <w:rPr>
          <w:rFonts w:ascii="Times New Roman" w:hAnsi="Times New Roman"/>
          <w:sz w:val="20"/>
          <w:u w:val="single"/>
        </w:rPr>
        <w:t>subsection 3.3.1(c)</w:t>
      </w:r>
      <w:r>
        <w:rPr>
          <w:rFonts w:ascii="Times New Roman" w:hAnsi="Times New Roman"/>
          <w:sz w:val="20"/>
        </w:rPr>
        <w:t xml:space="preserve">) less the Warrant Price by (y) the Sponsor Exercise Fair Market Value. Solely for purposes of this </w:t>
      </w:r>
      <w:r>
        <w:rPr>
          <w:rFonts w:ascii="Times New Roman" w:hAnsi="Times New Roman"/>
          <w:sz w:val="20"/>
          <w:u w:val="single"/>
        </w:rPr>
        <w:t>subsection 3.3.1(c)</w:t>
      </w:r>
      <w:r>
        <w:rPr>
          <w:rFonts w:ascii="Times New Roman" w:hAnsi="Times New Roman"/>
          <w:sz w:val="20"/>
        </w:rPr>
        <w:t>, the </w:t>
      </w:r>
      <w:r>
        <w:rPr>
          <w:rFonts w:ascii="Times New Roman" w:hAnsi="Times New Roman"/>
          <w:b/>
          <w:i/>
          <w:sz w:val="20"/>
        </w:rPr>
        <w:t>Sponsor Fair Market Value</w:t>
      </w:r>
      <w:r>
        <w:rPr>
          <w:rFonts w:ascii="Times New Roman" w:hAnsi="Times New Roman"/>
          <w:sz w:val="20"/>
        </w:rPr>
        <w:t xml:space="preserve"> shall mean the average last reported sale price of the Ordinary Shares for the ten (10) trading days ending on the third (3rd) trading day prior to the date on which notice of exercise of the Private Placement Warrant is sent to the Warrant Agent; </w:t>
      </w:r>
    </w:p>
    <w:p>
      <w:pPr>
        <w:pStyle w:val="TextBody"/>
        <w:spacing w:before="240" w:after="0"/>
        <w:jc w:val="left"/>
        <w:rPr>
          <w:rFonts w:ascii="Times New Roman" w:hAnsi="Times New Roman"/>
          <w:sz w:val="20"/>
        </w:rPr>
      </w:pPr>
      <w:r>
        <w:rPr>
          <w:rFonts w:ascii="Times New Roman" w:hAnsi="Times New Roman"/>
          <w:sz w:val="20"/>
        </w:rPr>
        <w:t xml:space="preserve">(d) as provided in </w:t>
      </w:r>
      <w:r>
        <w:rPr>
          <w:rFonts w:ascii="Times New Roman" w:hAnsi="Times New Roman"/>
          <w:sz w:val="20"/>
          <w:u w:val="single"/>
        </w:rPr>
        <w:t>Section 6.2</w:t>
      </w:r>
      <w:r>
        <w:rPr>
          <w:rFonts w:ascii="Times New Roman" w:hAnsi="Times New Roman"/>
          <w:sz w:val="20"/>
        </w:rPr>
        <w:t xml:space="preserve"> hereof with respect to a Make-Whole Exercise; or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(e) as provided in </w:t>
      </w:r>
      <w:r>
        <w:rPr>
          <w:rFonts w:ascii="Times New Roman" w:hAnsi="Times New Roman"/>
          <w:sz w:val="20"/>
          <w:u w:val="single"/>
        </w:rPr>
        <w:t>Section 7.4</w:t>
      </w:r>
      <w:r>
        <w:rPr>
          <w:rFonts w:ascii="Times New Roman" w:hAnsi="Times New Roman"/>
          <w:sz w:val="20"/>
        </w:rPr>
        <w:t xml:space="preserve"> hereof. </w:t>
      </w:r>
    </w:p>
    <w:p>
      <w:pPr>
        <w:pStyle w:val="TextBody"/>
        <w:spacing w:before="240" w:after="0"/>
        <w:jc w:val="left"/>
        <w:rPr>
          <w:rFonts w:ascii="Times New Roman" w:hAnsi="Times New Roman"/>
          <w:sz w:val="20"/>
        </w:rPr>
      </w:pPr>
      <w:r>
        <w:rPr>
          <w:rFonts w:ascii="Times New Roman" w:hAnsi="Times New Roman"/>
          <w:sz w:val="20"/>
        </w:rPr>
        <w:t>3.3.2.</w:t>
      </w:r>
      <w:r>
        <w:rPr>
          <w:rFonts w:ascii="Times New Roman" w:hAnsi="Times New Roman"/>
          <w:sz w:val="20"/>
          <w:u w:val="single"/>
        </w:rPr>
        <w:t xml:space="preserve"> Issuance of Ordinary Shares on Exercise</w:t>
      </w:r>
      <w:r>
        <w:rPr>
          <w:rFonts w:ascii="Times New Roman" w:hAnsi="Times New Roman"/>
          <w:sz w:val="20"/>
        </w:rPr>
        <w:t xml:space="preserve">. As soon as practicable after the exercise of any Warrant and the clearance of the funds in payment of the Warrant Price (if payment is pursuant to </w:t>
      </w:r>
      <w:r>
        <w:rPr>
          <w:rFonts w:ascii="Times New Roman" w:hAnsi="Times New Roman"/>
          <w:sz w:val="20"/>
          <w:u w:val="single"/>
        </w:rPr>
        <w:t>subsection 3.3.1(a)</w:t>
      </w:r>
      <w:r>
        <w:rPr>
          <w:rFonts w:ascii="Times New Roman" w:hAnsi="Times New Roman"/>
          <w:sz w:val="20"/>
        </w:rPr>
        <w:t xml:space="preserve">), the Company shall issue to the Registered Holder of such Warrant a book-entry position or certificate, as applicable, for the number of Ordinary Shares to which he, she or it is entitled, registered in such name or names as may be directed by him, her or it on the register of members of the Company, and if such Warrant shall not have been exercised in full, a new book-entry position or countersigned Warrant, as applicable, for the number of shares as to which such Warrant shall not have been exercised. Notwithstanding the foregoing, the Company shall not be obligated to deliver any Ordinary Shares pursuant to the exercise of a Warrant and shall have no obligation to settle such Warrant exercise unless a registration statement under the Securities Act with respect to the Ordinary Shares underlying the Public Warrants is then effective and a prospectus relating thereto is current, subject to the Companys satisfying its obligations under </w:t>
      </w:r>
      <w:r>
        <w:rPr>
          <w:rFonts w:ascii="Times New Roman" w:hAnsi="Times New Roman"/>
          <w:sz w:val="20"/>
          <w:u w:val="single"/>
        </w:rPr>
        <w:t>Section 7.4</w:t>
      </w:r>
      <w:r>
        <w:rPr>
          <w:rFonts w:ascii="Times New Roman" w:hAnsi="Times New Roman"/>
          <w:sz w:val="20"/>
        </w:rPr>
        <w:t xml:space="preserve"> or a valid exemption from registration is available. No Warrant shall be exercisable and the Company shall not be obligated to issue Ordinary Shares upon exercise of a Warrant unless the Ordinary Shares issuable upon such Warrant exercise have been registered, qualified or deemed to be exempt from registration or qualification under the securities laws of the state of residence of the Registered Holder of the Warrants. Subject to </w:t>
      </w:r>
      <w:r>
        <w:rPr>
          <w:rFonts w:ascii="Times New Roman" w:hAnsi="Times New Roman"/>
          <w:sz w:val="20"/>
          <w:u w:val="single"/>
        </w:rPr>
        <w:t>Section 4.6</w:t>
      </w:r>
      <w:r>
        <w:rPr>
          <w:rFonts w:ascii="Times New Roman" w:hAnsi="Times New Roman"/>
          <w:sz w:val="20"/>
        </w:rPr>
        <w:t xml:space="preserve"> of this Agreement, a Registered Holder of Warrants may exercise its Warrants only for a whole number of Ordinary Shares. The Company may require holders of Public Warrants to settle the Warrant on a cashless basis pursuant to </w:t>
      </w:r>
      <w:r>
        <w:rPr>
          <w:rFonts w:ascii="Times New Roman" w:hAnsi="Times New Roman"/>
          <w:sz w:val="20"/>
          <w:u w:val="single"/>
        </w:rPr>
        <w:t>Section 7.4</w:t>
      </w:r>
      <w:r>
        <w:rPr>
          <w:rFonts w:ascii="Times New Roman" w:hAnsi="Times New Roman"/>
          <w:sz w:val="20"/>
        </w:rPr>
        <w:t xml:space="preserve">. If, by reason of any exercise of Warrants on a cashless basis, the holder of any Warrant would be entitled, upon the exercise of such Warrant, to receive a fractional interest in an Ordinary Share, the Company shall round down to the nearest whole number, the number of Ordinary Shares to be issued to such holder. </w:t>
      </w:r>
    </w:p>
    <w:p>
      <w:pPr>
        <w:pStyle w:val="TextBody"/>
        <w:spacing w:before="240" w:after="0"/>
        <w:jc w:val="left"/>
        <w:rPr>
          <w:rFonts w:ascii="Times New Roman" w:hAnsi="Times New Roman"/>
          <w:sz w:val="20"/>
        </w:rPr>
      </w:pPr>
      <w:r>
        <w:rPr>
          <w:rFonts w:ascii="Times New Roman" w:hAnsi="Times New Roman"/>
          <w:sz w:val="20"/>
        </w:rPr>
        <w:t xml:space="preserve">3.3.3. </w:t>
      </w:r>
      <w:r>
        <w:rPr>
          <w:rFonts w:ascii="Times New Roman" w:hAnsi="Times New Roman"/>
          <w:sz w:val="20"/>
          <w:u w:val="single"/>
        </w:rPr>
        <w:t>Valid Issuance</w:t>
      </w:r>
      <w:r>
        <w:rPr>
          <w:rFonts w:ascii="Times New Roman" w:hAnsi="Times New Roman"/>
          <w:sz w:val="20"/>
        </w:rPr>
        <w:t xml:space="preserve">. All Ordinary Shares issued upon the proper exercise of a Warrant in conformity with this Agreement and the amended and restated memorandum and articles of association of the Company shall be validly issued, fully paid and nonassessable. </w:t>
      </w:r>
    </w:p>
    <w:p>
      <w:pPr>
        <w:pStyle w:val="TextBody"/>
        <w:spacing w:before="240" w:after="0"/>
        <w:jc w:val="left"/>
        <w:rPr>
          <w:rFonts w:ascii="Times New Roman" w:hAnsi="Times New Roman"/>
          <w:sz w:val="20"/>
        </w:rPr>
      </w:pPr>
      <w:r>
        <w:rPr>
          <w:rFonts w:ascii="Times New Roman" w:hAnsi="Times New Roman"/>
          <w:sz w:val="20"/>
        </w:rPr>
        <w:t xml:space="preserve">3.3.4. </w:t>
      </w:r>
      <w:r>
        <w:rPr>
          <w:rFonts w:ascii="Times New Roman" w:hAnsi="Times New Roman"/>
          <w:sz w:val="20"/>
          <w:u w:val="single"/>
        </w:rPr>
        <w:t>Date of Issuance</w:t>
      </w:r>
      <w:r>
        <w:rPr>
          <w:rFonts w:ascii="Times New Roman" w:hAnsi="Times New Roman"/>
          <w:sz w:val="20"/>
        </w:rPr>
        <w:t xml:space="preserve">. Each person in whose name any book-entry position or certificate, as applicable, for Ordinary Shares is issued and who is registered in the register of members of the Company shall for all purposes be deemed to have become the holder of record of such Ordinary Shares on the date on which the Warrant, or book-entry position representing such Warrant, was surrendered and payment of the Warrant Price was made, irrespective of the date of delivery of such certificate in the case of a certificated Warrant, except that, if the date of such surrender and payment is a date when the register of members of the Company or book-entry system of the Warrant Agent are closed, such person shall be deemed to have become the holder of such shares at the close of business on the next succeeding date on which the share transfer books or book-entry system are open. </w:t>
      </w:r>
    </w:p>
    <w:p>
      <w:pPr>
        <w:pStyle w:val="TextBody"/>
        <w:spacing w:before="240" w:after="0"/>
        <w:jc w:val="left"/>
        <w:rPr>
          <w:rFonts w:ascii="Times New Roman" w:hAnsi="Times New Roman"/>
          <w:sz w:val="20"/>
        </w:rPr>
      </w:pPr>
      <w:r>
        <w:rPr>
          <w:rFonts w:ascii="Times New Roman" w:hAnsi="Times New Roman"/>
          <w:sz w:val="20"/>
        </w:rPr>
        <w:t xml:space="preserve">3.3.5. </w:t>
      </w:r>
      <w:r>
        <w:rPr>
          <w:rFonts w:ascii="Times New Roman" w:hAnsi="Times New Roman"/>
          <w:sz w:val="20"/>
          <w:u w:val="single"/>
        </w:rPr>
        <w:t>Maximum Percentage</w:t>
      </w:r>
      <w:r>
        <w:rPr>
          <w:rFonts w:ascii="Times New Roman" w:hAnsi="Times New Roman"/>
          <w:sz w:val="20"/>
        </w:rPr>
        <w:t xml:space="preserve">. A holder of a Warrant may notify the Company in writing in the event it elects to be subject to the provisions contained in this </w:t>
      </w:r>
      <w:r>
        <w:rPr>
          <w:rFonts w:ascii="Times New Roman" w:hAnsi="Times New Roman"/>
          <w:sz w:val="20"/>
          <w:u w:val="single"/>
        </w:rPr>
        <w:t>subsection 3.3.5</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no holder of a Warrant shall be subject to this </w:t>
      </w:r>
      <w:r>
        <w:rPr>
          <w:rFonts w:ascii="Times New Roman" w:hAnsi="Times New Roman"/>
          <w:sz w:val="20"/>
          <w:u w:val="single"/>
        </w:rPr>
        <w:t>subsection 3.3.5</w:t>
      </w:r>
      <w:r>
        <w:rPr>
          <w:rFonts w:ascii="Times New Roman" w:hAnsi="Times New Roman"/>
          <w:sz w:val="20"/>
        </w:rPr>
        <w:t xml:space="preserve"> unless he, she or it makes such election. If the election is made by a holder, the Warrant Agent shall not effect the exercise of the holders Warrant, and such holder shall not have the right to exercise such Warrant, to the extent that after giving effect to such exercise, such person (together with such persons affiliates), to the Warrant Agents actual knowledge, would beneficially own in excess of 9.8% (the </w:t>
      </w:r>
      <w:r>
        <w:rPr>
          <w:rFonts w:ascii="Times New Roman" w:hAnsi="Times New Roman"/>
          <w:b/>
          <w:i/>
          <w:sz w:val="20"/>
        </w:rPr>
        <w:t>Maximum Percentage</w:t>
      </w:r>
      <w:r>
        <w:rPr>
          <w:rFonts w:ascii="Times New Roman" w:hAnsi="Times New Roman"/>
          <w:sz w:val="20"/>
        </w:rPr>
        <w:t>) of the Ordinary Shares outstanding immediately after giving effect to such exercise. For purposes of the foregoing sentence, the aggregate number of Ordinary Shares beneficially owned by such person and its affiliates shall include the number of Ordinary Shares issuable upon exercise of the Warrant with respect to which the determination of such sentence is being made, but shall exclude Ordinary Shares that would be issuable upon (x) exercise of the remaining, unexercised portion of the Warrant beneficially owned by such person and its affiliates and (y) exercise or conversion of the unexercised or unconverted portion of any other securities of the Company beneficially owned by such person and its affiliates (including, without limitation, any convertible notes or convertible preferred shares or warrants) subject to a limitation on conversion or exercise analogous to the limitation contained herein. Except as set forth in the preceding sentence, for purposes of this paragraph, beneficial ownership shall be calculated in accordance with Section 13(d) of the Securities Exchange Act of 1934, as amended (the </w:t>
      </w:r>
      <w:r>
        <w:rPr>
          <w:rFonts w:ascii="Times New Roman" w:hAnsi="Times New Roman"/>
          <w:b/>
          <w:i/>
          <w:sz w:val="20"/>
        </w:rPr>
        <w:t>Exchange Act</w:t>
      </w:r>
      <w:r>
        <w:rPr>
          <w:rFonts w:ascii="Times New Roman" w:hAnsi="Times New Roman"/>
          <w:sz w:val="20"/>
        </w:rPr>
        <w:t>). For purposes of the Warrant, in determining the number of outstanding Ordinary Shares, the holder may rely on the number of outstanding Ordinary Shares as reflected in (1) the Companys most recent Annual Report on Form 10-K, Quarterly Report on Form 10-Q, Current Report on Form 8-K or other public filing with the Commission as the case may be, (2) a more recent public announcement by the Company or (3) any other notice by the Company or Continental Stock Transfer &amp; Trust Company, as transfer agent (in such capacity, the </w:t>
      </w:r>
      <w:r>
        <w:rPr>
          <w:rFonts w:ascii="Times New Roman" w:hAnsi="Times New Roman"/>
          <w:b/>
          <w:i/>
          <w:sz w:val="20"/>
        </w:rPr>
        <w:t>Transfer Agent</w:t>
      </w:r>
      <w:r>
        <w:rPr>
          <w:rFonts w:ascii="Times New Roman" w:hAnsi="Times New Roman"/>
          <w:sz w:val="20"/>
        </w:rPr>
        <w:t xml:space="preserve">), setting forth the number of Ordinary Shares outstanding. For any reason at any time, upon the written request of the holder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of the Warrant, the Company shall, within two (2) Business Days, confirm orally and in writing to such holder the number of Ordinary Shares then outstanding. In any case, the number of issued and outstanding Ordinary Shares shall be determined after giving effect to the conversion or exercise of equity securities of the Company by the holder and its affiliates since the date as of which such number of issued and outstanding Ordinary Shares was reported. By written notice to the Company, the holder of a Warrant may from time to time increase or decrease the Maximum Percentage applicable to such holder to any other percentage specified in such notice;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any such increase shall not be effective until the sixty-first (61st) day after such notice is delivered to the Company. </w:t>
      </w:r>
    </w:p>
    <w:p>
      <w:pPr>
        <w:pStyle w:val="TextBody"/>
        <w:spacing w:before="36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Adjustments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4.1. </w:t>
      </w:r>
      <w:r>
        <w:rPr>
          <w:rFonts w:ascii="Times New Roman" w:hAnsi="Times New Roman"/>
          <w:sz w:val="20"/>
          <w:u w:val="single"/>
        </w:rPr>
        <w:t>Share Capitalizations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4.1.1. </w:t>
      </w:r>
      <w:r>
        <w:rPr>
          <w:rFonts w:ascii="Times New Roman" w:hAnsi="Times New Roman"/>
          <w:sz w:val="20"/>
          <w:u w:val="single"/>
        </w:rPr>
        <w:t>Sub-Divisions</w:t>
      </w:r>
      <w:r>
        <w:rPr>
          <w:rFonts w:ascii="Times New Roman" w:hAnsi="Times New Roman"/>
          <w:sz w:val="20"/>
        </w:rPr>
        <w:t xml:space="preserve">. If after the date hereof, and subject to the provisions of </w:t>
      </w:r>
      <w:r>
        <w:rPr>
          <w:rFonts w:ascii="Times New Roman" w:hAnsi="Times New Roman"/>
          <w:sz w:val="20"/>
          <w:u w:val="single"/>
        </w:rPr>
        <w:t>Section 4.6</w:t>
      </w:r>
      <w:r>
        <w:rPr>
          <w:rFonts w:ascii="Times New Roman" w:hAnsi="Times New Roman"/>
          <w:sz w:val="20"/>
        </w:rPr>
        <w:t xml:space="preserve"> below, the number of issued and outstanding Ordinary Shares is increased by a capitalization or share dividend of Ordinary Shares, or by a sub-division of Ordinary Shares or other similar event, then, on the effective date of such share capitalization, sub-division or similar event, the number of Ordinary Shares issuable on exercise of each Warrant shall be increased in proportion to such increase in the issued and outstanding Ordinary Shares. A rights offering made to all or substantially all holders of Ordinary Shares entitling holders to purchase Ordinary Shares at a price less than the Historical Fair Market Value (as defined below) shall be deemed a capitalization of a number of Ordinary Shares equal to the product of (i) the number of Ordinary Shares actually sold in such rights offering (or issuable under any other equity securities sold in such rights offering that are convertible into or exercisable for the Ordinary Shares) multiplied by (ii) one (1) minus the quotient of (x) the price per Ordinary Share paid in such rights offering divided by (y) the Historical Fair Market Value. For purposes of this </w:t>
      </w:r>
      <w:r>
        <w:rPr>
          <w:rFonts w:ascii="Times New Roman" w:hAnsi="Times New Roman"/>
          <w:sz w:val="20"/>
          <w:u w:val="single"/>
        </w:rPr>
        <w:t>subsection 4.1.1</w:t>
      </w:r>
      <w:r>
        <w:rPr>
          <w:rFonts w:ascii="Times New Roman" w:hAnsi="Times New Roman"/>
          <w:sz w:val="20"/>
        </w:rPr>
        <w:t>, (i) if the rights offering is for securities convertible into or exercisable for Ordinary Shares, in determining the price payable for Ordinary Shares, there shall be taken into account any consideration received for such rights, as well as any additional amount payable upon exercise or conversion and (ii) </w:t>
      </w:r>
      <w:r>
        <w:rPr>
          <w:rFonts w:ascii="Times New Roman" w:hAnsi="Times New Roman"/>
          <w:b/>
          <w:i/>
          <w:sz w:val="20"/>
        </w:rPr>
        <w:t>Historical Fair Market Value</w:t>
      </w:r>
      <w:r>
        <w:rPr>
          <w:rFonts w:ascii="Times New Roman" w:hAnsi="Times New Roman"/>
          <w:sz w:val="20"/>
        </w:rPr>
        <w:t xml:space="preserve"> means the volume weighted average price of the Ordinary Shares during the ten (10) trading day period ending on the trading day prior to the first date on which the Ordinary Shares trade on the applicable exchange or in the applicable market, regular way, without the right to receive such rights. No Ordinary Shares shall be issued at less than their par value. </w:t>
      </w:r>
    </w:p>
    <w:p>
      <w:pPr>
        <w:pStyle w:val="TextBody"/>
        <w:spacing w:before="240" w:after="0"/>
        <w:jc w:val="left"/>
        <w:rPr>
          <w:rFonts w:ascii="Times New Roman" w:hAnsi="Times New Roman"/>
          <w:sz w:val="20"/>
        </w:rPr>
      </w:pPr>
      <w:r>
        <w:rPr>
          <w:rFonts w:ascii="Times New Roman" w:hAnsi="Times New Roman"/>
          <w:sz w:val="20"/>
        </w:rPr>
        <w:t xml:space="preserve">4.1.2. </w:t>
      </w:r>
      <w:r>
        <w:rPr>
          <w:rFonts w:ascii="Times New Roman" w:hAnsi="Times New Roman"/>
          <w:sz w:val="20"/>
          <w:u w:val="single"/>
        </w:rPr>
        <w:t>Extraordinary Dividends</w:t>
      </w:r>
      <w:r>
        <w:rPr>
          <w:rFonts w:ascii="Times New Roman" w:hAnsi="Times New Roman"/>
          <w:sz w:val="20"/>
        </w:rPr>
        <w:t xml:space="preserve">. If the Company, at any time while the Warrants are outstanding and unexpired, pays to all or substantially all of the holders of the Ordinary Shares a dividend or make a distribution in cash, securities or other assets on account of such Ordinary Shares (or other shares into which the Warrants are convertible), other than (a) as described in </w:t>
      </w:r>
      <w:r>
        <w:rPr>
          <w:rFonts w:ascii="Times New Roman" w:hAnsi="Times New Roman"/>
          <w:sz w:val="20"/>
          <w:u w:val="single"/>
        </w:rPr>
        <w:t>subsection 4.1.1</w:t>
      </w:r>
      <w:r>
        <w:rPr>
          <w:rFonts w:ascii="Times New Roman" w:hAnsi="Times New Roman"/>
          <w:sz w:val="20"/>
        </w:rPr>
        <w:t xml:space="preserve"> above, (b) Ordinary Cash Dividends (as defined below), (c) to satisfy the redemption rights of the holders of the Ordinary Shares in connection with a proposed initial Business Combination, (d) to satisfy the redemption rights of the holders of the Ordinary Shares in connection with a shareholder vote to amend the Companys amended and restated memorandum and articles of association (i) to modify the substance or timing of the Companys obligation to provide holders of Ordinary Shares the right to have their shares redeemed in connection with the Companys initial Business Combination or to redeem 100% of the Companys public shares if it does not complete its initial Business Combination within the time period required by the Companys Amended and Restated Memorandum and Articles of Association, as amended from time to time, or (ii) with respect to any other provision relating to the rights of holders of Ordinary Shares, (e) as a result of the repurchase of Ordinary Shares by the Company if a proposed initial Business Combination is presented to the shareholders of the Company for approval or (f) in connection with the redemption of public shares upon the failure of the Company to complete its initial Business Combination and any subsequent distribution of its assets upon its liquidation (any such non-excluded event being referred to herein as an </w:t>
      </w:r>
      <w:r>
        <w:rPr>
          <w:rFonts w:ascii="Times New Roman" w:hAnsi="Times New Roman"/>
          <w:b/>
          <w:i/>
          <w:sz w:val="20"/>
        </w:rPr>
        <w:t>Extraordinary Dividend</w:t>
      </w:r>
      <w:r>
        <w:rPr>
          <w:rFonts w:ascii="Times New Roman" w:hAnsi="Times New Roman"/>
          <w:sz w:val="20"/>
        </w:rPr>
        <w:t>), then the Warrant Price shall be decreased, effective immediately after the effective date of such Extraordinary Dividend, by the amount of cash and/or the fair market value (as determined by the Companys board of directors (the </w:t>
      </w:r>
      <w:r>
        <w:rPr>
          <w:rFonts w:ascii="Times New Roman" w:hAnsi="Times New Roman"/>
          <w:b/>
          <w:i/>
          <w:sz w:val="20"/>
        </w:rPr>
        <w:t>Board</w:t>
      </w:r>
      <w:r>
        <w:rPr>
          <w:rFonts w:ascii="Times New Roman" w:hAnsi="Times New Roman"/>
          <w:sz w:val="20"/>
        </w:rPr>
        <w:t xml:space="preserve">), in good faith) of any securities or other assets paid on each Ordinary Share in respect of such Extraordinary Dividend. For purposes of this </w:t>
      </w:r>
      <w:r>
        <w:rPr>
          <w:rFonts w:ascii="Times New Roman" w:hAnsi="Times New Roman"/>
          <w:sz w:val="20"/>
          <w:u w:val="single"/>
        </w:rPr>
        <w:t>subsection 4.1.2</w:t>
      </w:r>
      <w:r>
        <w:rPr>
          <w:rFonts w:ascii="Times New Roman" w:hAnsi="Times New Roman"/>
          <w:sz w:val="20"/>
        </w:rPr>
        <w:t>, </w:t>
      </w:r>
      <w:r>
        <w:rPr>
          <w:rFonts w:ascii="Times New Roman" w:hAnsi="Times New Roman"/>
          <w:b/>
          <w:i/>
          <w:sz w:val="20"/>
        </w:rPr>
        <w:t>Ordinary Cash Dividends</w:t>
      </w:r>
      <w:r>
        <w:rPr>
          <w:rFonts w:ascii="Times New Roman" w:hAnsi="Times New Roman"/>
          <w:sz w:val="20"/>
        </w:rPr>
        <w:t xml:space="preserve"> means any cash dividend or cash distribution which, when combined on a per share basis, with the per share amounts of all other cash dividends and cash distributions paid on the Ordinary Shares during the 365-day period ending on the date of declaration of such dividend or distribution to the extent it does not exceed $0.50 (which amount shall be adjusted to appropriately reflect any of the events referred to in other subsections of this </w:t>
      </w:r>
      <w:r>
        <w:rPr>
          <w:rFonts w:ascii="Times New Roman" w:hAnsi="Times New Roman"/>
          <w:sz w:val="20"/>
          <w:u w:val="single"/>
        </w:rPr>
        <w:t>Section 4</w:t>
      </w:r>
      <w:r>
        <w:rPr>
          <w:rFonts w:ascii="Times New Roman" w:hAnsi="Times New Roman"/>
          <w:sz w:val="20"/>
        </w:rPr>
        <w:t xml:space="preserve"> and excluding cash dividends or cash distributions that resulted in an adjustment to the Warrant Price or to the number of Ordinary Shares issuable on exercise of each Warrant).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4.2. </w:t>
      </w:r>
      <w:r>
        <w:rPr>
          <w:rFonts w:ascii="Times New Roman" w:hAnsi="Times New Roman"/>
          <w:sz w:val="20"/>
          <w:u w:val="single"/>
        </w:rPr>
        <w:t>Aggregation of Shares</w:t>
      </w:r>
      <w:r>
        <w:rPr>
          <w:rFonts w:ascii="Times New Roman" w:hAnsi="Times New Roman"/>
          <w:sz w:val="20"/>
        </w:rPr>
        <w:t xml:space="preserve">. If after the date hereof, and subject to the provisions of </w:t>
      </w:r>
      <w:r>
        <w:rPr>
          <w:rFonts w:ascii="Times New Roman" w:hAnsi="Times New Roman"/>
          <w:sz w:val="20"/>
          <w:u w:val="single"/>
        </w:rPr>
        <w:t>Section 4.6</w:t>
      </w:r>
      <w:r>
        <w:rPr>
          <w:rFonts w:ascii="Times New Roman" w:hAnsi="Times New Roman"/>
          <w:sz w:val="20"/>
        </w:rPr>
        <w:t xml:space="preserve"> hereof, the number of issued and outstanding Ordinary Shares is decreased by a consolidation, combination, or reclassification of Ordinary Shares or other similar event, then, on the effective date of such consolidation, combination, reclassification or similar event, the number of Ordinary Shares issuable on exercise of each Warrant shall be decreased in proportion to such decrease in issued and outstanding Ordinary Shares. </w:t>
      </w:r>
    </w:p>
    <w:p>
      <w:pPr>
        <w:pStyle w:val="TextBody"/>
        <w:spacing w:before="240" w:after="0"/>
        <w:jc w:val="left"/>
        <w:rPr>
          <w:rFonts w:ascii="Times New Roman" w:hAnsi="Times New Roman"/>
          <w:sz w:val="20"/>
        </w:rPr>
      </w:pPr>
      <w:r>
        <w:rPr>
          <w:rFonts w:ascii="Times New Roman" w:hAnsi="Times New Roman"/>
          <w:sz w:val="20"/>
        </w:rPr>
        <w:t xml:space="preserve">4.3. </w:t>
      </w:r>
      <w:r>
        <w:rPr>
          <w:rFonts w:ascii="Times New Roman" w:hAnsi="Times New Roman"/>
          <w:sz w:val="20"/>
          <w:u w:val="single"/>
        </w:rPr>
        <w:t>Adjustments in Exercise Price</w:t>
      </w:r>
      <w:r>
        <w:rPr>
          <w:rFonts w:ascii="Times New Roman" w:hAnsi="Times New Roman"/>
          <w:sz w:val="20"/>
        </w:rPr>
        <w:t xml:space="preserve">. Whenever the number of Ordinary Shares purchasable upon the exercise of the Warrants is adjusted, as provided in </w:t>
      </w:r>
      <w:r>
        <w:rPr>
          <w:rFonts w:ascii="Times New Roman" w:hAnsi="Times New Roman"/>
          <w:sz w:val="20"/>
          <w:u w:val="single"/>
        </w:rPr>
        <w:t>subsection 4.1.1</w:t>
      </w:r>
      <w:r>
        <w:rPr>
          <w:rFonts w:ascii="Times New Roman" w:hAnsi="Times New Roman"/>
          <w:sz w:val="20"/>
        </w:rPr>
        <w:t xml:space="preserve"> or </w:t>
      </w:r>
      <w:r>
        <w:rPr>
          <w:rFonts w:ascii="Times New Roman" w:hAnsi="Times New Roman"/>
          <w:sz w:val="20"/>
          <w:u w:val="single"/>
        </w:rPr>
        <w:t>Section 4.2</w:t>
      </w:r>
      <w:r>
        <w:rPr>
          <w:rFonts w:ascii="Times New Roman" w:hAnsi="Times New Roman"/>
          <w:sz w:val="20"/>
        </w:rPr>
        <w:t xml:space="preserve"> above, the Warrant Price shall be adjusted (to the nearest cent) by multiplying such Warrant Price immediately prior to such adjustment by a fraction (x) the numerator of which shall be the number of Ordinary Shares purchasable upon the exercise of the Warrants immediately prior to such adjustment, and (y) the denominator of which shall be the number of Ordinary Shares so purchasable immediately thereafter. </w:t>
      </w:r>
    </w:p>
    <w:p>
      <w:pPr>
        <w:pStyle w:val="TextBody"/>
        <w:spacing w:before="240" w:after="0"/>
        <w:jc w:val="left"/>
        <w:rPr>
          <w:rFonts w:ascii="Times New Roman" w:hAnsi="Times New Roman"/>
          <w:sz w:val="20"/>
        </w:rPr>
      </w:pPr>
      <w:r>
        <w:rPr>
          <w:rFonts w:ascii="Times New Roman" w:hAnsi="Times New Roman"/>
          <w:sz w:val="20"/>
        </w:rPr>
        <w:t xml:space="preserve">4.4. </w:t>
      </w:r>
      <w:r>
        <w:rPr>
          <w:rFonts w:ascii="Times New Roman" w:hAnsi="Times New Roman"/>
          <w:sz w:val="20"/>
          <w:u w:val="single"/>
        </w:rPr>
        <w:t>Raising of the Capital in Connection with the Initial Business Combination</w:t>
      </w:r>
      <w:r>
        <w:rPr>
          <w:rFonts w:ascii="Times New Roman" w:hAnsi="Times New Roman"/>
          <w:sz w:val="20"/>
        </w:rPr>
        <w:t>. If (x) the Company issues additional Ordinary Shares or equity-linked securities for capital raising purposes in connection with the closing of its initial Business Combination at an issue price or effective issue price of less than $9.20 per Ordinary Share (with such issue price or effective issue price to be determined in good faith by the Board and, in the case of any such issuance to the Sponsor or its affiliates, without taking into account any Class B ordinary shares, par value $0.0001 per share, of the Company held by the Sponsor or such affiliates, as applicable, prior to such issuance) (the </w:t>
      </w:r>
      <w:r>
        <w:rPr>
          <w:rFonts w:ascii="Times New Roman" w:hAnsi="Times New Roman"/>
          <w:b/>
          <w:i/>
          <w:sz w:val="20"/>
        </w:rPr>
        <w:t>Newly Issued Price</w:t>
      </w:r>
      <w:r>
        <w:rPr>
          <w:rFonts w:ascii="Times New Roman" w:hAnsi="Times New Roman"/>
          <w:sz w:val="20"/>
        </w:rPr>
        <w:t>), (y) the aggregate gross proceeds from such issuances represent more than 60% of the total equity proceeds, and interest thereon, available for the funding of the Companys initial Business Combination on the date of the completion of the Companys initial Business Combination (net of redemptions), and (z) the volume-weighted average trading price of Ordinary Shares during the twenty (20) trading day period starting on the trading day prior to the day on which the Company consummates its initial Business Combination (such price, the </w:t>
      </w:r>
      <w:r>
        <w:rPr>
          <w:rFonts w:ascii="Times New Roman" w:hAnsi="Times New Roman"/>
          <w:b/>
          <w:i/>
          <w:sz w:val="20"/>
        </w:rPr>
        <w:t>Market Value</w:t>
      </w:r>
      <w:r>
        <w:rPr>
          <w:rFonts w:ascii="Times New Roman" w:hAnsi="Times New Roman"/>
          <w:sz w:val="20"/>
        </w:rPr>
        <w:t xml:space="preserve">) is below $9.20 per share, the Warrant Price shall be adjusted (to the nearest cent) to be equal to 115% of the higher of the Market Value and the Newly Issued Price, the $18.00 per share redemption trigger price described in </w:t>
      </w:r>
      <w:r>
        <w:rPr>
          <w:rFonts w:ascii="Times New Roman" w:hAnsi="Times New Roman"/>
          <w:sz w:val="20"/>
          <w:u w:val="single"/>
        </w:rPr>
        <w:t>Section 6.1</w:t>
      </w:r>
      <w:r>
        <w:rPr>
          <w:rFonts w:ascii="Times New Roman" w:hAnsi="Times New Roman"/>
          <w:sz w:val="20"/>
        </w:rPr>
        <w:t xml:space="preserve"> and </w:t>
      </w:r>
      <w:r>
        <w:rPr>
          <w:rFonts w:ascii="Times New Roman" w:hAnsi="Times New Roman"/>
          <w:sz w:val="20"/>
          <w:u w:val="single"/>
        </w:rPr>
        <w:t>Section 6.2</w:t>
      </w:r>
      <w:r>
        <w:rPr>
          <w:rFonts w:ascii="Times New Roman" w:hAnsi="Times New Roman"/>
          <w:sz w:val="20"/>
        </w:rPr>
        <w:t xml:space="preserve"> shall be adjusted (to the nearest cent) to be equal to 180% of the higher of the Market Value and the Newly Issued Price and the $10.00 per share redemption trigger price described in Section 6.2 shall be adjusted (to the nearest cent) to be equal to the higher of the Market Value and the Newly Issued Price. </w:t>
      </w:r>
    </w:p>
    <w:p>
      <w:pPr>
        <w:pStyle w:val="TextBody"/>
        <w:spacing w:before="240" w:after="0"/>
        <w:jc w:val="left"/>
        <w:rPr>
          <w:rFonts w:ascii="Times New Roman" w:hAnsi="Times New Roman"/>
          <w:sz w:val="20"/>
        </w:rPr>
      </w:pPr>
      <w:r>
        <w:rPr>
          <w:rFonts w:ascii="Times New Roman" w:hAnsi="Times New Roman"/>
          <w:sz w:val="20"/>
        </w:rPr>
        <w:t xml:space="preserve">4.5. </w:t>
      </w:r>
      <w:r>
        <w:rPr>
          <w:rFonts w:ascii="Times New Roman" w:hAnsi="Times New Roman"/>
          <w:sz w:val="20"/>
          <w:u w:val="single"/>
        </w:rPr>
        <w:t>Replacement of Securities upon Reorganization, etc</w:t>
      </w:r>
      <w:r>
        <w:rPr>
          <w:rFonts w:ascii="Times New Roman" w:hAnsi="Times New Roman"/>
          <w:sz w:val="20"/>
        </w:rPr>
        <w:t xml:space="preserve">. In case of any reclassification or reorganization of the issued and outstanding Ordinary Shares (other than a change under </w:t>
      </w:r>
      <w:r>
        <w:rPr>
          <w:rFonts w:ascii="Times New Roman" w:hAnsi="Times New Roman"/>
          <w:sz w:val="20"/>
          <w:u w:val="single"/>
        </w:rPr>
        <w:t>Section 4.1</w:t>
      </w:r>
      <w:r>
        <w:rPr>
          <w:rFonts w:ascii="Times New Roman" w:hAnsi="Times New Roman"/>
          <w:sz w:val="20"/>
        </w:rPr>
        <w:t xml:space="preserve"> or </w:t>
      </w:r>
      <w:r>
        <w:rPr>
          <w:rFonts w:ascii="Times New Roman" w:hAnsi="Times New Roman"/>
          <w:sz w:val="20"/>
          <w:u w:val="single"/>
        </w:rPr>
        <w:t>Section 4.2</w:t>
      </w:r>
      <w:r>
        <w:rPr>
          <w:rFonts w:ascii="Times New Roman" w:hAnsi="Times New Roman"/>
          <w:sz w:val="20"/>
        </w:rPr>
        <w:t xml:space="preserve"> hereof or that solely affects the par value of such Ordinary Shares), or in the case of any merger or consolidation of the Company with or into another corporation (other than a consolidation or merger in which the Company is the continuing corporation and that does not result in any reclassification or reorganization of the issued and outstanding Ordinary Shares), or in the case of any sale or conveyance to another corporation or entity of the assets or other property of the Company as an entirety or substantially as an entirety in connection with which the Company is dissolved, the holders of the Warrants shall thereafter have the right to purchase and receive, upon the basis and upon the terms and conditions specified in the Warrants and in lieu of the Ordinary Shares of the Company immediately theretofore purchasable and receivable upon the exercise of the rights represented thereby, the kind and amount of shares or stock or other securities or property (including cash) receivable upon such reclassification, reorganization, merger or consolidation, or upon a dissolution following any such sale or transfer, that the holder of the Warrants would have received if such holder had exercised his, her or its Warrant(s) immediately prior to such event (the </w:t>
      </w:r>
      <w:r>
        <w:rPr>
          <w:rFonts w:ascii="Times New Roman" w:hAnsi="Times New Roman"/>
          <w:b/>
          <w:i/>
          <w:sz w:val="20"/>
        </w:rPr>
        <w:t>Alternative Issuance</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 if the holders of the Ordinary Shares were entitled to exercise a right of election as to the kind or amount of securities, cash or other assets receivable upon such consolidation or merger, then the kind and amount of securities, cash or other assets constituting the Alternative Issuance for which each Warrant shall become exercisable shall be deemed to be the weighted average of the kind and amount received per share by the holders of the Ordinary Shares in such consolidation or merger that affirmatively make such election, and (ii) if a tender, exchange or redemption offer shall have been made to and accepted by the holders of the Ordinary Shares (other than a tender, exchange or redemption offer made by the Company in connection with redemption rights held by shareholders of the Company as provided for in the Companys amended and restated memorandum and articles of association or as a result of the repurchase of Ordinary Shares by the Company if a proposed initial Business Combination is presented to the shareholders of the Company for approval) under circumstances in which, upon completion of such tender or exchange offer, the maker thereof, together with members of any group (within the meaning of Rule 13d-5(b)(1) under the Exchange Act) of which such maker is a part, and together with any affiliate or associate of such maker (within the meaning of Rule 12b-2 under the Exchange Act) and any members of any such group of which any such affiliate or associate is a part, own beneficially (within the meaning of Rule 13d-3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under the Exchange Act) more than 50% of the issued and outstanding Ordinary Shares, the holder of a Warrant shall be entitled to receive as the Alternative Issuance, the highest amount of cash, securities or other property to which such holder would actually have been entitled as a shareholder if such Warrant holder had exercised the Warrant prior to the expiration of such tender or exchange offer, accepted such offer and all of the Ordinary Shares held by such holder had been purchased pursuant to such tender or exchange offer, subject to adjustments (from and after the consummation of such tender or exchange offer) as nearly equivalent as possible to the adjustments provided for in this </w:t>
      </w:r>
      <w:r>
        <w:rPr>
          <w:rFonts w:ascii="Times New Roman" w:hAnsi="Times New Roman"/>
          <w:sz w:val="20"/>
          <w:u w:val="single"/>
        </w:rPr>
        <w:t>Section 4</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if less than 70% of the consideration receivable by the holders of the Ordinary Shares in the applicable event is payable in the form of shares in the successor entity that is listed for trading on a national securities exchange or is quoted in an established over-the-counter market, or is to be so listed for trading or quoted immediately following such event, and if the Registered Holder properly exercises the Warrant within thirty (30) days following the public disclosure of the consummation of such applicable event by the Company pursuant to a Current Report on Form 8-K filed with the Commission, the Warrant Price shall be reduced by an amount (in dollars) equal to the difference of (i) the Warrant Price in effect prior to such reduction minus (ii) (A) the Per Share Consideration (as defined below) (but in no event less than zero) minus (B) the Black-Scholes Warrant Value (as defined below). The </w:t>
      </w:r>
      <w:r>
        <w:rPr>
          <w:rFonts w:ascii="Times New Roman" w:hAnsi="Times New Roman"/>
          <w:b/>
          <w:i/>
          <w:sz w:val="20"/>
        </w:rPr>
        <w:t>Black-Scholes Warrant Value</w:t>
      </w:r>
      <w:r>
        <w:rPr>
          <w:rFonts w:ascii="Times New Roman" w:hAnsi="Times New Roman"/>
          <w:sz w:val="20"/>
        </w:rPr>
        <w:t> means the value of a Warrant immediately prior to the consummation of the applicable event based on the Black-Scholes Warrant Model for a Capped American Call on Bloomberg Financial Markets (assuming zero dividends) (</w:t>
      </w:r>
      <w:r>
        <w:rPr>
          <w:rFonts w:ascii="Times New Roman" w:hAnsi="Times New Roman"/>
          <w:b/>
          <w:i/>
          <w:sz w:val="20"/>
        </w:rPr>
        <w:t>Bloomberg</w:t>
      </w:r>
      <w:r>
        <w:rPr>
          <w:rFonts w:ascii="Times New Roman" w:hAnsi="Times New Roman"/>
          <w:sz w:val="20"/>
        </w:rPr>
        <w:t>). For purposes of calculating such amount, (i) </w:t>
      </w:r>
      <w:r>
        <w:rPr>
          <w:rFonts w:ascii="Times New Roman" w:hAnsi="Times New Roman"/>
          <w:sz w:val="20"/>
          <w:u w:val="single"/>
        </w:rPr>
        <w:t>Section 6</w:t>
      </w:r>
      <w:r>
        <w:rPr>
          <w:rFonts w:ascii="Times New Roman" w:hAnsi="Times New Roman"/>
          <w:sz w:val="20"/>
        </w:rPr>
        <w:t xml:space="preserve"> of this Agreement shall be taken into account, (ii) the price of each Ordinary Share shall be the volume weighted average price of the Ordinary Shares during the ten (10) trading day period ending on the trading day prior to the effective date of the applicable event, (iii) the assumed volatility shall be the 90 day volatility obtained from the HVT function on Bloomberg determined as of the trading day immediately prior to the day of the announcement of the applicable event and (iv) the assumed risk-free interest rate shall correspond to the U.S. Treasury rate for a period equal to the remaining term of the Warrant. </w:t>
      </w:r>
      <w:r>
        <w:rPr>
          <w:rFonts w:ascii="Times New Roman" w:hAnsi="Times New Roman"/>
          <w:b/>
          <w:i/>
          <w:sz w:val="20"/>
        </w:rPr>
        <w:t>Per Share Consideration</w:t>
      </w:r>
      <w:r>
        <w:rPr>
          <w:rFonts w:ascii="Times New Roman" w:hAnsi="Times New Roman"/>
          <w:sz w:val="20"/>
        </w:rPr>
        <w:t xml:space="preserve"> means (i) if the consideration paid to holders of the Ordinary Shares consists exclusively of cash, the amount of such cash per Ordinary Share, and (ii) in all other cases, the volume weighted average price of the Ordinary Shares during the ten (10) trading day period ending on the trading day prior to the effective date of the applicable event. If any reclassification or reorganization also results in a change in Ordinary Shares covered by </w:t>
      </w:r>
      <w:r>
        <w:rPr>
          <w:rFonts w:ascii="Times New Roman" w:hAnsi="Times New Roman"/>
          <w:sz w:val="20"/>
          <w:u w:val="single"/>
        </w:rPr>
        <w:t>subsection 4.1.1</w:t>
      </w:r>
      <w:r>
        <w:rPr>
          <w:rFonts w:ascii="Times New Roman" w:hAnsi="Times New Roman"/>
          <w:sz w:val="20"/>
        </w:rPr>
        <w:t xml:space="preserve">, then such adjustment shall be made pursuant to </w:t>
      </w:r>
      <w:r>
        <w:rPr>
          <w:rFonts w:ascii="Times New Roman" w:hAnsi="Times New Roman"/>
          <w:sz w:val="20"/>
          <w:u w:val="single"/>
        </w:rPr>
        <w:t>subsection 4.1.1</w:t>
      </w:r>
      <w:r>
        <w:rPr>
          <w:rFonts w:ascii="Times New Roman" w:hAnsi="Times New Roman"/>
          <w:sz w:val="20"/>
        </w:rPr>
        <w:t xml:space="preserve"> or </w:t>
      </w:r>
      <w:r>
        <w:rPr>
          <w:rFonts w:ascii="Times New Roman" w:hAnsi="Times New Roman"/>
          <w:sz w:val="20"/>
          <w:u w:val="single"/>
        </w:rPr>
        <w:t>Sections 4.2</w:t>
      </w:r>
      <w:r>
        <w:rPr>
          <w:rFonts w:ascii="Times New Roman" w:hAnsi="Times New Roman"/>
          <w:sz w:val="20"/>
        </w:rPr>
        <w:t xml:space="preserve">, </w:t>
      </w:r>
      <w:r>
        <w:rPr>
          <w:rFonts w:ascii="Times New Roman" w:hAnsi="Times New Roman"/>
          <w:sz w:val="20"/>
          <w:u w:val="single"/>
        </w:rPr>
        <w:t>4.3</w:t>
      </w:r>
      <w:r>
        <w:rPr>
          <w:rFonts w:ascii="Times New Roman" w:hAnsi="Times New Roman"/>
          <w:sz w:val="20"/>
        </w:rPr>
        <w:t xml:space="preserve"> and this </w:t>
      </w:r>
      <w:r>
        <w:rPr>
          <w:rFonts w:ascii="Times New Roman" w:hAnsi="Times New Roman"/>
          <w:sz w:val="20"/>
          <w:u w:val="single"/>
        </w:rPr>
        <w:t>Section 4.4</w:t>
      </w:r>
      <w:r>
        <w:rPr>
          <w:rFonts w:ascii="Times New Roman" w:hAnsi="Times New Roman"/>
          <w:sz w:val="20"/>
        </w:rPr>
        <w:t xml:space="preserve">. The provisions of this </w:t>
      </w:r>
      <w:r>
        <w:rPr>
          <w:rFonts w:ascii="Times New Roman" w:hAnsi="Times New Roman"/>
          <w:sz w:val="20"/>
          <w:u w:val="single"/>
        </w:rPr>
        <w:t>Section 4.4</w:t>
      </w:r>
      <w:r>
        <w:rPr>
          <w:rFonts w:ascii="Times New Roman" w:hAnsi="Times New Roman"/>
          <w:sz w:val="20"/>
        </w:rPr>
        <w:t xml:space="preserve"> shall similarly apply to successive reclassifications, reorganizations, mergers or consolidations, sales or other transfers. In no event shall the Warrant Price be reduced to less than the par value per share issuable upon exercise of such Warrant. </w:t>
      </w:r>
    </w:p>
    <w:p>
      <w:pPr>
        <w:pStyle w:val="TextBody"/>
        <w:spacing w:before="240" w:after="0"/>
        <w:jc w:val="left"/>
        <w:rPr>
          <w:rFonts w:ascii="Times New Roman" w:hAnsi="Times New Roman"/>
          <w:sz w:val="20"/>
        </w:rPr>
      </w:pPr>
      <w:r>
        <w:rPr>
          <w:rFonts w:ascii="Times New Roman" w:hAnsi="Times New Roman"/>
          <w:sz w:val="20"/>
        </w:rPr>
        <w:t xml:space="preserve">4.6. </w:t>
      </w:r>
      <w:r>
        <w:rPr>
          <w:rFonts w:ascii="Times New Roman" w:hAnsi="Times New Roman"/>
          <w:sz w:val="20"/>
          <w:u w:val="single"/>
        </w:rPr>
        <w:t>Notices of Changes in Warrant</w:t>
      </w:r>
      <w:r>
        <w:rPr>
          <w:rFonts w:ascii="Times New Roman" w:hAnsi="Times New Roman"/>
          <w:sz w:val="20"/>
        </w:rPr>
        <w:t xml:space="preserve">. Upon every adjustment of the Warrant Price or the number of shares issuable upon exercise of a Warrant, the Company shall give written notice thereof to the Warrant Agent, which notice shall state the Warrant Price resulting from such adjustment and the increase or decrease, if any, in the number of shares purchasable at such price upon the exercise of a Warrant, setting forth in reasonable detail the method of calculation and the facts upon which such calculation is based. Upon the occurrence of any event specified in </w:t>
      </w:r>
      <w:r>
        <w:rPr>
          <w:rFonts w:ascii="Times New Roman" w:hAnsi="Times New Roman"/>
          <w:sz w:val="20"/>
          <w:u w:val="single"/>
        </w:rPr>
        <w:t>Sections 4.1</w:t>
      </w:r>
      <w:r>
        <w:rPr>
          <w:rFonts w:ascii="Times New Roman" w:hAnsi="Times New Roman"/>
          <w:sz w:val="20"/>
        </w:rPr>
        <w:t xml:space="preserve">, </w:t>
      </w:r>
      <w:r>
        <w:rPr>
          <w:rFonts w:ascii="Times New Roman" w:hAnsi="Times New Roman"/>
          <w:sz w:val="20"/>
          <w:u w:val="single"/>
        </w:rPr>
        <w:t>4.2</w:t>
      </w:r>
      <w:r>
        <w:rPr>
          <w:rFonts w:ascii="Times New Roman" w:hAnsi="Times New Roman"/>
          <w:sz w:val="20"/>
        </w:rPr>
        <w:t xml:space="preserve">, </w:t>
      </w:r>
      <w:r>
        <w:rPr>
          <w:rFonts w:ascii="Times New Roman" w:hAnsi="Times New Roman"/>
          <w:sz w:val="20"/>
          <w:u w:val="single"/>
        </w:rPr>
        <w:t>4.3</w:t>
      </w:r>
      <w:r>
        <w:rPr>
          <w:rFonts w:ascii="Times New Roman" w:hAnsi="Times New Roman"/>
          <w:sz w:val="20"/>
        </w:rPr>
        <w:t xml:space="preserve">, </w:t>
      </w:r>
      <w:r>
        <w:rPr>
          <w:rFonts w:ascii="Times New Roman" w:hAnsi="Times New Roman"/>
          <w:sz w:val="20"/>
          <w:u w:val="single"/>
        </w:rPr>
        <w:t>4.4</w:t>
      </w:r>
      <w:r>
        <w:rPr>
          <w:rFonts w:ascii="Times New Roman" w:hAnsi="Times New Roman"/>
          <w:sz w:val="20"/>
        </w:rPr>
        <w:t xml:space="preserve"> or </w:t>
      </w:r>
      <w:r>
        <w:rPr>
          <w:rFonts w:ascii="Times New Roman" w:hAnsi="Times New Roman"/>
          <w:sz w:val="20"/>
          <w:u w:val="single"/>
        </w:rPr>
        <w:t>4.5</w:t>
      </w:r>
      <w:r>
        <w:rPr>
          <w:rFonts w:ascii="Times New Roman" w:hAnsi="Times New Roman"/>
          <w:sz w:val="20"/>
        </w:rPr>
        <w:t xml:space="preserve">, the Company shall give written notice of the occurrence of such event to each holder of a Warrant, at the last address set forth for such holder in the Warrant Register, of the record date or the effective date of the event. Failure to give such notice, or any defect therein, shall not affect the legality or validity of such event. </w:t>
      </w:r>
    </w:p>
    <w:p>
      <w:pPr>
        <w:pStyle w:val="TextBody"/>
        <w:spacing w:before="240" w:after="0"/>
        <w:jc w:val="left"/>
        <w:rPr>
          <w:rFonts w:ascii="Times New Roman" w:hAnsi="Times New Roman"/>
          <w:sz w:val="20"/>
        </w:rPr>
      </w:pPr>
      <w:r>
        <w:rPr>
          <w:rFonts w:ascii="Times New Roman" w:hAnsi="Times New Roman"/>
          <w:sz w:val="20"/>
        </w:rPr>
        <w:t xml:space="preserve">4.7. </w:t>
      </w:r>
      <w:r>
        <w:rPr>
          <w:rFonts w:ascii="Times New Roman" w:hAnsi="Times New Roman"/>
          <w:sz w:val="20"/>
          <w:u w:val="single"/>
        </w:rPr>
        <w:t>No Fractional Shares</w:t>
      </w:r>
      <w:r>
        <w:rPr>
          <w:rFonts w:ascii="Times New Roman" w:hAnsi="Times New Roman"/>
          <w:sz w:val="20"/>
        </w:rPr>
        <w:t xml:space="preserve">. Notwithstanding any provision contained in this Agreement to the contrary, the Company shall not issue fractional shares upon the exercise of Warrants. If, by reason of any adjustment made pursuant to this </w:t>
      </w:r>
      <w:r>
        <w:rPr>
          <w:rFonts w:ascii="Times New Roman" w:hAnsi="Times New Roman"/>
          <w:sz w:val="20"/>
          <w:u w:val="single"/>
        </w:rPr>
        <w:t>Section 4</w:t>
      </w:r>
      <w:r>
        <w:rPr>
          <w:rFonts w:ascii="Times New Roman" w:hAnsi="Times New Roman"/>
          <w:sz w:val="20"/>
        </w:rPr>
        <w:t xml:space="preserve">, the holder of any Warrant would be entitled, upon the exercise of such Warrant, to receive a fractional interest in a share, the Company shall, upon such exercise, round down to the nearest whole number the number of Ordinary Shares to be issued to such holder. </w:t>
      </w:r>
    </w:p>
    <w:p>
      <w:pPr>
        <w:pStyle w:val="TextBody"/>
        <w:spacing w:before="240" w:after="0"/>
        <w:jc w:val="left"/>
        <w:rPr>
          <w:rFonts w:ascii="Times New Roman" w:hAnsi="Times New Roman"/>
          <w:sz w:val="20"/>
        </w:rPr>
      </w:pPr>
      <w:r>
        <w:rPr>
          <w:rFonts w:ascii="Times New Roman" w:hAnsi="Times New Roman"/>
          <w:sz w:val="20"/>
        </w:rPr>
        <w:t xml:space="preserve">4.8. </w:t>
      </w:r>
      <w:r>
        <w:rPr>
          <w:rFonts w:ascii="Times New Roman" w:hAnsi="Times New Roman"/>
          <w:sz w:val="20"/>
          <w:u w:val="single"/>
        </w:rPr>
        <w:t>Form of Warrant</w:t>
      </w:r>
      <w:r>
        <w:rPr>
          <w:rFonts w:ascii="Times New Roman" w:hAnsi="Times New Roman"/>
          <w:sz w:val="20"/>
        </w:rPr>
        <w:t xml:space="preserve">. The form of Warrant need not be changed because of any adjustment pursuant to this </w:t>
      </w:r>
      <w:r>
        <w:rPr>
          <w:rFonts w:ascii="Times New Roman" w:hAnsi="Times New Roman"/>
          <w:sz w:val="20"/>
          <w:u w:val="single"/>
        </w:rPr>
        <w:t>Section 4</w:t>
      </w:r>
      <w:r>
        <w:rPr>
          <w:rFonts w:ascii="Times New Roman" w:hAnsi="Times New Roman"/>
          <w:sz w:val="20"/>
        </w:rPr>
        <w:t xml:space="preserve">, and Warrants issued after such adjustment may state the same Warrant Price and the same number of shares as is stated in the Warrants initially issued pursuant to this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Company may at any time in its sole discretion make any change in the form of Warrant that the Company may deem appropriate and that does not affect the substance thereof, and any Warrant thereafter issued or countersigned, whether in exchange or substitution for an outstanding Warrant or otherwise, may be in the form as so changed. </w:t>
      </w:r>
    </w:p>
    <w:p>
      <w:pPr>
        <w:pStyle w:val="TextBody"/>
        <w:spacing w:before="36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Transfer and Exchange of Warrants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5.1. </w:t>
      </w:r>
      <w:r>
        <w:rPr>
          <w:rFonts w:ascii="Times New Roman" w:hAnsi="Times New Roman"/>
          <w:sz w:val="20"/>
          <w:u w:val="single"/>
        </w:rPr>
        <w:t>Registration of Transfer</w:t>
      </w:r>
      <w:r>
        <w:rPr>
          <w:rFonts w:ascii="Times New Roman" w:hAnsi="Times New Roman"/>
          <w:sz w:val="20"/>
        </w:rPr>
        <w:t xml:space="preserve">. The Warrant Agent shall register the transfer, from time to time, of any outstanding Warrant upon the Warrant Register, upon surrender of such Warrant for transfer, properly endorsed with signatures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properly guaranteed and accompanied by appropriate instructions for transfer. Upon any such transfer, a new Warrant representing an equal aggregate number of Warrants shall be issued and the old Warrant shall be cancelled by the Warrant Agent. In the case of certificated Warrants, the Warrants so cancelled shall be delivered by the Warrant Agent to the Company from time to time upon request. </w:t>
      </w:r>
    </w:p>
    <w:p>
      <w:pPr>
        <w:pStyle w:val="TextBody"/>
        <w:spacing w:before="240" w:after="0"/>
        <w:jc w:val="left"/>
        <w:rPr>
          <w:rFonts w:ascii="Times New Roman" w:hAnsi="Times New Roman"/>
          <w:sz w:val="20"/>
        </w:rPr>
      </w:pPr>
      <w:r>
        <w:rPr>
          <w:rFonts w:ascii="Times New Roman" w:hAnsi="Times New Roman"/>
          <w:sz w:val="20"/>
        </w:rPr>
        <w:t xml:space="preserve">5.2. </w:t>
      </w:r>
      <w:r>
        <w:rPr>
          <w:rFonts w:ascii="Times New Roman" w:hAnsi="Times New Roman"/>
          <w:sz w:val="20"/>
          <w:u w:val="single"/>
        </w:rPr>
        <w:t>Procedure for Surrender of Warrants</w:t>
      </w:r>
      <w:r>
        <w:rPr>
          <w:rFonts w:ascii="Times New Roman" w:hAnsi="Times New Roman"/>
          <w:sz w:val="20"/>
        </w:rPr>
        <w:t xml:space="preserve">. Warrants may be surrendered to the Warrant Agent, together with a written request for exchange or transfer, and thereupon the Warrant Agent shall issue in exchange therefor one or more new Warrants as requested by the Registered Holder of the Warrants so surrendered, representing an equal aggregate number of Warrants;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except as otherwise provided herein or with respect to any Book-Entry Warrant, each Book-Entry Warrant may be transferred only in whole and only to the Depositary, to another nominee of the Depositary, to a successor depository, or to a nominee of a successor depository;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the event that a Warrant surrendered for transfer bears a restrictive legend (as in the case of the Private Placement Warrants), the Warrant Agent shall not cancel such Warrant and issue new Warrants in exchange thereof until the Warrant Agent has received an opinion of counsel for the Company stating that such transfer may be made and indicating whether the new Warrants must also bear a restrictive legend. </w:t>
      </w:r>
    </w:p>
    <w:p>
      <w:pPr>
        <w:pStyle w:val="TextBody"/>
        <w:spacing w:before="240" w:after="0"/>
        <w:jc w:val="left"/>
        <w:rPr>
          <w:rFonts w:ascii="Times New Roman" w:hAnsi="Times New Roman"/>
          <w:sz w:val="20"/>
        </w:rPr>
      </w:pPr>
      <w:r>
        <w:rPr>
          <w:rFonts w:ascii="Times New Roman" w:hAnsi="Times New Roman"/>
          <w:sz w:val="20"/>
        </w:rPr>
        <w:t xml:space="preserve">5.3. </w:t>
      </w:r>
      <w:r>
        <w:rPr>
          <w:rFonts w:ascii="Times New Roman" w:hAnsi="Times New Roman"/>
          <w:sz w:val="20"/>
          <w:u w:val="single"/>
        </w:rPr>
        <w:t>Fractional Warrants</w:t>
      </w:r>
      <w:r>
        <w:rPr>
          <w:rFonts w:ascii="Times New Roman" w:hAnsi="Times New Roman"/>
          <w:sz w:val="20"/>
        </w:rPr>
        <w:t xml:space="preserve">. The Warrant Agent shall not be required to effect any registration of transfer or exchange which shall result in the issuance of a warrant certificate or book-entry position for a fraction of a warrant, except as part of the Units. </w:t>
      </w:r>
    </w:p>
    <w:p>
      <w:pPr>
        <w:pStyle w:val="TextBody"/>
        <w:spacing w:before="240" w:after="0"/>
        <w:jc w:val="left"/>
        <w:rPr>
          <w:rFonts w:ascii="Times New Roman" w:hAnsi="Times New Roman"/>
          <w:sz w:val="20"/>
        </w:rPr>
      </w:pPr>
      <w:r>
        <w:rPr>
          <w:rFonts w:ascii="Times New Roman" w:hAnsi="Times New Roman"/>
          <w:sz w:val="20"/>
        </w:rPr>
        <w:t xml:space="preserve">5.4. </w:t>
      </w:r>
      <w:r>
        <w:rPr>
          <w:rFonts w:ascii="Times New Roman" w:hAnsi="Times New Roman"/>
          <w:sz w:val="20"/>
          <w:u w:val="single"/>
        </w:rPr>
        <w:t>Service Charges</w:t>
      </w:r>
      <w:r>
        <w:rPr>
          <w:rFonts w:ascii="Times New Roman" w:hAnsi="Times New Roman"/>
          <w:sz w:val="20"/>
        </w:rPr>
        <w:t xml:space="preserve">. No service charge shall be made for any exchange or registration of transfer of Warrants. </w:t>
      </w:r>
    </w:p>
    <w:p>
      <w:pPr>
        <w:pStyle w:val="TextBody"/>
        <w:spacing w:before="240" w:after="0"/>
        <w:jc w:val="left"/>
        <w:rPr>
          <w:rFonts w:ascii="Times New Roman" w:hAnsi="Times New Roman"/>
          <w:sz w:val="20"/>
        </w:rPr>
      </w:pPr>
      <w:r>
        <w:rPr>
          <w:rFonts w:ascii="Times New Roman" w:hAnsi="Times New Roman"/>
          <w:sz w:val="20"/>
        </w:rPr>
        <w:t xml:space="preserve">5.5. </w:t>
      </w:r>
      <w:r>
        <w:rPr>
          <w:rFonts w:ascii="Times New Roman" w:hAnsi="Times New Roman"/>
          <w:sz w:val="20"/>
          <w:u w:val="single"/>
        </w:rPr>
        <w:t>Warrant Execution and Countersignature</w:t>
      </w:r>
      <w:r>
        <w:rPr>
          <w:rFonts w:ascii="Times New Roman" w:hAnsi="Times New Roman"/>
          <w:sz w:val="20"/>
        </w:rPr>
        <w:t xml:space="preserve">. The Warrant Agent is hereby authorized to countersign and to deliver, in accordance with the terms of this Agreement, the Warrants required to be issued pursuant to the provisions of this </w:t>
      </w:r>
      <w:r>
        <w:rPr>
          <w:rFonts w:ascii="Times New Roman" w:hAnsi="Times New Roman"/>
          <w:sz w:val="20"/>
          <w:u w:val="single"/>
        </w:rPr>
        <w:t>Section 5</w:t>
      </w:r>
      <w:r>
        <w:rPr>
          <w:rFonts w:ascii="Times New Roman" w:hAnsi="Times New Roman"/>
          <w:sz w:val="20"/>
        </w:rPr>
        <w:t xml:space="preserve">, and the Company, whenever required by the Warrant Agent, shall supply the Warrant Agent with Warrants duly executed on behalf of the Company for such purpose. </w:t>
      </w:r>
    </w:p>
    <w:p>
      <w:pPr>
        <w:pStyle w:val="TextBody"/>
        <w:spacing w:before="240" w:after="0"/>
        <w:jc w:val="left"/>
        <w:rPr>
          <w:rFonts w:ascii="Times New Roman" w:hAnsi="Times New Roman"/>
          <w:sz w:val="20"/>
        </w:rPr>
      </w:pPr>
      <w:r>
        <w:rPr>
          <w:rFonts w:ascii="Times New Roman" w:hAnsi="Times New Roman"/>
          <w:sz w:val="20"/>
        </w:rPr>
        <w:t xml:space="preserve">5.6. </w:t>
      </w:r>
      <w:r>
        <w:rPr>
          <w:rFonts w:ascii="Times New Roman" w:hAnsi="Times New Roman"/>
          <w:sz w:val="20"/>
          <w:u w:val="single"/>
        </w:rPr>
        <w:t>Transfer of Warrants</w:t>
      </w:r>
      <w:r>
        <w:rPr>
          <w:rFonts w:ascii="Times New Roman" w:hAnsi="Times New Roman"/>
          <w:sz w:val="20"/>
        </w:rPr>
        <w:t xml:space="preserve">. Prior to the Detachment Date, the Public Warrants may be transferred or exchanged only together with the Unit in which such Warrant is included, and only for the purpose of effecting, or in conjunction with, a transfer or exchange of such Unit. Furthermore, each transfer of a Unit on the register relating to such Units shall operate also to transfer the Warrants included in such Unit. Notwithstanding the foregoing, the provisions of this </w:t>
      </w:r>
      <w:r>
        <w:rPr>
          <w:rFonts w:ascii="Times New Roman" w:hAnsi="Times New Roman"/>
          <w:sz w:val="20"/>
          <w:u w:val="single"/>
        </w:rPr>
        <w:t>Section 5.6</w:t>
      </w:r>
      <w:r>
        <w:rPr>
          <w:rFonts w:ascii="Times New Roman" w:hAnsi="Times New Roman"/>
          <w:sz w:val="20"/>
        </w:rPr>
        <w:t xml:space="preserve"> shall have no effect on any transfer of Warrants on and after the Detachment Date. </w:t>
      </w:r>
    </w:p>
    <w:p>
      <w:pPr>
        <w:pStyle w:val="TextBody"/>
        <w:spacing w:before="36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Redemption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6.1. </w:t>
      </w:r>
      <w:r>
        <w:rPr>
          <w:rFonts w:ascii="Times New Roman" w:hAnsi="Times New Roman"/>
          <w:sz w:val="20"/>
          <w:u w:val="single"/>
        </w:rPr>
        <w:t>Redemption of Warrants for Cash</w:t>
      </w:r>
      <w:r>
        <w:rPr>
          <w:rFonts w:ascii="Times New Roman" w:hAnsi="Times New Roman"/>
          <w:sz w:val="20"/>
        </w:rPr>
        <w:t xml:space="preserve">. Subject to </w:t>
      </w:r>
      <w:r>
        <w:rPr>
          <w:rFonts w:ascii="Times New Roman" w:hAnsi="Times New Roman"/>
          <w:sz w:val="20"/>
          <w:u w:val="single"/>
        </w:rPr>
        <w:t>Section 6.5</w:t>
      </w:r>
      <w:r>
        <w:rPr>
          <w:rFonts w:ascii="Times New Roman" w:hAnsi="Times New Roman"/>
          <w:sz w:val="20"/>
        </w:rPr>
        <w:t xml:space="preserve"> hereof, not less than all of the outstanding Warrants may be redeemed, at the option of the Company, at any time during the Exercise Period, at the office of the Warrant Agent, upon notice to the Registered Holders of the Warrants, as described in </w:t>
      </w:r>
      <w:r>
        <w:rPr>
          <w:rFonts w:ascii="Times New Roman" w:hAnsi="Times New Roman"/>
          <w:sz w:val="20"/>
          <w:u w:val="single"/>
        </w:rPr>
        <w:t>Section 6.3</w:t>
      </w:r>
      <w:r>
        <w:rPr>
          <w:rFonts w:ascii="Times New Roman" w:hAnsi="Times New Roman"/>
          <w:sz w:val="20"/>
        </w:rPr>
        <w:t xml:space="preserve"> below, at a Redemption Price of $0.01 per Warrant, </w:t>
      </w:r>
      <w:r>
        <w:rPr>
          <w:rFonts w:ascii="Times New Roman" w:hAnsi="Times New Roman"/>
          <w:sz w:val="20"/>
          <w:u w:val="single"/>
        </w:rPr>
        <w:t>provided</w:t>
      </w:r>
      <w:r>
        <w:rPr>
          <w:rFonts w:ascii="Times New Roman" w:hAnsi="Times New Roman"/>
          <w:sz w:val="20"/>
        </w:rPr>
        <w:t xml:space="preserve"> that (a) the Reference Value equals or exceeds $18.00 per share (subject to adjustment in compliance with </w:t>
      </w:r>
      <w:r>
        <w:rPr>
          <w:rFonts w:ascii="Times New Roman" w:hAnsi="Times New Roman"/>
          <w:sz w:val="20"/>
          <w:u w:val="single"/>
        </w:rPr>
        <w:t>Section 4</w:t>
      </w:r>
      <w:r>
        <w:rPr>
          <w:rFonts w:ascii="Times New Roman" w:hAnsi="Times New Roman"/>
          <w:sz w:val="20"/>
        </w:rPr>
        <w:t xml:space="preserve"> hereof) and (b) there is an effective registration statement covering the issuance of the Ordinary Shares issuable upon exercise of the Warrants, and a current prospectus relating thereto, available throughout the 30-day Redemption Period (as defined in </w:t>
      </w:r>
      <w:r>
        <w:rPr>
          <w:rFonts w:ascii="Times New Roman" w:hAnsi="Times New Roman"/>
          <w:sz w:val="20"/>
          <w:u w:val="single"/>
        </w:rPr>
        <w:t>Section 6.3</w:t>
      </w:r>
      <w:r>
        <w:rPr>
          <w:rFonts w:ascii="Times New Roman" w:hAnsi="Times New Roman"/>
          <w:sz w:val="20"/>
        </w:rPr>
        <w:t xml:space="preserve"> below). </w:t>
      </w:r>
    </w:p>
    <w:p>
      <w:pPr>
        <w:pStyle w:val="TextBody"/>
        <w:spacing w:before="240" w:after="0"/>
        <w:jc w:val="left"/>
        <w:rPr>
          <w:rFonts w:ascii="Times New Roman" w:hAnsi="Times New Roman"/>
          <w:sz w:val="20"/>
        </w:rPr>
      </w:pPr>
      <w:r>
        <w:rPr>
          <w:rFonts w:ascii="Times New Roman" w:hAnsi="Times New Roman"/>
          <w:sz w:val="20"/>
        </w:rPr>
        <w:t xml:space="preserve">6.2. </w:t>
      </w:r>
      <w:r>
        <w:rPr>
          <w:rFonts w:ascii="Times New Roman" w:hAnsi="Times New Roman"/>
          <w:sz w:val="20"/>
          <w:u w:val="single"/>
        </w:rPr>
        <w:t>Redemption of Warrants for Ordinary Shares</w:t>
      </w:r>
      <w:r>
        <w:rPr>
          <w:rFonts w:ascii="Times New Roman" w:hAnsi="Times New Roman"/>
          <w:sz w:val="20"/>
        </w:rPr>
        <w:t xml:space="preserve">. Subject to </w:t>
      </w:r>
      <w:r>
        <w:rPr>
          <w:rFonts w:ascii="Times New Roman" w:hAnsi="Times New Roman"/>
          <w:sz w:val="20"/>
          <w:u w:val="single"/>
        </w:rPr>
        <w:t>Section 6.5</w:t>
      </w:r>
      <w:r>
        <w:rPr>
          <w:rFonts w:ascii="Times New Roman" w:hAnsi="Times New Roman"/>
          <w:sz w:val="20"/>
        </w:rPr>
        <w:t xml:space="preserve"> hereof, not less than all of the outstanding Warrants may be redeemed, at the option of the Company, at any time during the Exercise Period, at the office of the Warrant Agent, upon notice to the Registered Holders of the Warrants, as described in </w:t>
      </w:r>
      <w:r>
        <w:rPr>
          <w:rFonts w:ascii="Times New Roman" w:hAnsi="Times New Roman"/>
          <w:sz w:val="20"/>
          <w:u w:val="single"/>
        </w:rPr>
        <w:t>Section 6.3</w:t>
      </w:r>
      <w:r>
        <w:rPr>
          <w:rFonts w:ascii="Times New Roman" w:hAnsi="Times New Roman"/>
          <w:sz w:val="20"/>
        </w:rPr>
        <w:t xml:space="preserve"> below, at a Redemption Price of $0.10 per Warrant, </w:t>
      </w:r>
      <w:r>
        <w:rPr>
          <w:rFonts w:ascii="Times New Roman" w:hAnsi="Times New Roman"/>
          <w:sz w:val="20"/>
          <w:u w:val="single"/>
        </w:rPr>
        <w:t>provided</w:t>
      </w:r>
      <w:r>
        <w:rPr>
          <w:rFonts w:ascii="Times New Roman" w:hAnsi="Times New Roman"/>
          <w:sz w:val="20"/>
        </w:rPr>
        <w:t xml:space="preserve"> that (i) the Reference Value equals or exceeds $10.00 per share (subject to adjustment in compliance with </w:t>
      </w:r>
      <w:r>
        <w:rPr>
          <w:rFonts w:ascii="Times New Roman" w:hAnsi="Times New Roman"/>
          <w:sz w:val="20"/>
          <w:u w:val="single"/>
        </w:rPr>
        <w:t>Section 4</w:t>
      </w:r>
      <w:r>
        <w:rPr>
          <w:rFonts w:ascii="Times New Roman" w:hAnsi="Times New Roman"/>
          <w:sz w:val="20"/>
        </w:rPr>
        <w:t xml:space="preserve"> hereof) and (ii) if the Reference Value is less than $18.00 per share (subject to adjustment in compliance with </w:t>
      </w:r>
      <w:r>
        <w:rPr>
          <w:rFonts w:ascii="Times New Roman" w:hAnsi="Times New Roman"/>
          <w:sz w:val="20"/>
          <w:u w:val="single"/>
        </w:rPr>
        <w:t>Section 4</w:t>
      </w:r>
      <w:r>
        <w:rPr>
          <w:rFonts w:ascii="Times New Roman" w:hAnsi="Times New Roman"/>
          <w:sz w:val="20"/>
        </w:rPr>
        <w:t xml:space="preserve"> hereof), the Private Placement Warrants are also concurrently called for redemption on the same terms as the outstanding Public Warrants. During the 30-day Redemption Period in connection with a redemption pursuant to this </w:t>
      </w:r>
      <w:r>
        <w:rPr>
          <w:rFonts w:ascii="Times New Roman" w:hAnsi="Times New Roman"/>
          <w:sz w:val="20"/>
          <w:u w:val="single"/>
        </w:rPr>
        <w:t>Section 6.2</w:t>
      </w:r>
      <w:r>
        <w:rPr>
          <w:rFonts w:ascii="Times New Roman" w:hAnsi="Times New Roman"/>
          <w:sz w:val="20"/>
        </w:rPr>
        <w:t xml:space="preserve">, Registered Holders of the Warrants may elect to exercise their Warrants on a cashless basis pursuant to </w:t>
      </w:r>
      <w:r>
        <w:rPr>
          <w:rFonts w:ascii="Times New Roman" w:hAnsi="Times New Roman"/>
          <w:sz w:val="20"/>
          <w:u w:val="single"/>
        </w:rPr>
        <w:t>subsection 3.3.1</w:t>
      </w:r>
      <w:r>
        <w:rPr>
          <w:rFonts w:ascii="Times New Roman" w:hAnsi="Times New Roman"/>
          <w:sz w:val="20"/>
        </w:rPr>
        <w:t xml:space="preserve"> and receive a number of Ordinary Shares determined by reference to the table below, based on the Redemption Date (calculated for purposes of the table as the period to expiration of the Warrants) and the Redemption Fair Market Value (as such term is defined in this </w:t>
      </w:r>
      <w:r>
        <w:rPr>
          <w:rFonts w:ascii="Times New Roman" w:hAnsi="Times New Roman"/>
          <w:sz w:val="20"/>
          <w:u w:val="single"/>
        </w:rPr>
        <w:t>Section 6.2</w:t>
      </w:r>
      <w:r>
        <w:rPr>
          <w:rFonts w:ascii="Times New Roman" w:hAnsi="Times New Roman"/>
          <w:sz w:val="20"/>
        </w:rPr>
        <w:t>) (a </w:t>
      </w:r>
      <w:r>
        <w:rPr>
          <w:rFonts w:ascii="Times New Roman" w:hAnsi="Times New Roman"/>
          <w:b/>
          <w:i/>
          <w:sz w:val="20"/>
        </w:rPr>
        <w:t>Make-Whole Exercise</w:t>
      </w:r>
      <w:r>
        <w:rPr>
          <w:rFonts w:ascii="Times New Roman" w:hAnsi="Times New Roman"/>
          <w:sz w:val="20"/>
        </w:rPr>
        <w:t xml:space="preserve">). Solely for purposes of this </w:t>
      </w:r>
      <w:r>
        <w:rPr>
          <w:rFonts w:ascii="Times New Roman" w:hAnsi="Times New Roman"/>
          <w:sz w:val="20"/>
          <w:u w:val="single"/>
        </w:rPr>
        <w:t>Section 6.2</w:t>
      </w:r>
      <w:r>
        <w:rPr>
          <w:rFonts w:ascii="Times New Roman" w:hAnsi="Times New Roman"/>
          <w:sz w:val="20"/>
        </w:rPr>
        <w:t>, the </w:t>
      </w:r>
      <w:r>
        <w:rPr>
          <w:rFonts w:ascii="Times New Roman" w:hAnsi="Times New Roman"/>
          <w:b/>
          <w:i/>
          <w:sz w:val="20"/>
        </w:rPr>
        <w:t>Redemption Fair Market Value</w:t>
      </w:r>
      <w:r>
        <w:rPr>
          <w:rFonts w:ascii="Times New Roman" w:hAnsi="Times New Roman"/>
          <w:sz w:val="20"/>
        </w:rPr>
        <w:t xml:space="preserve"> shall mean the volume weighted average price of the Ordinary Shares for the ten (10) trading days immediately following the date on which notice of redemption pursuant to this </w:t>
      </w:r>
      <w:r>
        <w:rPr>
          <w:rFonts w:ascii="Times New Roman" w:hAnsi="Times New Roman"/>
          <w:sz w:val="20"/>
          <w:u w:val="single"/>
        </w:rPr>
        <w:t>Section 6.2</w:t>
      </w:r>
      <w:r>
        <w:rPr>
          <w:rFonts w:ascii="Times New Roman" w:hAnsi="Times New Roman"/>
          <w:sz w:val="20"/>
        </w:rPr>
        <w:t xml:space="preserve"> is sent to the Registered Holders. In connection with any redemption pursuant to this </w:t>
      </w:r>
      <w:r>
        <w:rPr>
          <w:rFonts w:ascii="Times New Roman" w:hAnsi="Times New Roman"/>
          <w:sz w:val="20"/>
          <w:u w:val="single"/>
        </w:rPr>
        <w:t>Section 6.2</w:t>
      </w:r>
      <w:r>
        <w:rPr>
          <w:rFonts w:ascii="Times New Roman" w:hAnsi="Times New Roman"/>
          <w:sz w:val="20"/>
        </w:rPr>
        <w:t xml:space="preserve">, the Company shall provide the Registered Holders with the Redemption Fair Market Value no later than one (1) Business Day after the ten (10) trading day period described above ends. </w:t>
      </w:r>
      <w:r>
        <w:br w:type="page"/>
      </w:r>
    </w:p>
    <w:p>
      <w:pPr>
        <w:pStyle w:val="HorizontalLine"/>
        <w:pBdr>
          <w:bottom w:val="double" w:sz="6" w:space="0" w:color="808080"/>
        </w:pBdr>
        <w:rPr/>
      </w:pPr>
      <w:r>
        <w:rPr/>
      </w:r>
    </w:p>
    <w:tbl>
      <w:tblPr>
        <w:tblW w:w="5000" w:type="pct"/>
        <w:jc w:val="center"/>
        <w:tblInd w:w="0" w:type="dxa"/>
        <w:tblCellMar>
          <w:top w:w="0" w:type="dxa"/>
          <w:left w:w="0" w:type="dxa"/>
          <w:bottom w:w="0" w:type="dxa"/>
          <w:right w:w="0" w:type="dxa"/>
        </w:tblCellMar>
      </w:tblPr>
      <w:tblGrid>
        <w:gridCol w:w="2888"/>
        <w:gridCol w:w="132"/>
        <w:gridCol w:w="60"/>
        <w:gridCol w:w="560"/>
        <w:gridCol w:w="60"/>
        <w:gridCol w:w="132"/>
        <w:gridCol w:w="60"/>
        <w:gridCol w:w="560"/>
        <w:gridCol w:w="60"/>
        <w:gridCol w:w="132"/>
        <w:gridCol w:w="60"/>
        <w:gridCol w:w="560"/>
        <w:gridCol w:w="60"/>
        <w:gridCol w:w="132"/>
        <w:gridCol w:w="60"/>
        <w:gridCol w:w="559"/>
        <w:gridCol w:w="60"/>
        <w:gridCol w:w="132"/>
        <w:gridCol w:w="60"/>
        <w:gridCol w:w="560"/>
        <w:gridCol w:w="60"/>
        <w:gridCol w:w="132"/>
        <w:gridCol w:w="60"/>
        <w:gridCol w:w="560"/>
        <w:gridCol w:w="60"/>
        <w:gridCol w:w="132"/>
        <w:gridCol w:w="60"/>
        <w:gridCol w:w="560"/>
        <w:gridCol w:w="60"/>
        <w:gridCol w:w="132"/>
        <w:gridCol w:w="60"/>
        <w:gridCol w:w="560"/>
        <w:gridCol w:w="59"/>
        <w:gridCol w:w="132"/>
        <w:gridCol w:w="60"/>
        <w:gridCol w:w="560"/>
        <w:gridCol w:w="71"/>
      </w:tblGrid>
      <w:tr>
        <w:trPr/>
        <w:tc>
          <w:tcPr>
            <w:tcW w:w="2888"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5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59"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71" w:type="dxa"/>
            <w:tcBorders/>
            <w:shd w:fill="auto" w:val="clear"/>
            <w:vAlign w:val="center"/>
          </w:tcPr>
          <w:p>
            <w:pPr>
              <w:pStyle w:val="TableContents"/>
              <w:spacing w:before="0" w:after="283"/>
              <w:rPr>
                <w:sz w:val="4"/>
                <w:szCs w:val="4"/>
              </w:rPr>
            </w:pPr>
            <w:r>
              <w:rPr>
                <w:sz w:val="4"/>
                <w:szCs w:val="4"/>
              </w:rPr>
            </w:r>
          </w:p>
        </w:tc>
      </w:tr>
      <w:tr>
        <w:trPr/>
        <w:tc>
          <w:tcPr>
            <w:tcW w:w="2888"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7114" w:type="dxa"/>
            <w:gridSpan w:val="34"/>
            <w:tcBorders>
              <w:bottom w:val="single" w:sz="8" w:space="0" w:color="000000"/>
            </w:tcBorders>
            <w:shd w:fill="auto" w:val="clear"/>
            <w:tcMar>
              <w:bottom w:w="28" w:type="dxa"/>
            </w:tcMar>
            <w:vAlign w:val="bottom"/>
          </w:tcPr>
          <w:p>
            <w:pPr>
              <w:pStyle w:val="TableContents"/>
              <w:spacing w:before="0" w:after="283"/>
              <w:jc w:val="center"/>
              <w:rPr/>
            </w:pPr>
            <w:r>
              <w:rPr>
                <w:b/>
              </w:rPr>
              <w:t>Redemption Fair Market Value of Ordinary Shares (period to expiration</w:t>
            </w:r>
            <w:r>
              <w:rPr/>
              <w:br/>
            </w:r>
            <w:r>
              <w:rPr>
                <w:b/>
              </w:rPr>
              <w:t>of warrants)</w:t>
            </w:r>
          </w:p>
        </w:tc>
        <w:tc>
          <w:tcPr>
            <w:tcW w:w="71" w:type="dxa"/>
            <w:tcBorders/>
            <w:shd w:fill="auto" w:val="clear"/>
            <w:vAlign w:val="bottom"/>
          </w:tcPr>
          <w:p>
            <w:pPr>
              <w:pStyle w:val="TableContents"/>
              <w:spacing w:before="0" w:after="283"/>
              <w:rPr/>
            </w:pPr>
            <w:r>
              <w:rPr/>
              <w:t> </w:t>
            </w:r>
          </w:p>
        </w:tc>
      </w:tr>
      <w:tr>
        <w:trPr/>
        <w:tc>
          <w:tcPr>
            <w:tcW w:w="2888"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20" w:type="dxa"/>
            <w:gridSpan w:val="2"/>
            <w:tcBorders/>
            <w:shd w:fill="auto" w:val="clear"/>
            <w:vAlign w:val="bottom"/>
          </w:tcPr>
          <w:p>
            <w:pPr>
              <w:pStyle w:val="TableContents"/>
              <w:spacing w:before="0" w:after="283"/>
              <w:jc w:val="center"/>
              <w:rPr>
                <w:rFonts w:ascii="SYMBOL" w:hAnsi="SYMBOL"/>
              </w:rPr>
            </w:pPr>
            <w:r>
              <w:rPr>
                <w:rFonts w:ascii="SYMBOL" w:hAnsi="SYMBOL"/>
              </w:rPr>
              <w:t>£</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2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2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19"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2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2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2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20" w:type="dxa"/>
            <w:gridSpan w:val="2"/>
            <w:tcBorders/>
            <w:shd w:fill="auto" w:val="clear"/>
            <w:vAlign w:val="bottom"/>
          </w:tcPr>
          <w:p>
            <w:pPr>
              <w:pStyle w:val="TableContents"/>
              <w:spacing w:before="0" w:after="283"/>
              <w:rPr/>
            </w:pPr>
            <w:r>
              <w:rPr/>
              <w:t> </w:t>
            </w:r>
          </w:p>
        </w:tc>
        <w:tc>
          <w:tcPr>
            <w:tcW w:w="59"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20" w:type="dxa"/>
            <w:gridSpan w:val="2"/>
            <w:tcBorders/>
            <w:shd w:fill="auto" w:val="clear"/>
            <w:vAlign w:val="bottom"/>
          </w:tcPr>
          <w:p>
            <w:pPr>
              <w:pStyle w:val="TableContents"/>
              <w:spacing w:before="0" w:after="283"/>
              <w:jc w:val="center"/>
              <w:rPr>
                <w:rFonts w:ascii="SYMBOL" w:hAnsi="SYMBOL"/>
              </w:rPr>
            </w:pPr>
            <w:r>
              <w:rPr>
                <w:rFonts w:ascii="SYMBOL" w:hAnsi="SYMBOL"/>
              </w:rPr>
              <w:t>³</w:t>
            </w:r>
          </w:p>
        </w:tc>
        <w:tc>
          <w:tcPr>
            <w:tcW w:w="71" w:type="dxa"/>
            <w:tcBorders/>
            <w:shd w:fill="auto" w:val="clear"/>
            <w:vAlign w:val="bottom"/>
          </w:tcPr>
          <w:p>
            <w:pPr>
              <w:pStyle w:val="TableContents"/>
              <w:spacing w:before="0" w:after="283"/>
              <w:rPr/>
            </w:pPr>
            <w:r>
              <w:rPr/>
              <w:t> </w:t>
            </w:r>
          </w:p>
        </w:tc>
      </w:tr>
      <w:tr>
        <w:trPr/>
        <w:tc>
          <w:tcPr>
            <w:tcW w:w="2888" w:type="dxa"/>
            <w:tcBorders/>
            <w:shd w:fill="auto" w:val="clear"/>
            <w:vAlign w:val="bottom"/>
          </w:tcPr>
          <w:p>
            <w:pPr>
              <w:pStyle w:val="TableContents"/>
              <w:spacing w:before="0" w:after="283"/>
              <w:rPr>
                <w:b/>
              </w:rPr>
            </w:pPr>
            <w:r>
              <w:rPr>
                <w:b/>
              </w:rPr>
              <w:t>Redemption Date</w:t>
            </w:r>
          </w:p>
        </w:tc>
        <w:tc>
          <w:tcPr>
            <w:tcW w:w="132" w:type="dxa"/>
            <w:tcBorders/>
            <w:shd w:fill="auto" w:val="clear"/>
            <w:vAlign w:val="bottom"/>
          </w:tcPr>
          <w:p>
            <w:pPr>
              <w:pStyle w:val="TableContents"/>
              <w:spacing w:before="0" w:after="283"/>
              <w:rPr/>
            </w:pPr>
            <w:r>
              <w:rPr/>
              <w:t>  </w:t>
            </w:r>
          </w:p>
        </w:tc>
        <w:tc>
          <w:tcPr>
            <w:tcW w:w="62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10.00</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2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11.00</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2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12.00</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1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13.00</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2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14.00</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2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15.00</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2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16.00</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2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17.00</w:t>
            </w:r>
          </w:p>
        </w:tc>
        <w:tc>
          <w:tcPr>
            <w:tcW w:w="59"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2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18.00</w:t>
            </w:r>
          </w:p>
        </w:tc>
        <w:tc>
          <w:tcPr>
            <w:tcW w:w="71" w:type="dxa"/>
            <w:tcBorders/>
            <w:shd w:fill="auto" w:val="clear"/>
            <w:vAlign w:val="bottom"/>
          </w:tcPr>
          <w:p>
            <w:pPr>
              <w:pStyle w:val="TableContents"/>
              <w:spacing w:before="0" w:after="283"/>
              <w:rPr/>
            </w:pPr>
            <w:r>
              <w:rPr/>
              <w:t> </w:t>
            </w:r>
          </w:p>
        </w:tc>
      </w:tr>
      <w:tr>
        <w:trPr/>
        <w:tc>
          <w:tcPr>
            <w:tcW w:w="2888" w:type="dxa"/>
            <w:tcBorders/>
            <w:shd w:fill="CCEEFF" w:val="clear"/>
          </w:tcPr>
          <w:p>
            <w:pPr>
              <w:pStyle w:val="TableContents"/>
              <w:spacing w:before="0" w:after="0"/>
              <w:rPr>
                <w:rFonts w:ascii="Times New Roman" w:hAnsi="Times New Roman"/>
                <w:sz w:val="20"/>
              </w:rPr>
            </w:pPr>
            <w:r>
              <w:rPr>
                <w:rFonts w:ascii="Times New Roman" w:hAnsi="Times New Roman"/>
                <w:sz w:val="20"/>
              </w:rPr>
              <w:t>60 months</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0.261</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0.281</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0.297</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59" w:type="dxa"/>
            <w:tcBorders/>
            <w:shd w:fill="CCEEFF" w:val="clear"/>
            <w:vAlign w:val="bottom"/>
          </w:tcPr>
          <w:p>
            <w:pPr>
              <w:pStyle w:val="TableContents"/>
              <w:spacing w:before="0" w:after="283"/>
              <w:jc w:val="right"/>
              <w:rPr/>
            </w:pPr>
            <w:r>
              <w:rPr/>
              <w:t>0.311</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0.324</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0.337</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0.348</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0.358</w:t>
            </w:r>
          </w:p>
        </w:tc>
        <w:tc>
          <w:tcPr>
            <w:tcW w:w="59"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0.361</w:t>
            </w:r>
          </w:p>
        </w:tc>
        <w:tc>
          <w:tcPr>
            <w:tcW w:w="71" w:type="dxa"/>
            <w:tcBorders/>
            <w:shd w:fill="CCEEFF" w:val="clear"/>
            <w:vAlign w:val="bottom"/>
          </w:tcPr>
          <w:p>
            <w:pPr>
              <w:pStyle w:val="TableContents"/>
              <w:spacing w:before="0" w:after="283"/>
              <w:rPr/>
            </w:pPr>
            <w:r>
              <w:rPr/>
              <w:t> </w:t>
            </w:r>
          </w:p>
        </w:tc>
      </w:tr>
      <w:tr>
        <w:trPr/>
        <w:tc>
          <w:tcPr>
            <w:tcW w:w="2888" w:type="dxa"/>
            <w:tcBorders/>
            <w:shd w:fill="auto" w:val="clear"/>
          </w:tcPr>
          <w:p>
            <w:pPr>
              <w:pStyle w:val="TableContents"/>
              <w:spacing w:before="0" w:after="0"/>
              <w:rPr>
                <w:rFonts w:ascii="Times New Roman" w:hAnsi="Times New Roman"/>
                <w:sz w:val="20"/>
              </w:rPr>
            </w:pPr>
            <w:r>
              <w:rPr>
                <w:rFonts w:ascii="Times New Roman" w:hAnsi="Times New Roman"/>
                <w:sz w:val="20"/>
              </w:rPr>
              <w:t>57 months</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0.257</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0.277</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0.294</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59" w:type="dxa"/>
            <w:tcBorders/>
            <w:shd w:fill="auto" w:val="clear"/>
            <w:vAlign w:val="bottom"/>
          </w:tcPr>
          <w:p>
            <w:pPr>
              <w:pStyle w:val="TableContents"/>
              <w:spacing w:before="0" w:after="283"/>
              <w:jc w:val="right"/>
              <w:rPr/>
            </w:pPr>
            <w:r>
              <w:rPr/>
              <w:t>0.310</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0.324</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0.337</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0.348</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0.358</w:t>
            </w:r>
          </w:p>
        </w:tc>
        <w:tc>
          <w:tcPr>
            <w:tcW w:w="59"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0.361</w:t>
            </w:r>
          </w:p>
        </w:tc>
        <w:tc>
          <w:tcPr>
            <w:tcW w:w="71" w:type="dxa"/>
            <w:tcBorders/>
            <w:shd w:fill="auto" w:val="clear"/>
            <w:vAlign w:val="bottom"/>
          </w:tcPr>
          <w:p>
            <w:pPr>
              <w:pStyle w:val="TableContents"/>
              <w:spacing w:before="0" w:after="283"/>
              <w:rPr/>
            </w:pPr>
            <w:r>
              <w:rPr/>
              <w:t> </w:t>
            </w:r>
          </w:p>
        </w:tc>
      </w:tr>
      <w:tr>
        <w:trPr/>
        <w:tc>
          <w:tcPr>
            <w:tcW w:w="2888" w:type="dxa"/>
            <w:tcBorders/>
            <w:shd w:fill="CCEEFF" w:val="clear"/>
          </w:tcPr>
          <w:p>
            <w:pPr>
              <w:pStyle w:val="TableContents"/>
              <w:spacing w:before="0" w:after="0"/>
              <w:rPr>
                <w:rFonts w:ascii="Times New Roman" w:hAnsi="Times New Roman"/>
                <w:sz w:val="20"/>
              </w:rPr>
            </w:pPr>
            <w:r>
              <w:rPr>
                <w:rFonts w:ascii="Times New Roman" w:hAnsi="Times New Roman"/>
                <w:sz w:val="20"/>
              </w:rPr>
              <w:t>54 months</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0.252</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0.272</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0.291</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59" w:type="dxa"/>
            <w:tcBorders/>
            <w:shd w:fill="CCEEFF" w:val="clear"/>
            <w:vAlign w:val="bottom"/>
          </w:tcPr>
          <w:p>
            <w:pPr>
              <w:pStyle w:val="TableContents"/>
              <w:spacing w:before="0" w:after="283"/>
              <w:jc w:val="right"/>
              <w:rPr/>
            </w:pPr>
            <w:r>
              <w:rPr/>
              <w:t>0.307</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0.322</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0.335</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0.347</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0.357</w:t>
            </w:r>
          </w:p>
        </w:tc>
        <w:tc>
          <w:tcPr>
            <w:tcW w:w="59"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0.361</w:t>
            </w:r>
          </w:p>
        </w:tc>
        <w:tc>
          <w:tcPr>
            <w:tcW w:w="71" w:type="dxa"/>
            <w:tcBorders/>
            <w:shd w:fill="CCEEFF" w:val="clear"/>
            <w:vAlign w:val="bottom"/>
          </w:tcPr>
          <w:p>
            <w:pPr>
              <w:pStyle w:val="TableContents"/>
              <w:spacing w:before="0" w:after="283"/>
              <w:rPr/>
            </w:pPr>
            <w:r>
              <w:rPr/>
              <w:t> </w:t>
            </w:r>
          </w:p>
        </w:tc>
      </w:tr>
      <w:tr>
        <w:trPr/>
        <w:tc>
          <w:tcPr>
            <w:tcW w:w="2888" w:type="dxa"/>
            <w:tcBorders/>
            <w:shd w:fill="auto" w:val="clear"/>
          </w:tcPr>
          <w:p>
            <w:pPr>
              <w:pStyle w:val="TableContents"/>
              <w:spacing w:before="0" w:after="0"/>
              <w:rPr>
                <w:rFonts w:ascii="Times New Roman" w:hAnsi="Times New Roman"/>
                <w:sz w:val="20"/>
              </w:rPr>
            </w:pPr>
            <w:r>
              <w:rPr>
                <w:rFonts w:ascii="Times New Roman" w:hAnsi="Times New Roman"/>
                <w:sz w:val="20"/>
              </w:rPr>
              <w:t>51 months</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0.246</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0.268</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0.287</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59" w:type="dxa"/>
            <w:tcBorders/>
            <w:shd w:fill="auto" w:val="clear"/>
            <w:vAlign w:val="bottom"/>
          </w:tcPr>
          <w:p>
            <w:pPr>
              <w:pStyle w:val="TableContents"/>
              <w:spacing w:before="0" w:after="283"/>
              <w:jc w:val="right"/>
              <w:rPr/>
            </w:pPr>
            <w:r>
              <w:rPr/>
              <w:t>0.304</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0.320</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0.333</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0.346</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0.357</w:t>
            </w:r>
          </w:p>
        </w:tc>
        <w:tc>
          <w:tcPr>
            <w:tcW w:w="59"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0.361</w:t>
            </w:r>
          </w:p>
        </w:tc>
        <w:tc>
          <w:tcPr>
            <w:tcW w:w="71" w:type="dxa"/>
            <w:tcBorders/>
            <w:shd w:fill="auto" w:val="clear"/>
            <w:vAlign w:val="bottom"/>
          </w:tcPr>
          <w:p>
            <w:pPr>
              <w:pStyle w:val="TableContents"/>
              <w:spacing w:before="0" w:after="283"/>
              <w:rPr/>
            </w:pPr>
            <w:r>
              <w:rPr/>
              <w:t> </w:t>
            </w:r>
          </w:p>
        </w:tc>
      </w:tr>
      <w:tr>
        <w:trPr/>
        <w:tc>
          <w:tcPr>
            <w:tcW w:w="2888" w:type="dxa"/>
            <w:tcBorders/>
            <w:shd w:fill="CCEEFF" w:val="clear"/>
          </w:tcPr>
          <w:p>
            <w:pPr>
              <w:pStyle w:val="TableContents"/>
              <w:spacing w:before="0" w:after="0"/>
              <w:rPr>
                <w:rFonts w:ascii="Times New Roman" w:hAnsi="Times New Roman"/>
                <w:sz w:val="20"/>
              </w:rPr>
            </w:pPr>
            <w:r>
              <w:rPr>
                <w:rFonts w:ascii="Times New Roman" w:hAnsi="Times New Roman"/>
                <w:sz w:val="20"/>
              </w:rPr>
              <w:t>48 months</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0.241</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0.263</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0.283</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59" w:type="dxa"/>
            <w:tcBorders/>
            <w:shd w:fill="CCEEFF" w:val="clear"/>
            <w:vAlign w:val="bottom"/>
          </w:tcPr>
          <w:p>
            <w:pPr>
              <w:pStyle w:val="TableContents"/>
              <w:spacing w:before="0" w:after="283"/>
              <w:jc w:val="right"/>
              <w:rPr/>
            </w:pPr>
            <w:r>
              <w:rPr/>
              <w:t>0.301</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0.317</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0.332</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0.344</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0.356</w:t>
            </w:r>
          </w:p>
        </w:tc>
        <w:tc>
          <w:tcPr>
            <w:tcW w:w="59"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0.361</w:t>
            </w:r>
          </w:p>
        </w:tc>
        <w:tc>
          <w:tcPr>
            <w:tcW w:w="71" w:type="dxa"/>
            <w:tcBorders/>
            <w:shd w:fill="CCEEFF" w:val="clear"/>
            <w:vAlign w:val="bottom"/>
          </w:tcPr>
          <w:p>
            <w:pPr>
              <w:pStyle w:val="TableContents"/>
              <w:spacing w:before="0" w:after="283"/>
              <w:rPr/>
            </w:pPr>
            <w:r>
              <w:rPr/>
              <w:t> </w:t>
            </w:r>
          </w:p>
        </w:tc>
      </w:tr>
      <w:tr>
        <w:trPr/>
        <w:tc>
          <w:tcPr>
            <w:tcW w:w="2888" w:type="dxa"/>
            <w:tcBorders/>
            <w:shd w:fill="auto" w:val="clear"/>
          </w:tcPr>
          <w:p>
            <w:pPr>
              <w:pStyle w:val="TableContents"/>
              <w:spacing w:before="0" w:after="0"/>
              <w:rPr>
                <w:rFonts w:ascii="Times New Roman" w:hAnsi="Times New Roman"/>
                <w:sz w:val="20"/>
              </w:rPr>
            </w:pPr>
            <w:r>
              <w:rPr>
                <w:rFonts w:ascii="Times New Roman" w:hAnsi="Times New Roman"/>
                <w:sz w:val="20"/>
              </w:rPr>
              <w:t>45 months</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0.235</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0.258</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0.279</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59" w:type="dxa"/>
            <w:tcBorders/>
            <w:shd w:fill="auto" w:val="clear"/>
            <w:vAlign w:val="bottom"/>
          </w:tcPr>
          <w:p>
            <w:pPr>
              <w:pStyle w:val="TableContents"/>
              <w:spacing w:before="0" w:after="283"/>
              <w:jc w:val="right"/>
              <w:rPr/>
            </w:pPr>
            <w:r>
              <w:rPr/>
              <w:t>0.298</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0.315</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0.330</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0.343</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0.356</w:t>
            </w:r>
          </w:p>
        </w:tc>
        <w:tc>
          <w:tcPr>
            <w:tcW w:w="59"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0.361</w:t>
            </w:r>
          </w:p>
        </w:tc>
        <w:tc>
          <w:tcPr>
            <w:tcW w:w="71" w:type="dxa"/>
            <w:tcBorders/>
            <w:shd w:fill="auto" w:val="clear"/>
            <w:vAlign w:val="bottom"/>
          </w:tcPr>
          <w:p>
            <w:pPr>
              <w:pStyle w:val="TableContents"/>
              <w:spacing w:before="0" w:after="283"/>
              <w:rPr/>
            </w:pPr>
            <w:r>
              <w:rPr/>
              <w:t> </w:t>
            </w:r>
          </w:p>
        </w:tc>
      </w:tr>
      <w:tr>
        <w:trPr/>
        <w:tc>
          <w:tcPr>
            <w:tcW w:w="2888" w:type="dxa"/>
            <w:tcBorders/>
            <w:shd w:fill="CCEEFF" w:val="clear"/>
          </w:tcPr>
          <w:p>
            <w:pPr>
              <w:pStyle w:val="TableContents"/>
              <w:spacing w:before="0" w:after="0"/>
              <w:rPr>
                <w:rFonts w:ascii="Times New Roman" w:hAnsi="Times New Roman"/>
                <w:sz w:val="20"/>
              </w:rPr>
            </w:pPr>
            <w:r>
              <w:rPr>
                <w:rFonts w:ascii="Times New Roman" w:hAnsi="Times New Roman"/>
                <w:sz w:val="20"/>
              </w:rPr>
              <w:t>42 months</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0.228</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0.252</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0.274</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59" w:type="dxa"/>
            <w:tcBorders/>
            <w:shd w:fill="CCEEFF" w:val="clear"/>
            <w:vAlign w:val="bottom"/>
          </w:tcPr>
          <w:p>
            <w:pPr>
              <w:pStyle w:val="TableContents"/>
              <w:spacing w:before="0" w:after="283"/>
              <w:jc w:val="right"/>
              <w:rPr/>
            </w:pPr>
            <w:r>
              <w:rPr/>
              <w:t>0.294</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0.312</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0.328</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0.342</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0.355</w:t>
            </w:r>
          </w:p>
        </w:tc>
        <w:tc>
          <w:tcPr>
            <w:tcW w:w="59"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0.361</w:t>
            </w:r>
          </w:p>
        </w:tc>
        <w:tc>
          <w:tcPr>
            <w:tcW w:w="71" w:type="dxa"/>
            <w:tcBorders/>
            <w:shd w:fill="CCEEFF" w:val="clear"/>
            <w:vAlign w:val="bottom"/>
          </w:tcPr>
          <w:p>
            <w:pPr>
              <w:pStyle w:val="TableContents"/>
              <w:spacing w:before="0" w:after="283"/>
              <w:rPr/>
            </w:pPr>
            <w:r>
              <w:rPr/>
              <w:t> </w:t>
            </w:r>
          </w:p>
        </w:tc>
      </w:tr>
      <w:tr>
        <w:trPr/>
        <w:tc>
          <w:tcPr>
            <w:tcW w:w="2888" w:type="dxa"/>
            <w:tcBorders/>
            <w:shd w:fill="auto" w:val="clear"/>
          </w:tcPr>
          <w:p>
            <w:pPr>
              <w:pStyle w:val="TableContents"/>
              <w:spacing w:before="0" w:after="0"/>
              <w:rPr>
                <w:rFonts w:ascii="Times New Roman" w:hAnsi="Times New Roman"/>
                <w:sz w:val="20"/>
              </w:rPr>
            </w:pPr>
            <w:r>
              <w:rPr>
                <w:rFonts w:ascii="Times New Roman" w:hAnsi="Times New Roman"/>
                <w:sz w:val="20"/>
              </w:rPr>
              <w:t>39 months</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0.221</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0.246</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0.269</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59" w:type="dxa"/>
            <w:tcBorders/>
            <w:shd w:fill="auto" w:val="clear"/>
            <w:vAlign w:val="bottom"/>
          </w:tcPr>
          <w:p>
            <w:pPr>
              <w:pStyle w:val="TableContents"/>
              <w:spacing w:before="0" w:after="283"/>
              <w:jc w:val="right"/>
              <w:rPr/>
            </w:pPr>
            <w:r>
              <w:rPr/>
              <w:t>0.290</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0.309</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0.325</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0.340</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0.354</w:t>
            </w:r>
          </w:p>
        </w:tc>
        <w:tc>
          <w:tcPr>
            <w:tcW w:w="59"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0.361</w:t>
            </w:r>
          </w:p>
        </w:tc>
        <w:tc>
          <w:tcPr>
            <w:tcW w:w="71" w:type="dxa"/>
            <w:tcBorders/>
            <w:shd w:fill="auto" w:val="clear"/>
            <w:vAlign w:val="bottom"/>
          </w:tcPr>
          <w:p>
            <w:pPr>
              <w:pStyle w:val="TableContents"/>
              <w:spacing w:before="0" w:after="283"/>
              <w:rPr/>
            </w:pPr>
            <w:r>
              <w:rPr/>
              <w:t> </w:t>
            </w:r>
          </w:p>
        </w:tc>
      </w:tr>
      <w:tr>
        <w:trPr/>
        <w:tc>
          <w:tcPr>
            <w:tcW w:w="2888" w:type="dxa"/>
            <w:tcBorders/>
            <w:shd w:fill="CCEEFF" w:val="clear"/>
          </w:tcPr>
          <w:p>
            <w:pPr>
              <w:pStyle w:val="TableContents"/>
              <w:spacing w:before="0" w:after="0"/>
              <w:rPr>
                <w:rFonts w:ascii="Times New Roman" w:hAnsi="Times New Roman"/>
                <w:sz w:val="20"/>
              </w:rPr>
            </w:pPr>
            <w:r>
              <w:rPr>
                <w:rFonts w:ascii="Times New Roman" w:hAnsi="Times New Roman"/>
                <w:sz w:val="20"/>
              </w:rPr>
              <w:t>36 months</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0.213</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0.239</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0.263</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59" w:type="dxa"/>
            <w:tcBorders/>
            <w:shd w:fill="CCEEFF" w:val="clear"/>
            <w:vAlign w:val="bottom"/>
          </w:tcPr>
          <w:p>
            <w:pPr>
              <w:pStyle w:val="TableContents"/>
              <w:spacing w:before="0" w:after="283"/>
              <w:jc w:val="right"/>
              <w:rPr/>
            </w:pPr>
            <w:r>
              <w:rPr/>
              <w:t>0.285</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0.305</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0.323</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0.339</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0.353</w:t>
            </w:r>
          </w:p>
        </w:tc>
        <w:tc>
          <w:tcPr>
            <w:tcW w:w="59"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0.361</w:t>
            </w:r>
          </w:p>
        </w:tc>
        <w:tc>
          <w:tcPr>
            <w:tcW w:w="71" w:type="dxa"/>
            <w:tcBorders/>
            <w:shd w:fill="CCEEFF" w:val="clear"/>
            <w:vAlign w:val="bottom"/>
          </w:tcPr>
          <w:p>
            <w:pPr>
              <w:pStyle w:val="TableContents"/>
              <w:spacing w:before="0" w:after="283"/>
              <w:rPr/>
            </w:pPr>
            <w:r>
              <w:rPr/>
              <w:t> </w:t>
            </w:r>
          </w:p>
        </w:tc>
      </w:tr>
      <w:tr>
        <w:trPr/>
        <w:tc>
          <w:tcPr>
            <w:tcW w:w="2888" w:type="dxa"/>
            <w:tcBorders/>
            <w:shd w:fill="auto" w:val="clear"/>
          </w:tcPr>
          <w:p>
            <w:pPr>
              <w:pStyle w:val="TableContents"/>
              <w:spacing w:before="0" w:after="0"/>
              <w:rPr>
                <w:rFonts w:ascii="Times New Roman" w:hAnsi="Times New Roman"/>
                <w:sz w:val="20"/>
              </w:rPr>
            </w:pPr>
            <w:r>
              <w:rPr>
                <w:rFonts w:ascii="Times New Roman" w:hAnsi="Times New Roman"/>
                <w:sz w:val="20"/>
              </w:rPr>
              <w:t>33 months</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0.205</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0.232</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0.257</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59" w:type="dxa"/>
            <w:tcBorders/>
            <w:shd w:fill="auto" w:val="clear"/>
            <w:vAlign w:val="bottom"/>
          </w:tcPr>
          <w:p>
            <w:pPr>
              <w:pStyle w:val="TableContents"/>
              <w:spacing w:before="0" w:after="283"/>
              <w:jc w:val="right"/>
              <w:rPr/>
            </w:pPr>
            <w:r>
              <w:rPr/>
              <w:t>0.280</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0.301</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0.320</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0.337</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0.352</w:t>
            </w:r>
          </w:p>
        </w:tc>
        <w:tc>
          <w:tcPr>
            <w:tcW w:w="59"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0.361</w:t>
            </w:r>
          </w:p>
        </w:tc>
        <w:tc>
          <w:tcPr>
            <w:tcW w:w="71" w:type="dxa"/>
            <w:tcBorders/>
            <w:shd w:fill="auto" w:val="clear"/>
            <w:vAlign w:val="bottom"/>
          </w:tcPr>
          <w:p>
            <w:pPr>
              <w:pStyle w:val="TableContents"/>
              <w:spacing w:before="0" w:after="283"/>
              <w:rPr/>
            </w:pPr>
            <w:r>
              <w:rPr/>
              <w:t> </w:t>
            </w:r>
          </w:p>
        </w:tc>
      </w:tr>
      <w:tr>
        <w:trPr/>
        <w:tc>
          <w:tcPr>
            <w:tcW w:w="2888" w:type="dxa"/>
            <w:tcBorders/>
            <w:shd w:fill="CCEEFF" w:val="clear"/>
          </w:tcPr>
          <w:p>
            <w:pPr>
              <w:pStyle w:val="TableContents"/>
              <w:spacing w:before="0" w:after="0"/>
              <w:rPr>
                <w:rFonts w:ascii="Times New Roman" w:hAnsi="Times New Roman"/>
                <w:sz w:val="20"/>
              </w:rPr>
            </w:pPr>
            <w:r>
              <w:rPr>
                <w:rFonts w:ascii="Times New Roman" w:hAnsi="Times New Roman"/>
                <w:sz w:val="20"/>
              </w:rPr>
              <w:t>30 months</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0.196</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0.224</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0.250</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59" w:type="dxa"/>
            <w:tcBorders/>
            <w:shd w:fill="CCEEFF" w:val="clear"/>
            <w:vAlign w:val="bottom"/>
          </w:tcPr>
          <w:p>
            <w:pPr>
              <w:pStyle w:val="TableContents"/>
              <w:spacing w:before="0" w:after="283"/>
              <w:jc w:val="right"/>
              <w:rPr/>
            </w:pPr>
            <w:r>
              <w:rPr/>
              <w:t>0.274</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0.297</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0.316</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0.335</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0.351</w:t>
            </w:r>
          </w:p>
        </w:tc>
        <w:tc>
          <w:tcPr>
            <w:tcW w:w="59"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0.361</w:t>
            </w:r>
          </w:p>
        </w:tc>
        <w:tc>
          <w:tcPr>
            <w:tcW w:w="71" w:type="dxa"/>
            <w:tcBorders/>
            <w:shd w:fill="CCEEFF" w:val="clear"/>
            <w:vAlign w:val="bottom"/>
          </w:tcPr>
          <w:p>
            <w:pPr>
              <w:pStyle w:val="TableContents"/>
              <w:spacing w:before="0" w:after="283"/>
              <w:rPr/>
            </w:pPr>
            <w:r>
              <w:rPr/>
              <w:t> </w:t>
            </w:r>
          </w:p>
        </w:tc>
      </w:tr>
      <w:tr>
        <w:trPr/>
        <w:tc>
          <w:tcPr>
            <w:tcW w:w="2888" w:type="dxa"/>
            <w:tcBorders/>
            <w:shd w:fill="auto" w:val="clear"/>
          </w:tcPr>
          <w:p>
            <w:pPr>
              <w:pStyle w:val="TableContents"/>
              <w:spacing w:before="0" w:after="0"/>
              <w:rPr>
                <w:rFonts w:ascii="Times New Roman" w:hAnsi="Times New Roman"/>
                <w:sz w:val="20"/>
              </w:rPr>
            </w:pPr>
            <w:r>
              <w:rPr>
                <w:rFonts w:ascii="Times New Roman" w:hAnsi="Times New Roman"/>
                <w:sz w:val="20"/>
              </w:rPr>
              <w:t>27 months</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0.185</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0.214</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0.242</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59" w:type="dxa"/>
            <w:tcBorders/>
            <w:shd w:fill="auto" w:val="clear"/>
            <w:vAlign w:val="bottom"/>
          </w:tcPr>
          <w:p>
            <w:pPr>
              <w:pStyle w:val="TableContents"/>
              <w:spacing w:before="0" w:after="283"/>
              <w:jc w:val="right"/>
              <w:rPr/>
            </w:pPr>
            <w:r>
              <w:rPr/>
              <w:t>0.268</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0.291</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0.313</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0.332</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0.350</w:t>
            </w:r>
          </w:p>
        </w:tc>
        <w:tc>
          <w:tcPr>
            <w:tcW w:w="59"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0.361</w:t>
            </w:r>
          </w:p>
        </w:tc>
        <w:tc>
          <w:tcPr>
            <w:tcW w:w="71" w:type="dxa"/>
            <w:tcBorders/>
            <w:shd w:fill="auto" w:val="clear"/>
            <w:vAlign w:val="bottom"/>
          </w:tcPr>
          <w:p>
            <w:pPr>
              <w:pStyle w:val="TableContents"/>
              <w:spacing w:before="0" w:after="283"/>
              <w:rPr/>
            </w:pPr>
            <w:r>
              <w:rPr/>
              <w:t> </w:t>
            </w:r>
          </w:p>
        </w:tc>
      </w:tr>
      <w:tr>
        <w:trPr/>
        <w:tc>
          <w:tcPr>
            <w:tcW w:w="2888" w:type="dxa"/>
            <w:tcBorders/>
            <w:shd w:fill="CCEEFF" w:val="clear"/>
          </w:tcPr>
          <w:p>
            <w:pPr>
              <w:pStyle w:val="TableContents"/>
              <w:spacing w:before="0" w:after="0"/>
              <w:rPr>
                <w:rFonts w:ascii="Times New Roman" w:hAnsi="Times New Roman"/>
                <w:sz w:val="20"/>
              </w:rPr>
            </w:pPr>
            <w:r>
              <w:rPr>
                <w:rFonts w:ascii="Times New Roman" w:hAnsi="Times New Roman"/>
                <w:sz w:val="20"/>
              </w:rPr>
              <w:t>24 months</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0.173</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0.204</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0.233</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59" w:type="dxa"/>
            <w:tcBorders/>
            <w:shd w:fill="CCEEFF" w:val="clear"/>
            <w:vAlign w:val="bottom"/>
          </w:tcPr>
          <w:p>
            <w:pPr>
              <w:pStyle w:val="TableContents"/>
              <w:spacing w:before="0" w:after="283"/>
              <w:jc w:val="right"/>
              <w:rPr/>
            </w:pPr>
            <w:r>
              <w:rPr/>
              <w:t>0.260</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0.285</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0.308</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0.329</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0.348</w:t>
            </w:r>
          </w:p>
        </w:tc>
        <w:tc>
          <w:tcPr>
            <w:tcW w:w="59"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0.361</w:t>
            </w:r>
          </w:p>
        </w:tc>
        <w:tc>
          <w:tcPr>
            <w:tcW w:w="71" w:type="dxa"/>
            <w:tcBorders/>
            <w:shd w:fill="CCEEFF" w:val="clear"/>
            <w:vAlign w:val="bottom"/>
          </w:tcPr>
          <w:p>
            <w:pPr>
              <w:pStyle w:val="TableContents"/>
              <w:spacing w:before="0" w:after="283"/>
              <w:rPr/>
            </w:pPr>
            <w:r>
              <w:rPr/>
              <w:t> </w:t>
            </w:r>
          </w:p>
        </w:tc>
      </w:tr>
      <w:tr>
        <w:trPr/>
        <w:tc>
          <w:tcPr>
            <w:tcW w:w="2888" w:type="dxa"/>
            <w:tcBorders/>
            <w:shd w:fill="auto" w:val="clear"/>
          </w:tcPr>
          <w:p>
            <w:pPr>
              <w:pStyle w:val="TableContents"/>
              <w:spacing w:before="0" w:after="0"/>
              <w:rPr>
                <w:rFonts w:ascii="Times New Roman" w:hAnsi="Times New Roman"/>
                <w:sz w:val="20"/>
              </w:rPr>
            </w:pPr>
            <w:r>
              <w:rPr>
                <w:rFonts w:ascii="Times New Roman" w:hAnsi="Times New Roman"/>
                <w:sz w:val="20"/>
              </w:rPr>
              <w:t>21 months</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0.161</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0.193</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0.223</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59" w:type="dxa"/>
            <w:tcBorders/>
            <w:shd w:fill="auto" w:val="clear"/>
            <w:vAlign w:val="bottom"/>
          </w:tcPr>
          <w:p>
            <w:pPr>
              <w:pStyle w:val="TableContents"/>
              <w:spacing w:before="0" w:after="283"/>
              <w:jc w:val="right"/>
              <w:rPr/>
            </w:pPr>
            <w:r>
              <w:rPr/>
              <w:t>0.252</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0.279</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0.304</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0.326</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0.347</w:t>
            </w:r>
          </w:p>
        </w:tc>
        <w:tc>
          <w:tcPr>
            <w:tcW w:w="59"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0.361</w:t>
            </w:r>
          </w:p>
        </w:tc>
        <w:tc>
          <w:tcPr>
            <w:tcW w:w="71" w:type="dxa"/>
            <w:tcBorders/>
            <w:shd w:fill="auto" w:val="clear"/>
            <w:vAlign w:val="bottom"/>
          </w:tcPr>
          <w:p>
            <w:pPr>
              <w:pStyle w:val="TableContents"/>
              <w:spacing w:before="0" w:after="283"/>
              <w:rPr/>
            </w:pPr>
            <w:r>
              <w:rPr/>
              <w:t> </w:t>
            </w:r>
          </w:p>
        </w:tc>
      </w:tr>
      <w:tr>
        <w:trPr/>
        <w:tc>
          <w:tcPr>
            <w:tcW w:w="2888" w:type="dxa"/>
            <w:tcBorders/>
            <w:shd w:fill="CCEEFF" w:val="clear"/>
          </w:tcPr>
          <w:p>
            <w:pPr>
              <w:pStyle w:val="TableContents"/>
              <w:spacing w:before="0" w:after="0"/>
              <w:rPr>
                <w:rFonts w:ascii="Times New Roman" w:hAnsi="Times New Roman"/>
                <w:sz w:val="20"/>
              </w:rPr>
            </w:pPr>
            <w:r>
              <w:rPr>
                <w:rFonts w:ascii="Times New Roman" w:hAnsi="Times New Roman"/>
                <w:sz w:val="20"/>
              </w:rPr>
              <w:t>18 months</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0.146</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0.179</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0.211</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59" w:type="dxa"/>
            <w:tcBorders/>
            <w:shd w:fill="CCEEFF" w:val="clear"/>
            <w:vAlign w:val="bottom"/>
          </w:tcPr>
          <w:p>
            <w:pPr>
              <w:pStyle w:val="TableContents"/>
              <w:spacing w:before="0" w:after="283"/>
              <w:jc w:val="right"/>
              <w:rPr/>
            </w:pPr>
            <w:r>
              <w:rPr/>
              <w:t>0.242</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0.271</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0.298</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0.322</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0.345</w:t>
            </w:r>
          </w:p>
        </w:tc>
        <w:tc>
          <w:tcPr>
            <w:tcW w:w="59"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0.361</w:t>
            </w:r>
          </w:p>
        </w:tc>
        <w:tc>
          <w:tcPr>
            <w:tcW w:w="71" w:type="dxa"/>
            <w:tcBorders/>
            <w:shd w:fill="CCEEFF" w:val="clear"/>
            <w:vAlign w:val="bottom"/>
          </w:tcPr>
          <w:p>
            <w:pPr>
              <w:pStyle w:val="TableContents"/>
              <w:spacing w:before="0" w:after="283"/>
              <w:rPr/>
            </w:pPr>
            <w:r>
              <w:rPr/>
              <w:t> </w:t>
            </w:r>
          </w:p>
        </w:tc>
      </w:tr>
      <w:tr>
        <w:trPr/>
        <w:tc>
          <w:tcPr>
            <w:tcW w:w="2888" w:type="dxa"/>
            <w:tcBorders/>
            <w:shd w:fill="auto" w:val="clear"/>
          </w:tcPr>
          <w:p>
            <w:pPr>
              <w:pStyle w:val="TableContents"/>
              <w:spacing w:before="0" w:after="0"/>
              <w:rPr>
                <w:rFonts w:ascii="Times New Roman" w:hAnsi="Times New Roman"/>
                <w:sz w:val="20"/>
              </w:rPr>
            </w:pPr>
            <w:r>
              <w:rPr>
                <w:rFonts w:ascii="Times New Roman" w:hAnsi="Times New Roman"/>
                <w:sz w:val="20"/>
              </w:rPr>
              <w:t>15 months</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0.130</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0.164</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0.197</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59" w:type="dxa"/>
            <w:tcBorders/>
            <w:shd w:fill="auto" w:val="clear"/>
            <w:vAlign w:val="bottom"/>
          </w:tcPr>
          <w:p>
            <w:pPr>
              <w:pStyle w:val="TableContents"/>
              <w:spacing w:before="0" w:after="283"/>
              <w:jc w:val="right"/>
              <w:rPr/>
            </w:pPr>
            <w:r>
              <w:rPr/>
              <w:t>0.230</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0.262</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0.291</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0.317</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0.342</w:t>
            </w:r>
          </w:p>
        </w:tc>
        <w:tc>
          <w:tcPr>
            <w:tcW w:w="59"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0.361</w:t>
            </w:r>
          </w:p>
        </w:tc>
        <w:tc>
          <w:tcPr>
            <w:tcW w:w="71" w:type="dxa"/>
            <w:tcBorders/>
            <w:shd w:fill="auto" w:val="clear"/>
            <w:vAlign w:val="bottom"/>
          </w:tcPr>
          <w:p>
            <w:pPr>
              <w:pStyle w:val="TableContents"/>
              <w:spacing w:before="0" w:after="283"/>
              <w:rPr/>
            </w:pPr>
            <w:r>
              <w:rPr/>
              <w:t> </w:t>
            </w:r>
          </w:p>
        </w:tc>
      </w:tr>
      <w:tr>
        <w:trPr/>
        <w:tc>
          <w:tcPr>
            <w:tcW w:w="2888" w:type="dxa"/>
            <w:tcBorders/>
            <w:shd w:fill="CCEEFF" w:val="clear"/>
          </w:tcPr>
          <w:p>
            <w:pPr>
              <w:pStyle w:val="TableContents"/>
              <w:spacing w:before="0" w:after="0"/>
              <w:rPr>
                <w:rFonts w:ascii="Times New Roman" w:hAnsi="Times New Roman"/>
                <w:sz w:val="20"/>
              </w:rPr>
            </w:pPr>
            <w:r>
              <w:rPr>
                <w:rFonts w:ascii="Times New Roman" w:hAnsi="Times New Roman"/>
                <w:sz w:val="20"/>
              </w:rPr>
              <w:t>12 months</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0.111</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0.146</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0.181</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59" w:type="dxa"/>
            <w:tcBorders/>
            <w:shd w:fill="CCEEFF" w:val="clear"/>
            <w:vAlign w:val="bottom"/>
          </w:tcPr>
          <w:p>
            <w:pPr>
              <w:pStyle w:val="TableContents"/>
              <w:spacing w:before="0" w:after="283"/>
              <w:jc w:val="right"/>
              <w:rPr/>
            </w:pPr>
            <w:r>
              <w:rPr/>
              <w:t>0.216</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0.250</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0.282</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0.312</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0.339</w:t>
            </w:r>
          </w:p>
        </w:tc>
        <w:tc>
          <w:tcPr>
            <w:tcW w:w="59"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0.361</w:t>
            </w:r>
          </w:p>
        </w:tc>
        <w:tc>
          <w:tcPr>
            <w:tcW w:w="71" w:type="dxa"/>
            <w:tcBorders/>
            <w:shd w:fill="CCEEFF" w:val="clear"/>
            <w:vAlign w:val="bottom"/>
          </w:tcPr>
          <w:p>
            <w:pPr>
              <w:pStyle w:val="TableContents"/>
              <w:spacing w:before="0" w:after="283"/>
              <w:rPr/>
            </w:pPr>
            <w:r>
              <w:rPr/>
              <w:t> </w:t>
            </w:r>
          </w:p>
        </w:tc>
      </w:tr>
      <w:tr>
        <w:trPr/>
        <w:tc>
          <w:tcPr>
            <w:tcW w:w="2888" w:type="dxa"/>
            <w:tcBorders/>
            <w:shd w:fill="auto" w:val="clear"/>
          </w:tcPr>
          <w:p>
            <w:pPr>
              <w:pStyle w:val="TableContents"/>
              <w:spacing w:before="0" w:after="0"/>
              <w:rPr>
                <w:rFonts w:ascii="Times New Roman" w:hAnsi="Times New Roman"/>
                <w:sz w:val="20"/>
              </w:rPr>
            </w:pPr>
            <w:r>
              <w:rPr>
                <w:rFonts w:ascii="Times New Roman" w:hAnsi="Times New Roman"/>
                <w:sz w:val="20"/>
              </w:rPr>
              <w:t>9 months</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0.090</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0.125</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0.162</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59" w:type="dxa"/>
            <w:tcBorders/>
            <w:shd w:fill="auto" w:val="clear"/>
            <w:vAlign w:val="bottom"/>
          </w:tcPr>
          <w:p>
            <w:pPr>
              <w:pStyle w:val="TableContents"/>
              <w:spacing w:before="0" w:after="283"/>
              <w:jc w:val="right"/>
              <w:rPr/>
            </w:pPr>
            <w:r>
              <w:rPr/>
              <w:t>0.199</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0.237</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0.272</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0.305</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0.336</w:t>
            </w:r>
          </w:p>
        </w:tc>
        <w:tc>
          <w:tcPr>
            <w:tcW w:w="59"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0.361</w:t>
            </w:r>
          </w:p>
        </w:tc>
        <w:tc>
          <w:tcPr>
            <w:tcW w:w="71" w:type="dxa"/>
            <w:tcBorders/>
            <w:shd w:fill="auto" w:val="clear"/>
            <w:vAlign w:val="bottom"/>
          </w:tcPr>
          <w:p>
            <w:pPr>
              <w:pStyle w:val="TableContents"/>
              <w:spacing w:before="0" w:after="283"/>
              <w:rPr/>
            </w:pPr>
            <w:r>
              <w:rPr/>
              <w:t> </w:t>
            </w:r>
          </w:p>
        </w:tc>
      </w:tr>
      <w:tr>
        <w:trPr/>
        <w:tc>
          <w:tcPr>
            <w:tcW w:w="2888" w:type="dxa"/>
            <w:tcBorders/>
            <w:shd w:fill="CCEEFF" w:val="clear"/>
          </w:tcPr>
          <w:p>
            <w:pPr>
              <w:pStyle w:val="TableContents"/>
              <w:spacing w:before="0" w:after="0"/>
              <w:rPr>
                <w:rFonts w:ascii="Times New Roman" w:hAnsi="Times New Roman"/>
                <w:sz w:val="20"/>
              </w:rPr>
            </w:pPr>
            <w:r>
              <w:rPr>
                <w:rFonts w:ascii="Times New Roman" w:hAnsi="Times New Roman"/>
                <w:sz w:val="20"/>
              </w:rPr>
              <w:t>6 months</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0.065</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0.099</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0.137</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59" w:type="dxa"/>
            <w:tcBorders/>
            <w:shd w:fill="CCEEFF" w:val="clear"/>
            <w:vAlign w:val="bottom"/>
          </w:tcPr>
          <w:p>
            <w:pPr>
              <w:pStyle w:val="TableContents"/>
              <w:spacing w:before="0" w:after="283"/>
              <w:jc w:val="right"/>
              <w:rPr/>
            </w:pPr>
            <w:r>
              <w:rPr/>
              <w:t>0.178</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0.219</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0.259</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0.296</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0.331</w:t>
            </w:r>
          </w:p>
        </w:tc>
        <w:tc>
          <w:tcPr>
            <w:tcW w:w="59"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0.361</w:t>
            </w:r>
          </w:p>
        </w:tc>
        <w:tc>
          <w:tcPr>
            <w:tcW w:w="71" w:type="dxa"/>
            <w:tcBorders/>
            <w:shd w:fill="CCEEFF" w:val="clear"/>
            <w:vAlign w:val="bottom"/>
          </w:tcPr>
          <w:p>
            <w:pPr>
              <w:pStyle w:val="TableContents"/>
              <w:spacing w:before="0" w:after="283"/>
              <w:rPr/>
            </w:pPr>
            <w:r>
              <w:rPr/>
              <w:t> </w:t>
            </w:r>
          </w:p>
        </w:tc>
      </w:tr>
      <w:tr>
        <w:trPr/>
        <w:tc>
          <w:tcPr>
            <w:tcW w:w="2888" w:type="dxa"/>
            <w:tcBorders/>
            <w:shd w:fill="auto" w:val="clear"/>
          </w:tcPr>
          <w:p>
            <w:pPr>
              <w:pStyle w:val="TableContents"/>
              <w:spacing w:before="0" w:after="0"/>
              <w:rPr>
                <w:rFonts w:ascii="Times New Roman" w:hAnsi="Times New Roman"/>
                <w:sz w:val="20"/>
              </w:rPr>
            </w:pPr>
            <w:r>
              <w:rPr>
                <w:rFonts w:ascii="Times New Roman" w:hAnsi="Times New Roman"/>
                <w:sz w:val="20"/>
              </w:rPr>
              <w:t>3 months</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0.034</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0.065</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0.104</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59" w:type="dxa"/>
            <w:tcBorders/>
            <w:shd w:fill="auto" w:val="clear"/>
            <w:vAlign w:val="bottom"/>
          </w:tcPr>
          <w:p>
            <w:pPr>
              <w:pStyle w:val="TableContents"/>
              <w:spacing w:before="0" w:after="283"/>
              <w:jc w:val="right"/>
              <w:rPr/>
            </w:pPr>
            <w:r>
              <w:rPr/>
              <w:t>0.150</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0.197</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0.243</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0.286</w:t>
            </w:r>
          </w:p>
        </w:tc>
        <w:tc>
          <w:tcPr>
            <w:tcW w:w="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0.326</w:t>
            </w:r>
          </w:p>
        </w:tc>
        <w:tc>
          <w:tcPr>
            <w:tcW w:w="59"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0.361</w:t>
            </w:r>
          </w:p>
        </w:tc>
        <w:tc>
          <w:tcPr>
            <w:tcW w:w="71" w:type="dxa"/>
            <w:tcBorders/>
            <w:shd w:fill="auto" w:val="clear"/>
            <w:vAlign w:val="bottom"/>
          </w:tcPr>
          <w:p>
            <w:pPr>
              <w:pStyle w:val="TableContents"/>
              <w:spacing w:before="0" w:after="283"/>
              <w:rPr/>
            </w:pPr>
            <w:r>
              <w:rPr/>
              <w:t> </w:t>
            </w:r>
          </w:p>
        </w:tc>
      </w:tr>
      <w:tr>
        <w:trPr/>
        <w:tc>
          <w:tcPr>
            <w:tcW w:w="2888" w:type="dxa"/>
            <w:tcBorders/>
            <w:shd w:fill="CCEEFF" w:val="clear"/>
          </w:tcPr>
          <w:p>
            <w:pPr>
              <w:pStyle w:val="TableContents"/>
              <w:spacing w:before="0" w:after="0"/>
              <w:rPr>
                <w:rFonts w:ascii="Times New Roman" w:hAnsi="Times New Roman"/>
                <w:sz w:val="20"/>
              </w:rPr>
            </w:pPr>
            <w:r>
              <w:rPr>
                <w:rFonts w:ascii="Times New Roman" w:hAnsi="Times New Roman"/>
                <w:sz w:val="20"/>
              </w:rPr>
              <w:t>0 months</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0.042</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59" w:type="dxa"/>
            <w:tcBorders/>
            <w:shd w:fill="CCEEFF" w:val="clear"/>
            <w:vAlign w:val="bottom"/>
          </w:tcPr>
          <w:p>
            <w:pPr>
              <w:pStyle w:val="TableContents"/>
              <w:spacing w:before="0" w:after="283"/>
              <w:jc w:val="right"/>
              <w:rPr/>
            </w:pPr>
            <w:r>
              <w:rPr/>
              <w:t>0.115</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0.179</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0.233</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0.281</w:t>
            </w:r>
          </w:p>
        </w:tc>
        <w:tc>
          <w:tcPr>
            <w:tcW w:w="6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0.323</w:t>
            </w:r>
          </w:p>
        </w:tc>
        <w:tc>
          <w:tcPr>
            <w:tcW w:w="59"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0.361</w:t>
            </w:r>
          </w:p>
        </w:tc>
        <w:tc>
          <w:tcPr>
            <w:tcW w:w="71" w:type="dxa"/>
            <w:tcBorders/>
            <w:shd w:fill="CCEEFF" w:val="clear"/>
            <w:vAlign w:val="bottom"/>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The exact Redemption Fair Market Value and Redemption Date may not be set forth in the table above, in which case, if the Redemption Fair Market Value is between two values in the table or the Redemption Date is between two redemption dates in the table, the number of Ordinary Shares to be issued for each Warrant exercised in a Make-Whole Exercise shall be determined by a straight-line interpolation between the number of shares set forth for the higher and lower Redemption Fair Market Values and the earlier and later redemption dates, as applicable, based on a 365- or 366-day year, as applicable. </w:t>
      </w:r>
    </w:p>
    <w:p>
      <w:pPr>
        <w:pStyle w:val="TextBody"/>
        <w:spacing w:before="240" w:after="0"/>
        <w:jc w:val="left"/>
        <w:rPr>
          <w:rFonts w:ascii="Times New Roman" w:hAnsi="Times New Roman"/>
          <w:sz w:val="20"/>
        </w:rPr>
      </w:pPr>
      <w:r>
        <w:rPr>
          <w:rFonts w:ascii="Times New Roman" w:hAnsi="Times New Roman"/>
          <w:sz w:val="20"/>
        </w:rPr>
        <w:t xml:space="preserve">The share prices set forth in the column headings of the table above shall be adjusted as of any date on which the number of shares issuable upon exercise of a Warrant or the Exercise Price is adjusted pursuant to </w:t>
      </w:r>
      <w:r>
        <w:rPr>
          <w:rFonts w:ascii="Times New Roman" w:hAnsi="Times New Roman"/>
          <w:sz w:val="20"/>
          <w:u w:val="single"/>
        </w:rPr>
        <w:t>Section 4</w:t>
      </w:r>
      <w:r>
        <w:rPr>
          <w:rFonts w:ascii="Times New Roman" w:hAnsi="Times New Roman"/>
          <w:sz w:val="20"/>
        </w:rPr>
        <w:t xml:space="preserve"> hereof. If the number of shares issuable upon exercise of a Warrant is adjusted pursuant to Section 4 hereof, the adjusted share prices in the column headings shall equal the share prices immediately prior to such adjustment, multiplied by a fraction, the numerator of which is the number of shares deliverable upon exercise of a Warrant immediately prior to such adjustment and the denominator of which is the number of shares deliverable upon exercise of a Warrant as so adjusted. The number of shares in the table above shall be adjusted in the same manner and at the same time as the number of shares issuable upon exercise of a Warrant. If the Exercise Price of a warrant is adjusted, (a) in the case of an adjustment pursuant to Section 4.4 hereof, the adjusted share prices in the column headings shall equal the share prices immediately prior to such adjustment multiplied by a fraction, the numerator of which is the higher of the Market Value and the Newly Issued Price and the denominator of which is $10.00 and (b) in the case of an adjustment pursuant to Section 4.1.2 hereof, the adjusted share prices in the column headings shall equal the share prices immediately prior to such adjustment less the decrease in the Exercise Price pursuant to such Exercise Price adjustment. In no event shall the number of shares issued in connection with a Make-Whole Exercise exceed 0.361 Ordinary Shares per Warrant (subject to adjustment) </w:t>
      </w:r>
    </w:p>
    <w:p>
      <w:pPr>
        <w:pStyle w:val="TextBody"/>
        <w:spacing w:before="240" w:after="0"/>
        <w:jc w:val="left"/>
        <w:rPr>
          <w:rFonts w:ascii="Times New Roman" w:hAnsi="Times New Roman"/>
          <w:sz w:val="20"/>
        </w:rPr>
      </w:pPr>
      <w:r>
        <w:rPr>
          <w:rFonts w:ascii="Times New Roman" w:hAnsi="Times New Roman"/>
          <w:sz w:val="20"/>
        </w:rPr>
        <w:t xml:space="preserve">6.3. </w:t>
      </w:r>
      <w:r>
        <w:rPr>
          <w:rFonts w:ascii="Times New Roman" w:hAnsi="Times New Roman"/>
          <w:sz w:val="20"/>
          <w:u w:val="single"/>
        </w:rPr>
        <w:t>Date Fixed for, and Notice of, Redemption; Redemption Price; Reference Value</w:t>
      </w:r>
      <w:r>
        <w:rPr>
          <w:rFonts w:ascii="Times New Roman" w:hAnsi="Times New Roman"/>
          <w:sz w:val="20"/>
        </w:rPr>
        <w:t xml:space="preserve">. In the event that the Company elects to redeem the Warrants pursuant to </w:t>
      </w:r>
      <w:r>
        <w:rPr>
          <w:rFonts w:ascii="Times New Roman" w:hAnsi="Times New Roman"/>
          <w:sz w:val="20"/>
          <w:u w:val="single"/>
        </w:rPr>
        <w:t>Sections 6.1</w:t>
      </w:r>
      <w:r>
        <w:rPr>
          <w:rFonts w:ascii="Times New Roman" w:hAnsi="Times New Roman"/>
          <w:sz w:val="20"/>
        </w:rPr>
        <w:t xml:space="preserve"> or </w:t>
      </w:r>
      <w:r>
        <w:rPr>
          <w:rFonts w:ascii="Times New Roman" w:hAnsi="Times New Roman"/>
          <w:sz w:val="20"/>
          <w:u w:val="single"/>
        </w:rPr>
        <w:t>6.2</w:t>
      </w:r>
      <w:r>
        <w:rPr>
          <w:rFonts w:ascii="Times New Roman" w:hAnsi="Times New Roman"/>
          <w:sz w:val="20"/>
        </w:rPr>
        <w:t>, the Company shall fix a date for the redemption (the </w:t>
      </w:r>
      <w:r>
        <w:rPr>
          <w:rFonts w:ascii="Times New Roman" w:hAnsi="Times New Roman"/>
          <w:b/>
          <w:i/>
          <w:sz w:val="20"/>
        </w:rPr>
        <w:t>Redemption Date</w:t>
      </w:r>
      <w:r>
        <w:rPr>
          <w:rFonts w:ascii="Times New Roman" w:hAnsi="Times New Roman"/>
          <w:sz w:val="20"/>
        </w:rPr>
        <w:t>). Notice of redemption shall be mailed by first class mail, postage prepaid, by the Company not less than thirty (30) days prior to the Redemption Date (the </w:t>
      </w:r>
      <w:r>
        <w:rPr>
          <w:rFonts w:ascii="Times New Roman" w:hAnsi="Times New Roman"/>
          <w:b/>
          <w:i/>
          <w:sz w:val="20"/>
        </w:rPr>
        <w:t>30-day Redemption Period</w:t>
      </w:r>
      <w:r>
        <w:rPr>
          <w:rFonts w:ascii="Times New Roman" w:hAnsi="Times New Roman"/>
          <w:sz w:val="20"/>
        </w:rPr>
        <w:t>) to the Registered Holders of the Warrants to be redeemed at their last addresses as they shall appear on the registration books. Any notice mailed in the manner herein provided shall be conclusively presumed to have been duly given whether or not the Registered Holder received such notice. As used in this Agreement, (a) </w:t>
      </w:r>
      <w:r>
        <w:rPr>
          <w:rFonts w:ascii="Times New Roman" w:hAnsi="Times New Roman"/>
          <w:b/>
          <w:i/>
          <w:sz w:val="20"/>
        </w:rPr>
        <w:t>Redemption Price</w:t>
      </w:r>
      <w:r>
        <w:rPr>
          <w:rFonts w:ascii="Times New Roman" w:hAnsi="Times New Roman"/>
          <w:sz w:val="20"/>
        </w:rPr>
        <w:t xml:space="preserve"> shall mean the price per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Warrant at which any Warrants are redeemed pursuant to </w:t>
      </w:r>
      <w:r>
        <w:rPr>
          <w:rFonts w:ascii="Times New Roman" w:hAnsi="Times New Roman"/>
          <w:sz w:val="20"/>
          <w:u w:val="single"/>
        </w:rPr>
        <w:t>Sections 6.1</w:t>
      </w:r>
      <w:r>
        <w:rPr>
          <w:rFonts w:ascii="Times New Roman" w:hAnsi="Times New Roman"/>
          <w:sz w:val="20"/>
        </w:rPr>
        <w:t xml:space="preserve"> or </w:t>
      </w:r>
      <w:r>
        <w:rPr>
          <w:rFonts w:ascii="Times New Roman" w:hAnsi="Times New Roman"/>
          <w:sz w:val="20"/>
          <w:u w:val="single"/>
        </w:rPr>
        <w:t>6.2</w:t>
      </w:r>
      <w:r>
        <w:rPr>
          <w:rFonts w:ascii="Times New Roman" w:hAnsi="Times New Roman"/>
          <w:sz w:val="20"/>
        </w:rPr>
        <w:t xml:space="preserve"> and (b) </w:t>
      </w:r>
      <w:r>
        <w:rPr>
          <w:rFonts w:ascii="Times New Roman" w:hAnsi="Times New Roman"/>
          <w:b/>
          <w:i/>
          <w:sz w:val="20"/>
        </w:rPr>
        <w:t>Reference Value</w:t>
      </w:r>
      <w:r>
        <w:rPr>
          <w:rFonts w:ascii="Times New Roman" w:hAnsi="Times New Roman"/>
          <w:sz w:val="20"/>
        </w:rPr>
        <w:t xml:space="preserve"> shall mean the last reported sales price of the Ordinary Shares for any twenty (20) trading days within the thirty (30) trading-day period ending on the third trading day prior to the date on which notice of the redemption is given. </w:t>
      </w:r>
    </w:p>
    <w:p>
      <w:pPr>
        <w:pStyle w:val="TextBody"/>
        <w:spacing w:before="240" w:after="0"/>
        <w:jc w:val="left"/>
        <w:rPr>
          <w:rFonts w:ascii="Times New Roman" w:hAnsi="Times New Roman"/>
          <w:sz w:val="20"/>
        </w:rPr>
      </w:pPr>
      <w:r>
        <w:rPr>
          <w:rFonts w:ascii="Times New Roman" w:hAnsi="Times New Roman"/>
          <w:sz w:val="20"/>
        </w:rPr>
        <w:t xml:space="preserve">6.4. </w:t>
      </w:r>
      <w:r>
        <w:rPr>
          <w:rFonts w:ascii="Times New Roman" w:hAnsi="Times New Roman"/>
          <w:sz w:val="20"/>
          <w:u w:val="single"/>
        </w:rPr>
        <w:t>Exercise After Notice of Redemption</w:t>
      </w:r>
      <w:r>
        <w:rPr>
          <w:rFonts w:ascii="Times New Roman" w:hAnsi="Times New Roman"/>
          <w:sz w:val="20"/>
        </w:rPr>
        <w:t xml:space="preserve">. The Warrants may be exercised, for cash (or on a cashless basis in accordance with </w:t>
      </w:r>
      <w:r>
        <w:rPr>
          <w:rFonts w:ascii="Times New Roman" w:hAnsi="Times New Roman"/>
          <w:sz w:val="20"/>
          <w:u w:val="single"/>
        </w:rPr>
        <w:t>Section 6.2</w:t>
      </w:r>
      <w:r>
        <w:rPr>
          <w:rFonts w:ascii="Times New Roman" w:hAnsi="Times New Roman"/>
          <w:sz w:val="20"/>
        </w:rPr>
        <w:t xml:space="preserve"> of this Agreement) at any time after notice of redemption shall have been given by the Company pursuant to </w:t>
      </w:r>
      <w:r>
        <w:rPr>
          <w:rFonts w:ascii="Times New Roman" w:hAnsi="Times New Roman"/>
          <w:sz w:val="20"/>
          <w:u w:val="single"/>
        </w:rPr>
        <w:t>Section 6.3</w:t>
      </w:r>
      <w:r>
        <w:rPr>
          <w:rFonts w:ascii="Times New Roman" w:hAnsi="Times New Roman"/>
          <w:sz w:val="20"/>
        </w:rPr>
        <w:t xml:space="preserve"> hereof and prior to the Redemption Date. On and after the Redemption Date, the record holder of the Warrants shall have no further rights except to receive, upon surrender of the Warrants, the Redemption Price. </w:t>
      </w:r>
    </w:p>
    <w:p>
      <w:pPr>
        <w:pStyle w:val="TextBody"/>
        <w:spacing w:before="240" w:after="0"/>
        <w:jc w:val="left"/>
        <w:rPr>
          <w:rFonts w:ascii="Times New Roman" w:hAnsi="Times New Roman"/>
          <w:sz w:val="20"/>
        </w:rPr>
      </w:pPr>
      <w:r>
        <w:rPr>
          <w:rFonts w:ascii="Times New Roman" w:hAnsi="Times New Roman"/>
          <w:sz w:val="20"/>
        </w:rPr>
        <w:t xml:space="preserve">6.5. </w:t>
      </w:r>
      <w:r>
        <w:rPr>
          <w:rFonts w:ascii="Times New Roman" w:hAnsi="Times New Roman"/>
          <w:sz w:val="20"/>
          <w:u w:val="single"/>
        </w:rPr>
        <w:t>Exclusion of Private Placement Warrants</w:t>
      </w:r>
      <w:r>
        <w:rPr>
          <w:rFonts w:ascii="Times New Roman" w:hAnsi="Times New Roman"/>
          <w:sz w:val="20"/>
        </w:rPr>
        <w:t xml:space="preserve">. The Company agrees that (a) the redemption rights provided in </w:t>
      </w:r>
      <w:r>
        <w:rPr>
          <w:rFonts w:ascii="Times New Roman" w:hAnsi="Times New Roman"/>
          <w:sz w:val="20"/>
          <w:u w:val="single"/>
        </w:rPr>
        <w:t>Section 6.1</w:t>
      </w:r>
      <w:r>
        <w:rPr>
          <w:rFonts w:ascii="Times New Roman" w:hAnsi="Times New Roman"/>
          <w:sz w:val="20"/>
        </w:rPr>
        <w:t xml:space="preserve"> hereof shall not apply to the Private Placement Warrants if at the time of the redemption such Private Placement Warrants continue to be held by the Sponsor or its Permitted Transferees and (b) if the Reference Value equals or exceeds $18.00 per share (subject to adjustment in compliance with </w:t>
      </w:r>
      <w:r>
        <w:rPr>
          <w:rFonts w:ascii="Times New Roman" w:hAnsi="Times New Roman"/>
          <w:sz w:val="20"/>
          <w:u w:val="single"/>
        </w:rPr>
        <w:t>Section 4</w:t>
      </w:r>
      <w:r>
        <w:rPr>
          <w:rFonts w:ascii="Times New Roman" w:hAnsi="Times New Roman"/>
          <w:sz w:val="20"/>
        </w:rPr>
        <w:t xml:space="preserve"> hereof), the redemption rights provided in </w:t>
      </w:r>
      <w:r>
        <w:rPr>
          <w:rFonts w:ascii="Times New Roman" w:hAnsi="Times New Roman"/>
          <w:sz w:val="20"/>
          <w:u w:val="single"/>
        </w:rPr>
        <w:t>Section 6.2</w:t>
      </w:r>
      <w:r>
        <w:rPr>
          <w:rFonts w:ascii="Times New Roman" w:hAnsi="Times New Roman"/>
          <w:sz w:val="20"/>
        </w:rPr>
        <w:t xml:space="preserve"> hereof shall not apply to the Private Placement Warrants if at the time of the redemption such Private Placement Warrants continue to be held by the Sponsor or its Permitted Transferees. However, once such Private Placement Warrants are transferred (other than to Permitted Transferees in accordance with </w:t>
      </w:r>
      <w:r>
        <w:rPr>
          <w:rFonts w:ascii="Times New Roman" w:hAnsi="Times New Roman"/>
          <w:sz w:val="20"/>
          <w:u w:val="single"/>
        </w:rPr>
        <w:t>Section 2.6</w:t>
      </w:r>
      <w:r>
        <w:rPr>
          <w:rFonts w:ascii="Times New Roman" w:hAnsi="Times New Roman"/>
          <w:sz w:val="20"/>
        </w:rPr>
        <w:t xml:space="preserve"> hereof), the Company may redeem the Private Placement Warrants pursuant to </w:t>
      </w:r>
      <w:r>
        <w:rPr>
          <w:rFonts w:ascii="Times New Roman" w:hAnsi="Times New Roman"/>
          <w:sz w:val="20"/>
          <w:u w:val="single"/>
        </w:rPr>
        <w:t>Section 6.1</w:t>
      </w:r>
      <w:r>
        <w:rPr>
          <w:rFonts w:ascii="Times New Roman" w:hAnsi="Times New Roman"/>
          <w:sz w:val="20"/>
        </w:rPr>
        <w:t xml:space="preserve"> or </w:t>
      </w:r>
      <w:r>
        <w:rPr>
          <w:rFonts w:ascii="Times New Roman" w:hAnsi="Times New Roman"/>
          <w:sz w:val="20"/>
          <w:u w:val="single"/>
        </w:rPr>
        <w:t>6.2</w:t>
      </w:r>
      <w:r>
        <w:rPr>
          <w:rFonts w:ascii="Times New Roman" w:hAnsi="Times New Roman"/>
          <w:sz w:val="20"/>
        </w:rPr>
        <w:t xml:space="preserve"> hereof, provided that the criteria for redemption are met, including the opportunity of the holder of such Private Placement Warrants to exercise the Private Placement Warrants prior to redemption pursuant to </w:t>
      </w:r>
      <w:r>
        <w:rPr>
          <w:rFonts w:ascii="Times New Roman" w:hAnsi="Times New Roman"/>
          <w:sz w:val="20"/>
          <w:u w:val="single"/>
        </w:rPr>
        <w:t>Section 6.4</w:t>
      </w:r>
      <w:r>
        <w:rPr>
          <w:rFonts w:ascii="Times New Roman" w:hAnsi="Times New Roman"/>
          <w:sz w:val="20"/>
        </w:rPr>
        <w:t xml:space="preserve"> hereof. Private Placement Warrants that are transferred to persons other than Permitted Transferees shall upon such transfer cease to be Private Placement Warrants and shall become Public Warrants under this Agreement, including for purposes of </w:t>
      </w:r>
      <w:r>
        <w:rPr>
          <w:rFonts w:ascii="Times New Roman" w:hAnsi="Times New Roman"/>
          <w:sz w:val="20"/>
          <w:u w:val="single"/>
        </w:rPr>
        <w:t>Section 9.8</w:t>
      </w:r>
      <w:r>
        <w:rPr>
          <w:rFonts w:ascii="Times New Roman" w:hAnsi="Times New Roman"/>
          <w:sz w:val="20"/>
        </w:rPr>
        <w:t xml:space="preserve"> hereof. </w:t>
      </w:r>
    </w:p>
    <w:p>
      <w:pPr>
        <w:pStyle w:val="TextBody"/>
        <w:spacing w:before="36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Other Provisions Relating to Rights of Holders of Warrants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7.1. </w:t>
      </w:r>
      <w:r>
        <w:rPr>
          <w:rFonts w:ascii="Times New Roman" w:hAnsi="Times New Roman"/>
          <w:sz w:val="20"/>
          <w:u w:val="single"/>
        </w:rPr>
        <w:t>No Rights as Shareholder</w:t>
      </w:r>
      <w:r>
        <w:rPr>
          <w:rFonts w:ascii="Times New Roman" w:hAnsi="Times New Roman"/>
          <w:sz w:val="20"/>
        </w:rPr>
        <w:t xml:space="preserve">. A Warrant does not entitle the Registered Holder thereof to any of the rights of a shareholder of the Company, including, without limitation, the right to receive dividends, or other distributions, exercise any preemptive rights to vote or to consent or to receive notice as shareholders in respect of the meetings of shareholders or the election of directors of the Company or any other matter. </w:t>
      </w:r>
    </w:p>
    <w:p>
      <w:pPr>
        <w:pStyle w:val="TextBody"/>
        <w:spacing w:before="240" w:after="0"/>
        <w:jc w:val="left"/>
        <w:rPr>
          <w:rFonts w:ascii="Times New Roman" w:hAnsi="Times New Roman"/>
          <w:sz w:val="20"/>
        </w:rPr>
      </w:pPr>
      <w:r>
        <w:rPr>
          <w:rFonts w:ascii="Times New Roman" w:hAnsi="Times New Roman"/>
          <w:sz w:val="20"/>
        </w:rPr>
        <w:t xml:space="preserve">7.2. </w:t>
      </w:r>
      <w:r>
        <w:rPr>
          <w:rFonts w:ascii="Times New Roman" w:hAnsi="Times New Roman"/>
          <w:sz w:val="20"/>
          <w:u w:val="single"/>
        </w:rPr>
        <w:t>Lost, Stolen, Mutilated, or Destroyed Warrants</w:t>
      </w:r>
      <w:r>
        <w:rPr>
          <w:rFonts w:ascii="Times New Roman" w:hAnsi="Times New Roman"/>
          <w:sz w:val="20"/>
        </w:rPr>
        <w:t xml:space="preserve">. If any Warrant is lost, stolen, mutilated, or destroyed, the Company and the Warrant Agent may on such terms as to indemnity or otherwise as they may in their discretion impose (which shall, in the case of a mutilated Warrant, include the surrender thereof), issue a new Warrant of like denomination, tenor, and date as the Warrant so lost, stolen, mutilated, or destroyed. Any such new Warrant shall constitute a substitute contractual obligation of the Company, whether or not the allegedly lost, stolen, mutilated, or destroyed Warrant shall be at any time enforceable by anyone. </w:t>
      </w:r>
    </w:p>
    <w:p>
      <w:pPr>
        <w:pStyle w:val="TextBody"/>
        <w:spacing w:before="240" w:after="0"/>
        <w:jc w:val="left"/>
        <w:rPr>
          <w:rFonts w:ascii="Times New Roman" w:hAnsi="Times New Roman"/>
          <w:sz w:val="20"/>
        </w:rPr>
      </w:pPr>
      <w:r>
        <w:rPr>
          <w:rFonts w:ascii="Times New Roman" w:hAnsi="Times New Roman"/>
          <w:sz w:val="20"/>
        </w:rPr>
        <w:t xml:space="preserve">7.3. </w:t>
      </w:r>
      <w:r>
        <w:rPr>
          <w:rFonts w:ascii="Times New Roman" w:hAnsi="Times New Roman"/>
          <w:sz w:val="20"/>
          <w:u w:val="single"/>
        </w:rPr>
        <w:t>Reservation of Ordinary Shares</w:t>
      </w:r>
      <w:r>
        <w:rPr>
          <w:rFonts w:ascii="Times New Roman" w:hAnsi="Times New Roman"/>
          <w:sz w:val="20"/>
        </w:rPr>
        <w:t xml:space="preserve">. The Company shall at all times reserve and keep available a number of its authorized but unissued Ordinary Shares that shall be sufficient to permit the exercise in full of all outstanding Warrants issued pursuant to this Agreement. </w:t>
      </w:r>
    </w:p>
    <w:p>
      <w:pPr>
        <w:pStyle w:val="TextBody"/>
        <w:spacing w:before="360" w:after="0"/>
        <w:jc w:val="left"/>
        <w:rPr>
          <w:rFonts w:ascii="Times New Roman" w:hAnsi="Times New Roman"/>
          <w:sz w:val="20"/>
        </w:rPr>
      </w:pPr>
      <w:r>
        <w:rPr>
          <w:rFonts w:ascii="Times New Roman" w:hAnsi="Times New Roman"/>
          <w:sz w:val="20"/>
        </w:rPr>
        <w:t xml:space="preserve">7.4. </w:t>
      </w:r>
      <w:r>
        <w:rPr>
          <w:rFonts w:ascii="Times New Roman" w:hAnsi="Times New Roman"/>
          <w:sz w:val="20"/>
          <w:u w:val="single"/>
        </w:rPr>
        <w:t>Registration of Ordinary Shares; Cashless Exercise at Companys Option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7.4.1. </w:t>
      </w:r>
      <w:r>
        <w:rPr>
          <w:rFonts w:ascii="Times New Roman" w:hAnsi="Times New Roman"/>
          <w:sz w:val="20"/>
          <w:u w:val="single"/>
        </w:rPr>
        <w:t>Registration of the Ordinary Shares</w:t>
      </w:r>
      <w:r>
        <w:rPr>
          <w:rFonts w:ascii="Times New Roman" w:hAnsi="Times New Roman"/>
          <w:sz w:val="20"/>
        </w:rPr>
        <w:t xml:space="preserve">. The Company agrees that as soon as practicable, but in no event later than twenty (20) Business Days after the closing of its initial Business Combination, it shall use its commercially reasonable efforts to file with the Commission a registration statement for the registration, under the Securities Act, of the Ordinary Shares issuable upon exercise of the Warrants. The Company shall use its commercially reasonable efforts to cause the same to become effective within sixty (60) Business Days following the closing of its initial Business Combination and to maintain the effectiveness of such registration statement, and a current prospectus relating thereto, until the expiration or redemption of the Warrants in accordance with the provisions of this Agreement. If any such registration statement has not been declared effective by the sixtieth (60th) Business Day following the closing of the Business Combination, holders of the Warrants shall have the right, during the period beginning on the sixty-first (61st) Business Day after the closing of the Business Combination and ending upon such registration statement being declared effective by the Commission, and during any other period when the Company shall fail to have maintained an effective registration statement covering the issuance of the Ordinary Shares issuable upon exercise of the Warrants, to exercise such Warrants on a cashless basis, by exchanging the Warrants (in accordance with Section 3(a)(9) of the Securities Act or another exemption) for that number of Ordinary Shares equal to the lesser of (A) the quotient obtained by dividing (x) the product of the number of Ordinary Shares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underlying the Warrants, multiplied by the excess of the Fair Market Value (as defined below) less the Warrant Price by (y) the Fair Market Value and (B) 0.361. Solely for purposes of this </w:t>
      </w:r>
      <w:r>
        <w:rPr>
          <w:rFonts w:ascii="Times New Roman" w:hAnsi="Times New Roman"/>
          <w:sz w:val="20"/>
          <w:u w:val="single"/>
        </w:rPr>
        <w:t>subsection 7.4.1</w:t>
      </w:r>
      <w:r>
        <w:rPr>
          <w:rFonts w:ascii="Times New Roman" w:hAnsi="Times New Roman"/>
          <w:sz w:val="20"/>
        </w:rPr>
        <w:t>, </w:t>
      </w:r>
      <w:r>
        <w:rPr>
          <w:rFonts w:ascii="Times New Roman" w:hAnsi="Times New Roman"/>
          <w:b/>
          <w:i/>
          <w:sz w:val="20"/>
        </w:rPr>
        <w:t>Fair Market Value</w:t>
      </w:r>
      <w:r>
        <w:rPr>
          <w:rFonts w:ascii="Times New Roman" w:hAnsi="Times New Roman"/>
          <w:sz w:val="20"/>
        </w:rPr>
        <w:t xml:space="preserve"> shall mean the volume-weighted average price of the Ordinary Shares as reported during the ten (10) trading day period ending on the trading day prior to the date that notice of exercise is received by the Warrant Agent from the holder of such Warrants or its securities broker or intermediary. The date that notice of cashless exercise is received by the Warrant Agent shall be conclusively determined by the Warrant Agent. In connection with the cashless exercise of a Public Warrant, the Company shall, upon request, provide the Warrant Agent with an opinion of counsel for the Company (which shall be an outside law firm with securities law experience) stating that (i) the exercise of the Warrants on a cashless basis in accordance with this </w:t>
      </w:r>
      <w:r>
        <w:rPr>
          <w:rFonts w:ascii="Times New Roman" w:hAnsi="Times New Roman"/>
          <w:sz w:val="20"/>
          <w:u w:val="single"/>
        </w:rPr>
        <w:t>subsection 7.4.1</w:t>
      </w:r>
      <w:r>
        <w:rPr>
          <w:rFonts w:ascii="Times New Roman" w:hAnsi="Times New Roman"/>
          <w:sz w:val="20"/>
        </w:rPr>
        <w:t xml:space="preserve"> is not required to be registered under the Securities Act and (ii) the Ordinary Shares issued upon such exercise shall be freely tradable under United States federal securities laws by anyone who is not an affiliate (as such term is defined in Rule 144 under the Securities Act) of the Company and, accordingly, shall not be required to bear a restrictive legend. Except as provided in </w:t>
      </w:r>
      <w:r>
        <w:rPr>
          <w:rFonts w:ascii="Times New Roman" w:hAnsi="Times New Roman"/>
          <w:sz w:val="20"/>
          <w:u w:val="single"/>
        </w:rPr>
        <w:t>subsection 7.4.2</w:t>
      </w:r>
      <w:r>
        <w:rPr>
          <w:rFonts w:ascii="Times New Roman" w:hAnsi="Times New Roman"/>
          <w:sz w:val="20"/>
        </w:rPr>
        <w:t xml:space="preserve">, for the avoidance of doubt, unless and until all of the Warrants have been exercised or have expired, the Company shall continue to be obligated to comply with its registration obligations under the first three sentences of this </w:t>
      </w:r>
      <w:r>
        <w:rPr>
          <w:rFonts w:ascii="Times New Roman" w:hAnsi="Times New Roman"/>
          <w:sz w:val="20"/>
          <w:u w:val="single"/>
        </w:rPr>
        <w:t>subsection 7.4.1</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7.4.2. </w:t>
      </w:r>
      <w:r>
        <w:rPr>
          <w:rFonts w:ascii="Times New Roman" w:hAnsi="Times New Roman"/>
          <w:sz w:val="20"/>
          <w:u w:val="single"/>
        </w:rPr>
        <w:t>Cashless Exercise at Companys Option</w:t>
      </w:r>
      <w:r>
        <w:rPr>
          <w:rFonts w:ascii="Times New Roman" w:hAnsi="Times New Roman"/>
          <w:sz w:val="20"/>
        </w:rPr>
        <w:t xml:space="preserve">. If the Ordinary Shares are at the time of any exercise of a Public Warrant not listed on a national securities exchange such that they satisfy the definition of a covered security under Section 18(b)(1) of the Securities Act, the Company may, at its option, (i) require holders of Public Warrants who exercise Public Warrants to exercise such Public Warrants on a cashless basis in accordance with Section 3(a)(9) of the Securities Act as described in </w:t>
      </w:r>
      <w:r>
        <w:rPr>
          <w:rFonts w:ascii="Times New Roman" w:hAnsi="Times New Roman"/>
          <w:sz w:val="20"/>
          <w:u w:val="single"/>
        </w:rPr>
        <w:t>subsection 7.4.1</w:t>
      </w:r>
      <w:r>
        <w:rPr>
          <w:rFonts w:ascii="Times New Roman" w:hAnsi="Times New Roman"/>
          <w:sz w:val="20"/>
        </w:rPr>
        <w:t xml:space="preserve"> and (ii) in the event the Company so elects, the Company shall (x) not be required to file or maintain in effect a registration statement for the registration, under the Securities Act, of the Ordinary Shares issuable upon exercise of the Warrants, notwithstanding anything in this Agreement to the contrary, and (y) use its commercially reasonable efforts to register or qualify for sale the Ordinary Shares issuable upon exercise of the Public Warrant under applicable blue sky laws to the extent an exemption is not available. </w:t>
      </w:r>
    </w:p>
    <w:p>
      <w:pPr>
        <w:pStyle w:val="TextBody"/>
        <w:spacing w:before="36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Concerning the Warrant Agent and Other Matters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8.1.</w:t>
      </w:r>
      <w:r>
        <w:rPr>
          <w:rFonts w:ascii="Times New Roman" w:hAnsi="Times New Roman"/>
          <w:sz w:val="20"/>
          <w:u w:val="single"/>
        </w:rPr>
        <w:t xml:space="preserve"> Payment of Taxes</w:t>
      </w:r>
      <w:r>
        <w:rPr>
          <w:rFonts w:ascii="Times New Roman" w:hAnsi="Times New Roman"/>
          <w:sz w:val="20"/>
        </w:rPr>
        <w:t xml:space="preserve">. The Company shall from time to time promptly pay all taxes and charges that may be imposed upon the Company or the Warrant Agent in respect of the issuance or delivery of Ordinary Shares upon the exercise of the Warrants, but the Company shall not be obligated to pay any transfer taxes in respect of the Warrants or such shares. </w:t>
      </w:r>
    </w:p>
    <w:p>
      <w:pPr>
        <w:pStyle w:val="TextBody"/>
        <w:spacing w:before="360" w:after="0"/>
        <w:jc w:val="left"/>
        <w:rPr>
          <w:rFonts w:ascii="Times New Roman" w:hAnsi="Times New Roman"/>
          <w:sz w:val="20"/>
        </w:rPr>
      </w:pPr>
      <w:r>
        <w:rPr>
          <w:rFonts w:ascii="Times New Roman" w:hAnsi="Times New Roman"/>
          <w:sz w:val="20"/>
        </w:rPr>
        <w:t xml:space="preserve">8.2. </w:t>
      </w:r>
      <w:r>
        <w:rPr>
          <w:rFonts w:ascii="Times New Roman" w:hAnsi="Times New Roman"/>
          <w:sz w:val="20"/>
          <w:u w:val="single"/>
        </w:rPr>
        <w:t>Resignation, Consolidation, or Merger of Warrant Agent</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8.2.1. </w:t>
      </w:r>
      <w:r>
        <w:rPr>
          <w:rFonts w:ascii="Times New Roman" w:hAnsi="Times New Roman"/>
          <w:sz w:val="20"/>
          <w:u w:val="single"/>
        </w:rPr>
        <w:t>Appointment of Successor Warrant Agent</w:t>
      </w:r>
      <w:r>
        <w:rPr>
          <w:rFonts w:ascii="Times New Roman" w:hAnsi="Times New Roman"/>
          <w:sz w:val="20"/>
        </w:rPr>
        <w:t xml:space="preserve">. The Warrant Agent, or any successor to it hereafter appointed, may resign its duties and be discharged from all further duties and liabilities hereunder after giving sixty (60) days notice in writing to the Company. If the office of the Warrant Agent becomes vacant by resignation or incapacity to act or otherwise, the Company shall appoint in writing a successor Warrant Agent in place of the Warrant Agent. If the Company shall fail to make such appointment within a period of thirty (30) days after it has been notified in writing of such resignation or incapacity by the Warrant Agent or by the holder of a Warrant (who shall, with such notice, submit his, her or its Warrant for inspection by the Company), then the holder of any Warrant may apply to the Supreme Court of the State of New York for the County of New York for the appointment of a successor Warrant Agent at the Companys cost. Any successor Warrant Agent, whether appointed by the Company or by such court, shall be a corporation or other entity organized and existing under the laws of the State of New York, in good standing and having its principal office in the United States of America, and authorized under such laws to exercise corporate trust powers and subject to supervision or examination by federal or state authority. After appointment, any successor Warrant Agent shall be vested with all the authority, powers, rights, immunities, duties, and obligations of its predecessor Warrant Agent with like effect as if originally named as Warrant Agent hereunder, without any further act or deed; but if for any reason it becomes necessary or appropriate, the predecessor Warrant Agent shall execute and deliver, at the expense of the Company, an instrument transferring to such successor Warrant Agent all the authority, powers, and rights of such predecessor Warrant Agent hereunder; and upon request of any successor Warrant Agent the Company shall make, execute, acknowledge, and deliver any and all instruments in writing for more fully and effectually vesting in and confirming to such successor Warrant Agent all such authority, powers, rights, immunities, duties, and obligations.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8.2.2. </w:t>
      </w:r>
      <w:r>
        <w:rPr>
          <w:rFonts w:ascii="Times New Roman" w:hAnsi="Times New Roman"/>
          <w:sz w:val="20"/>
          <w:u w:val="single"/>
        </w:rPr>
        <w:t>Notice of Successor Warrant Agent</w:t>
      </w:r>
      <w:r>
        <w:rPr>
          <w:rFonts w:ascii="Times New Roman" w:hAnsi="Times New Roman"/>
          <w:sz w:val="20"/>
        </w:rPr>
        <w:t xml:space="preserve">. In the event a successor Warrant Agent shall be appointed, the Company shall give notice thereof to the predecessor Warrant Agent and the Transfer Agent for the Ordinary Shares not later than the effective date of any such appointment. </w:t>
      </w:r>
    </w:p>
    <w:p>
      <w:pPr>
        <w:pStyle w:val="TextBody"/>
        <w:spacing w:before="240" w:after="0"/>
        <w:jc w:val="left"/>
        <w:rPr>
          <w:rFonts w:ascii="Times New Roman" w:hAnsi="Times New Roman"/>
          <w:sz w:val="20"/>
        </w:rPr>
      </w:pPr>
      <w:r>
        <w:rPr>
          <w:rFonts w:ascii="Times New Roman" w:hAnsi="Times New Roman"/>
          <w:sz w:val="20"/>
        </w:rPr>
        <w:t xml:space="preserve">8.2.3. </w:t>
      </w:r>
      <w:r>
        <w:rPr>
          <w:rFonts w:ascii="Times New Roman" w:hAnsi="Times New Roman"/>
          <w:sz w:val="20"/>
          <w:u w:val="single"/>
        </w:rPr>
        <w:t>Merger or Consolidation of Warrant Agent</w:t>
      </w:r>
      <w:r>
        <w:rPr>
          <w:rFonts w:ascii="Times New Roman" w:hAnsi="Times New Roman"/>
          <w:sz w:val="20"/>
        </w:rPr>
        <w:t xml:space="preserve">. Any entity into which the Warrant Agent may be merged or with which it may be consolidated or any entity resulting from any merger or consolidation to which the Warrant Agent shall be a party shall be the successor Warrant Agent under this Agreement without any further act. </w:t>
      </w:r>
    </w:p>
    <w:p>
      <w:pPr>
        <w:pStyle w:val="TextBody"/>
        <w:spacing w:before="360" w:after="0"/>
        <w:jc w:val="left"/>
        <w:rPr>
          <w:rFonts w:ascii="Times New Roman" w:hAnsi="Times New Roman"/>
          <w:sz w:val="20"/>
        </w:rPr>
      </w:pPr>
      <w:r>
        <w:rPr>
          <w:rFonts w:ascii="Times New Roman" w:hAnsi="Times New Roman"/>
          <w:sz w:val="20"/>
        </w:rPr>
        <w:t xml:space="preserve">8.3. </w:t>
      </w:r>
      <w:r>
        <w:rPr>
          <w:rFonts w:ascii="Times New Roman" w:hAnsi="Times New Roman"/>
          <w:sz w:val="20"/>
          <w:u w:val="single"/>
        </w:rPr>
        <w:t>Fees and Expenses of Warrant Agent</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8.3.1. </w:t>
      </w:r>
      <w:r>
        <w:rPr>
          <w:rFonts w:ascii="Times New Roman" w:hAnsi="Times New Roman"/>
          <w:sz w:val="20"/>
          <w:u w:val="single"/>
        </w:rPr>
        <w:t>Remuneration</w:t>
      </w:r>
      <w:r>
        <w:rPr>
          <w:rFonts w:ascii="Times New Roman" w:hAnsi="Times New Roman"/>
          <w:sz w:val="20"/>
        </w:rPr>
        <w:t xml:space="preserve">. The Company agrees to pay the Warrant Agent reasonable remuneration for its services as such Warrant Agent hereunder and shall, pursuant to its obligations under this Agreement, reimburse the Warrant Agent upon demand for all expenditures that the Warrant Agent may reasonably incur in the execution of its duties hereunder. </w:t>
      </w:r>
    </w:p>
    <w:p>
      <w:pPr>
        <w:pStyle w:val="TextBody"/>
        <w:spacing w:before="240" w:after="0"/>
        <w:jc w:val="left"/>
        <w:rPr>
          <w:rFonts w:ascii="Times New Roman" w:hAnsi="Times New Roman"/>
          <w:sz w:val="20"/>
        </w:rPr>
      </w:pPr>
      <w:r>
        <w:rPr>
          <w:rFonts w:ascii="Times New Roman" w:hAnsi="Times New Roman"/>
          <w:sz w:val="20"/>
        </w:rPr>
        <w:t xml:space="preserve">8.3.2. </w:t>
      </w:r>
      <w:r>
        <w:rPr>
          <w:rFonts w:ascii="Times New Roman" w:hAnsi="Times New Roman"/>
          <w:sz w:val="20"/>
          <w:u w:val="single"/>
        </w:rPr>
        <w:t>Further Assurances</w:t>
      </w:r>
      <w:r>
        <w:rPr>
          <w:rFonts w:ascii="Times New Roman" w:hAnsi="Times New Roman"/>
          <w:sz w:val="20"/>
        </w:rPr>
        <w:t xml:space="preserve">. The Company agrees to perform, execute, acknowledge, and deliver or cause to be performed, executed, acknowledged, and delivered all such further and other acts, instruments, and assurances as may reasonably be required by the Warrant Agent for the carrying out or performing of the provisions of this Agreement. </w:t>
      </w:r>
    </w:p>
    <w:p>
      <w:pPr>
        <w:pStyle w:val="TextBody"/>
        <w:spacing w:before="360" w:after="0"/>
        <w:jc w:val="left"/>
        <w:rPr>
          <w:rFonts w:ascii="Times New Roman" w:hAnsi="Times New Roman"/>
          <w:sz w:val="20"/>
        </w:rPr>
      </w:pPr>
      <w:r>
        <w:rPr>
          <w:rFonts w:ascii="Times New Roman" w:hAnsi="Times New Roman"/>
          <w:sz w:val="20"/>
        </w:rPr>
        <w:t xml:space="preserve">8.4. </w:t>
      </w:r>
      <w:r>
        <w:rPr>
          <w:rFonts w:ascii="Times New Roman" w:hAnsi="Times New Roman"/>
          <w:sz w:val="20"/>
          <w:u w:val="single"/>
        </w:rPr>
        <w:t>Liability of Warrant Agent</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8.4.1. </w:t>
      </w:r>
      <w:r>
        <w:rPr>
          <w:rFonts w:ascii="Times New Roman" w:hAnsi="Times New Roman"/>
          <w:sz w:val="20"/>
          <w:u w:val="single"/>
        </w:rPr>
        <w:t>Reliance on Company Statement</w:t>
      </w:r>
      <w:r>
        <w:rPr>
          <w:rFonts w:ascii="Times New Roman" w:hAnsi="Times New Roman"/>
          <w:sz w:val="20"/>
        </w:rPr>
        <w:t xml:space="preserve">. Whenever in the performance of its duties under this Agreement, the Warrant Agent shall deem it necessary or desirable that any fact or matter be proved or established by the Company prior to taking or suffering any action hereunder, such fact or matter (unless other evidence in respect thereof be herein specifically prescribed) may be deemed to be conclusively proved and established by a statement signed by the Chief Executive Officer, the President, the Chief Financial Officer, Chief Operating Officer, the General Counsel, the Secretary or the Chairman of the Board of the Company and delivered to the Warrant Agent. The Warrant Agent may rely upon such statement for any action taken or suffered in good faith by it pursuant to the provisions of this Agreement. </w:t>
      </w:r>
    </w:p>
    <w:p>
      <w:pPr>
        <w:pStyle w:val="TextBody"/>
        <w:spacing w:before="240" w:after="0"/>
        <w:jc w:val="left"/>
        <w:rPr>
          <w:rFonts w:ascii="Times New Roman" w:hAnsi="Times New Roman"/>
          <w:sz w:val="20"/>
        </w:rPr>
      </w:pPr>
      <w:r>
        <w:rPr>
          <w:rFonts w:ascii="Times New Roman" w:hAnsi="Times New Roman"/>
          <w:sz w:val="20"/>
        </w:rPr>
        <w:t xml:space="preserve">8.4.2. </w:t>
      </w:r>
      <w:r>
        <w:rPr>
          <w:rFonts w:ascii="Times New Roman" w:hAnsi="Times New Roman"/>
          <w:sz w:val="20"/>
          <w:u w:val="single"/>
        </w:rPr>
        <w:t>Indemnity</w:t>
      </w:r>
      <w:r>
        <w:rPr>
          <w:rFonts w:ascii="Times New Roman" w:hAnsi="Times New Roman"/>
          <w:sz w:val="20"/>
        </w:rPr>
        <w:t xml:space="preserve">. The Warrant Agent shall be liable hereunder only for its own gross negligence, willful misconduct, fraud or bad faith. The Company agrees to indemnify the Warrant Agent and save it harmless against any and all liabilities, including judgments, out-of-pocket costs and reasonable outside counsel fees, for anything done or omitted by the Warrant Agent in the execution of this Agreement, except as a result of the Warrant Agents gross negligence, willful misconduct, fraud or bad faith. </w:t>
      </w:r>
    </w:p>
    <w:p>
      <w:pPr>
        <w:pStyle w:val="TextBody"/>
        <w:spacing w:before="240" w:after="0"/>
        <w:jc w:val="left"/>
        <w:rPr>
          <w:rFonts w:ascii="Times New Roman" w:hAnsi="Times New Roman"/>
          <w:sz w:val="20"/>
        </w:rPr>
      </w:pPr>
      <w:r>
        <w:rPr>
          <w:rFonts w:ascii="Times New Roman" w:hAnsi="Times New Roman"/>
          <w:sz w:val="20"/>
        </w:rPr>
        <w:t xml:space="preserve">8.4.3. </w:t>
      </w:r>
      <w:r>
        <w:rPr>
          <w:rFonts w:ascii="Times New Roman" w:hAnsi="Times New Roman"/>
          <w:sz w:val="20"/>
          <w:u w:val="single"/>
        </w:rPr>
        <w:t>Exclusions</w:t>
      </w:r>
      <w:r>
        <w:rPr>
          <w:rFonts w:ascii="Times New Roman" w:hAnsi="Times New Roman"/>
          <w:sz w:val="20"/>
        </w:rPr>
        <w:t xml:space="preserve">. The Warrant Agent shall have no responsibility with respect to the validity of this Agreement or with respect to the validity or execution of any Warrant (except its countersignature thereof). The Warrant Agent shall not be responsible for any breach by the Company of any covenant or condition contained in this Agreement or in any Warrant. The Warrant Agent shall not be responsible to make any adjustments required under the provisions of </w:t>
      </w:r>
      <w:r>
        <w:rPr>
          <w:rFonts w:ascii="Times New Roman" w:hAnsi="Times New Roman"/>
          <w:sz w:val="20"/>
          <w:u w:val="single"/>
        </w:rPr>
        <w:t>Section 4</w:t>
      </w:r>
      <w:r>
        <w:rPr>
          <w:rFonts w:ascii="Times New Roman" w:hAnsi="Times New Roman"/>
          <w:sz w:val="20"/>
        </w:rPr>
        <w:t xml:space="preserve"> hereof or responsible for the manner, method, or amount of any such adjustment or the ascertaining of the existence of facts that would require any such adjustment; nor shall it by any act hereunder be deemed to make any representation or warranty as to the authorization or reservation of any Ordinary Shares to be issued pursuant to this Agreement or any Warrant or as to whether any Ordinary Shares shall, when issued, be valid and fully paid and nonassessable. </w:t>
      </w:r>
    </w:p>
    <w:p>
      <w:pPr>
        <w:pStyle w:val="TextBody"/>
        <w:spacing w:before="240" w:after="0"/>
        <w:jc w:val="left"/>
        <w:rPr>
          <w:rFonts w:ascii="Times New Roman" w:hAnsi="Times New Roman"/>
          <w:sz w:val="20"/>
        </w:rPr>
      </w:pPr>
      <w:r>
        <w:rPr>
          <w:rFonts w:ascii="Times New Roman" w:hAnsi="Times New Roman"/>
          <w:sz w:val="20"/>
        </w:rPr>
        <w:t xml:space="preserve">8.5. </w:t>
      </w:r>
      <w:r>
        <w:rPr>
          <w:rFonts w:ascii="Times New Roman" w:hAnsi="Times New Roman"/>
          <w:sz w:val="20"/>
          <w:u w:val="single"/>
        </w:rPr>
        <w:t>Acceptance of Agency</w:t>
      </w:r>
      <w:r>
        <w:rPr>
          <w:rFonts w:ascii="Times New Roman" w:hAnsi="Times New Roman"/>
          <w:sz w:val="20"/>
        </w:rPr>
        <w:t xml:space="preserve">. The Warrant Agent hereby accepts the agency established by this Agreement and agrees to perform the same upon the terms and conditions herein set forth and among other things, shall account promptly to the Company with respect to Warrants exercised and concurrently account for, and pay to the Company, all monies received by the Warrant Agent for the purchase of Ordinary Shares through the exercise of the Warrants. </w:t>
      </w:r>
    </w:p>
    <w:p>
      <w:pPr>
        <w:pStyle w:val="TextBody"/>
        <w:spacing w:before="240" w:after="0"/>
        <w:jc w:val="left"/>
        <w:rPr>
          <w:rFonts w:ascii="Times New Roman" w:hAnsi="Times New Roman"/>
          <w:sz w:val="20"/>
        </w:rPr>
      </w:pPr>
      <w:r>
        <w:rPr>
          <w:rFonts w:ascii="Times New Roman" w:hAnsi="Times New Roman"/>
          <w:sz w:val="20"/>
        </w:rPr>
        <w:t xml:space="preserve">8.6. </w:t>
      </w:r>
      <w:r>
        <w:rPr>
          <w:rFonts w:ascii="Times New Roman" w:hAnsi="Times New Roman"/>
          <w:sz w:val="20"/>
          <w:u w:val="single"/>
        </w:rPr>
        <w:t>Waiver</w:t>
      </w:r>
      <w:r>
        <w:rPr>
          <w:rFonts w:ascii="Times New Roman" w:hAnsi="Times New Roman"/>
          <w:sz w:val="20"/>
        </w:rPr>
        <w:t>. The Warrant Agent has no right of set-off or any other right, title, interest or claim of any kind (</w:t>
      </w:r>
      <w:r>
        <w:rPr>
          <w:rFonts w:ascii="Times New Roman" w:hAnsi="Times New Roman"/>
          <w:b/>
          <w:i/>
          <w:sz w:val="20"/>
        </w:rPr>
        <w:t>Claim</w:t>
      </w:r>
      <w:r>
        <w:rPr>
          <w:rFonts w:ascii="Times New Roman" w:hAnsi="Times New Roman"/>
          <w:sz w:val="20"/>
        </w:rPr>
        <w:t xml:space="preserve">) in, or to any distribution of, the Trust Account (as defined in that certain Investment Management Trust Agreement, dated as of the date hereof, by and between the Company and Continental Stock Transfer &amp; Trust Company as trustee thereunder) and hereby agrees not to seek recourse, reimbursement, payment or satisfaction for any Claim against the Trust Account for any reason whatsoever. The Warrant Agent hereby waives any and all Claims against the Trust Account and any and all rights to seek access to the Trust Account.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Miscellaneous Provisions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9.1. </w:t>
      </w:r>
      <w:r>
        <w:rPr>
          <w:rFonts w:ascii="Times New Roman" w:hAnsi="Times New Roman"/>
          <w:sz w:val="20"/>
          <w:u w:val="single"/>
        </w:rPr>
        <w:t>Successors</w:t>
      </w:r>
      <w:r>
        <w:rPr>
          <w:rFonts w:ascii="Times New Roman" w:hAnsi="Times New Roman"/>
          <w:sz w:val="20"/>
        </w:rPr>
        <w:t xml:space="preserve">. All the covenants and provisions of this Agreement by or for the benefit of the Company or the Warrant Agent shall bind and inure to the benefit of their respective successors and assigns. </w:t>
      </w:r>
    </w:p>
    <w:p>
      <w:pPr>
        <w:pStyle w:val="TextBody"/>
        <w:spacing w:before="240" w:after="0"/>
        <w:jc w:val="left"/>
        <w:rPr>
          <w:rFonts w:ascii="Times New Roman" w:hAnsi="Times New Roman"/>
          <w:sz w:val="20"/>
        </w:rPr>
      </w:pPr>
      <w:r>
        <w:rPr>
          <w:rFonts w:ascii="Times New Roman" w:hAnsi="Times New Roman"/>
          <w:sz w:val="20"/>
        </w:rPr>
        <w:t xml:space="preserve">9.2. </w:t>
      </w:r>
      <w:r>
        <w:rPr>
          <w:rFonts w:ascii="Times New Roman" w:hAnsi="Times New Roman"/>
          <w:sz w:val="20"/>
          <w:u w:val="single"/>
        </w:rPr>
        <w:t>Notices</w:t>
      </w:r>
      <w:r>
        <w:rPr>
          <w:rFonts w:ascii="Times New Roman" w:hAnsi="Times New Roman"/>
          <w:sz w:val="20"/>
        </w:rPr>
        <w:t xml:space="preserve">. Any notice, statement or demand authorized by this Agreement to be given or made by the Warrant Agent or by the holder of any Warrant to or on the Company shall be sufficiently given when so delivered if by hand or overnight delivery or if sent by certified mail or private courier service within five (5) days after deposit of such notice, postage prepaid, addressed (until another address is filed in writing by the Company with the Warrant Agent), as follows: </w:t>
      </w:r>
    </w:p>
    <w:p>
      <w:pPr>
        <w:pStyle w:val="TextBody"/>
        <w:spacing w:before="240" w:after="0"/>
        <w:jc w:val="left"/>
        <w:rPr>
          <w:rFonts w:ascii="Times New Roman" w:hAnsi="Times New Roman"/>
          <w:sz w:val="20"/>
        </w:rPr>
      </w:pPr>
      <w:r>
        <w:rPr>
          <w:rFonts w:ascii="Times New Roman" w:hAnsi="Times New Roman"/>
          <w:sz w:val="20"/>
        </w:rPr>
        <w:t xml:space="preserve">ArcLight Clean Transition Corp. II </w:t>
      </w:r>
    </w:p>
    <w:p>
      <w:pPr>
        <w:pStyle w:val="TextBody"/>
        <w:spacing w:before="0" w:after="0"/>
        <w:jc w:val="left"/>
        <w:rPr>
          <w:rFonts w:ascii="Times New Roman" w:hAnsi="Times New Roman"/>
          <w:sz w:val="20"/>
        </w:rPr>
      </w:pPr>
      <w:r>
        <w:rPr>
          <w:rFonts w:ascii="Times New Roman" w:hAnsi="Times New Roman"/>
          <w:sz w:val="20"/>
        </w:rPr>
        <w:t xml:space="preserve">200 Clarendon Street, 55th Floor </w:t>
      </w:r>
    </w:p>
    <w:p>
      <w:pPr>
        <w:pStyle w:val="TextBody"/>
        <w:spacing w:before="0" w:after="0"/>
        <w:jc w:val="left"/>
        <w:rPr>
          <w:rFonts w:ascii="Times New Roman" w:hAnsi="Times New Roman"/>
          <w:sz w:val="20"/>
        </w:rPr>
      </w:pPr>
      <w:r>
        <w:rPr>
          <w:rFonts w:ascii="Times New Roman" w:hAnsi="Times New Roman"/>
          <w:sz w:val="20"/>
        </w:rPr>
        <w:t xml:space="preserve">Boston, MA 02116 </w:t>
      </w:r>
    </w:p>
    <w:p>
      <w:pPr>
        <w:pStyle w:val="TextBody"/>
        <w:spacing w:before="0" w:after="0"/>
        <w:jc w:val="left"/>
        <w:rPr>
          <w:rFonts w:ascii="Times New Roman" w:hAnsi="Times New Roman"/>
          <w:sz w:val="20"/>
        </w:rPr>
      </w:pPr>
      <w:r>
        <w:rPr>
          <w:rFonts w:ascii="Times New Roman" w:hAnsi="Times New Roman"/>
          <w:sz w:val="20"/>
        </w:rPr>
        <w:t xml:space="preserve">Attention: Chief Executive Officer </w:t>
      </w:r>
    </w:p>
    <w:p>
      <w:pPr>
        <w:pStyle w:val="TextBody"/>
        <w:spacing w:before="240" w:after="0"/>
        <w:jc w:val="left"/>
        <w:rPr>
          <w:rFonts w:ascii="Times New Roman" w:hAnsi="Times New Roman"/>
          <w:sz w:val="20"/>
        </w:rPr>
      </w:pPr>
      <w:r>
        <w:rPr>
          <w:rFonts w:ascii="Times New Roman" w:hAnsi="Times New Roman"/>
          <w:sz w:val="20"/>
        </w:rPr>
        <w:t xml:space="preserve">with a copy to: </w:t>
      </w:r>
    </w:p>
    <w:p>
      <w:pPr>
        <w:pStyle w:val="TextBody"/>
        <w:spacing w:before="240" w:after="0"/>
        <w:jc w:val="left"/>
        <w:rPr>
          <w:rFonts w:ascii="Times New Roman" w:hAnsi="Times New Roman"/>
          <w:sz w:val="20"/>
        </w:rPr>
      </w:pPr>
      <w:r>
        <w:rPr>
          <w:rFonts w:ascii="Times New Roman" w:hAnsi="Times New Roman"/>
          <w:sz w:val="20"/>
        </w:rPr>
        <w:t xml:space="preserve">Kirkland &amp; Ellis LLP </w:t>
      </w:r>
    </w:p>
    <w:p>
      <w:pPr>
        <w:pStyle w:val="TextBody"/>
        <w:spacing w:before="0" w:after="0"/>
        <w:jc w:val="left"/>
        <w:rPr>
          <w:rFonts w:ascii="Times New Roman" w:hAnsi="Times New Roman"/>
          <w:sz w:val="20"/>
        </w:rPr>
      </w:pPr>
      <w:r>
        <w:rPr>
          <w:rFonts w:ascii="Times New Roman" w:hAnsi="Times New Roman"/>
          <w:sz w:val="20"/>
        </w:rPr>
        <w:t xml:space="preserve">601 Lexington Avenue </w:t>
      </w:r>
    </w:p>
    <w:p>
      <w:pPr>
        <w:pStyle w:val="TextBody"/>
        <w:spacing w:before="0" w:after="0"/>
        <w:jc w:val="left"/>
        <w:rPr>
          <w:rFonts w:ascii="Times New Roman" w:hAnsi="Times New Roman"/>
          <w:sz w:val="20"/>
        </w:rPr>
      </w:pPr>
      <w:r>
        <w:rPr>
          <w:rFonts w:ascii="Times New Roman" w:hAnsi="Times New Roman"/>
          <w:sz w:val="20"/>
        </w:rPr>
        <w:t xml:space="preserve">New York, New York 10022 </w:t>
      </w:r>
    </w:p>
    <w:p>
      <w:pPr>
        <w:pStyle w:val="TextBody"/>
        <w:spacing w:before="0" w:after="0"/>
        <w:jc w:val="left"/>
        <w:rPr>
          <w:rFonts w:ascii="Times New Roman" w:hAnsi="Times New Roman"/>
          <w:sz w:val="20"/>
        </w:rPr>
      </w:pPr>
      <w:r>
        <w:rPr>
          <w:rFonts w:ascii="Times New Roman" w:hAnsi="Times New Roman"/>
          <w:sz w:val="20"/>
        </w:rPr>
        <w:t xml:space="preserve">Attention: Christian O. Nagler </w:t>
      </w:r>
    </w:p>
    <w:p>
      <w:pPr>
        <w:pStyle w:val="TextBody"/>
        <w:spacing w:before="0" w:after="0"/>
        <w:jc w:val="left"/>
        <w:rPr>
          <w:rFonts w:ascii="Times New Roman" w:hAnsi="Times New Roman"/>
          <w:sz w:val="20"/>
        </w:rPr>
      </w:pPr>
      <w:r>
        <w:rPr>
          <w:rFonts w:ascii="Times New Roman" w:hAnsi="Times New Roman"/>
          <w:sz w:val="20"/>
        </w:rPr>
        <w:t xml:space="preserve">James S. Rowe </w:t>
      </w:r>
    </w:p>
    <w:p>
      <w:pPr>
        <w:pStyle w:val="TextBody"/>
        <w:spacing w:before="240" w:after="0"/>
        <w:jc w:val="left"/>
        <w:rPr>
          <w:rFonts w:ascii="Times New Roman" w:hAnsi="Times New Roman"/>
          <w:sz w:val="20"/>
        </w:rPr>
      </w:pPr>
      <w:r>
        <w:rPr>
          <w:rFonts w:ascii="Times New Roman" w:hAnsi="Times New Roman"/>
          <w:sz w:val="20"/>
        </w:rPr>
        <w:t xml:space="preserve">Any notice, statement or demand authorized by this Agreement to be given or made by the holder of any Warrant or by the Company to or on the Warrant Agent shall be sufficiently given when so delivered if by hand or overnight delivery or if sent by certified mail or private courier service within five (5) days after deposit of such notice, postage prepaid, addressed (until another address is filed in writing by the Warrant Agent with the Company), as follows: </w:t>
      </w:r>
    </w:p>
    <w:p>
      <w:pPr>
        <w:pStyle w:val="TextBody"/>
        <w:spacing w:before="240" w:after="0"/>
        <w:jc w:val="left"/>
        <w:rPr>
          <w:rFonts w:ascii="Times New Roman" w:hAnsi="Times New Roman"/>
          <w:sz w:val="20"/>
        </w:rPr>
      </w:pPr>
      <w:r>
        <w:rPr>
          <w:rFonts w:ascii="Times New Roman" w:hAnsi="Times New Roman"/>
          <w:sz w:val="20"/>
        </w:rPr>
        <w:t xml:space="preserve">Continental Stock Transfer &amp; Trust Company </w:t>
      </w:r>
    </w:p>
    <w:p>
      <w:pPr>
        <w:pStyle w:val="TextBody"/>
        <w:spacing w:before="0" w:after="0"/>
        <w:jc w:val="left"/>
        <w:rPr>
          <w:rFonts w:ascii="Times New Roman" w:hAnsi="Times New Roman"/>
          <w:sz w:val="20"/>
        </w:rPr>
      </w:pPr>
      <w:r>
        <w:rPr>
          <w:rFonts w:ascii="Times New Roman" w:hAnsi="Times New Roman"/>
          <w:sz w:val="20"/>
        </w:rPr>
        <w:t xml:space="preserve">One State Street, 30th Floor </w:t>
      </w:r>
    </w:p>
    <w:p>
      <w:pPr>
        <w:pStyle w:val="TextBody"/>
        <w:spacing w:before="0" w:after="0"/>
        <w:jc w:val="left"/>
        <w:rPr>
          <w:rFonts w:ascii="Times New Roman" w:hAnsi="Times New Roman"/>
          <w:sz w:val="20"/>
        </w:rPr>
      </w:pPr>
      <w:r>
        <w:rPr>
          <w:rFonts w:ascii="Times New Roman" w:hAnsi="Times New Roman"/>
          <w:sz w:val="20"/>
        </w:rPr>
        <w:t xml:space="preserve">New York, NY 10004 </w:t>
      </w:r>
    </w:p>
    <w:p>
      <w:pPr>
        <w:pStyle w:val="TextBody"/>
        <w:spacing w:before="0" w:after="0"/>
        <w:jc w:val="left"/>
        <w:rPr>
          <w:rFonts w:ascii="Times New Roman" w:hAnsi="Times New Roman"/>
          <w:sz w:val="20"/>
        </w:rPr>
      </w:pPr>
      <w:r>
        <w:rPr>
          <w:rFonts w:ascii="Times New Roman" w:hAnsi="Times New Roman"/>
          <w:sz w:val="20"/>
        </w:rPr>
        <w:t xml:space="preserve">Attention: Compliance Department </w:t>
      </w:r>
    </w:p>
    <w:p>
      <w:pPr>
        <w:pStyle w:val="TextBody"/>
        <w:spacing w:before="240" w:after="0"/>
        <w:jc w:val="left"/>
        <w:rPr>
          <w:rFonts w:ascii="Times New Roman" w:hAnsi="Times New Roman"/>
          <w:sz w:val="20"/>
        </w:rPr>
      </w:pPr>
      <w:r>
        <w:rPr>
          <w:rFonts w:ascii="Times New Roman" w:hAnsi="Times New Roman"/>
          <w:sz w:val="20"/>
        </w:rPr>
        <w:t xml:space="preserve">9.3. </w:t>
      </w:r>
      <w:r>
        <w:rPr>
          <w:rFonts w:ascii="Times New Roman" w:hAnsi="Times New Roman"/>
          <w:sz w:val="20"/>
          <w:u w:val="single"/>
        </w:rPr>
        <w:t>Applicable Law</w:t>
      </w:r>
      <w:r>
        <w:rPr>
          <w:rFonts w:ascii="Times New Roman" w:hAnsi="Times New Roman"/>
          <w:sz w:val="20"/>
        </w:rPr>
        <w:t xml:space="preserve">. The validity, interpretation, and performance of this Agreement and of the Warrants shall be governed in all respects by the laws of the State of New York. Subject to applicable law, the Company hereby agrees that any action, proceeding or claim against it arising out of or relating in any way to this Agreement shall be brought and enforced in the courts of the State of New York or the United States District Court for the Southern District of New York, and irrevocably submits to such jurisdiction, which jurisdiction shall be exclusive forum for any such action, proceeding or claim. The Company hereby waives any objection to such exclusive jurisdiction and that such courts represent an inconvenient forum. Notwithstanding the foregoing, the provisions of this paragraph will not apply to suits brought to enforce any liability or duty created by the Exchange Act or any other claim for which the federal district courts of the United States of America are the sole and exclusive forum. </w:t>
      </w:r>
    </w:p>
    <w:p>
      <w:pPr>
        <w:pStyle w:val="TextBody"/>
        <w:spacing w:before="240" w:after="0"/>
        <w:jc w:val="left"/>
        <w:rPr>
          <w:rFonts w:ascii="Times New Roman" w:hAnsi="Times New Roman"/>
          <w:sz w:val="20"/>
        </w:rPr>
      </w:pPr>
      <w:r>
        <w:rPr>
          <w:rFonts w:ascii="Times New Roman" w:hAnsi="Times New Roman"/>
          <w:sz w:val="20"/>
        </w:rPr>
        <w:t xml:space="preserve">Any person or entity purchasing or otherwise acquiring any interest in the Warrants shall be deemed to have notice of and to have consented to the forum provisions in this Section 9.3. If any action, the subject matter of which is within the scope the forum provisions above, is filed in a court other than a court located within the State of New York or the United States District Court for the Southern District of New York (a foreign action) in the name of any warrant holder, such warrant holder shall be deemed to have consented to: (x) the personal jurisdiction of the state and federal courts located within the State of New York or the United States District Court for the Southern District of New York in connection with any action brought in any such court to enforce the forum provisions (an enforcement action), and (y) having service of process made upon such warrant holder in any such enforcement action by service upon such warrant holders counsel in the foreign action as agent for such warrant holder. </w:t>
      </w:r>
    </w:p>
    <w:p>
      <w:pPr>
        <w:pStyle w:val="TextBody"/>
        <w:spacing w:before="240" w:after="0"/>
        <w:jc w:val="left"/>
        <w:rPr>
          <w:rFonts w:ascii="Times New Roman" w:hAnsi="Times New Roman"/>
          <w:sz w:val="20"/>
        </w:rPr>
      </w:pPr>
      <w:r>
        <w:rPr>
          <w:rFonts w:ascii="Times New Roman" w:hAnsi="Times New Roman"/>
          <w:sz w:val="20"/>
        </w:rPr>
        <w:t xml:space="preserve">9.4. </w:t>
      </w:r>
      <w:r>
        <w:rPr>
          <w:rFonts w:ascii="Times New Roman" w:hAnsi="Times New Roman"/>
          <w:sz w:val="20"/>
          <w:u w:val="single"/>
        </w:rPr>
        <w:t>Persons Having Rights under this Agreement</w:t>
      </w:r>
      <w:r>
        <w:rPr>
          <w:rFonts w:ascii="Times New Roman" w:hAnsi="Times New Roman"/>
          <w:sz w:val="20"/>
        </w:rPr>
        <w:t xml:space="preserve">. Nothing in this Agreement shall be construed to confer upon, or give to, any person, corporation or other entity other than the parties hereto and the Registered Holders of the Warrants any right, remedy, or claim under or by reason of this Agreement or of any covenant, condition, stipulation, promise, or agreement hereof. All covenants, conditions, stipulations, promises, and agreements contained in this Agreement shall be for the sole and exclusive benefit of the parties hereto and their successors and assigns and of the Registered Holders of the Warrants.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9.5. </w:t>
      </w:r>
      <w:r>
        <w:rPr>
          <w:rFonts w:ascii="Times New Roman" w:hAnsi="Times New Roman"/>
          <w:sz w:val="20"/>
          <w:u w:val="single"/>
        </w:rPr>
        <w:t>Examination of the Warrant Agreement</w:t>
      </w:r>
      <w:r>
        <w:rPr>
          <w:rFonts w:ascii="Times New Roman" w:hAnsi="Times New Roman"/>
          <w:sz w:val="20"/>
        </w:rPr>
        <w:t xml:space="preserve">. A copy of this Agreement shall be available at all reasonable times at the office of the Warrant Agent in the United States of America, for inspection by the Registered Holder of any Warrant. The Warrant Agent may require any such holder to submit such holders Warrant for inspection by the Warrant Agent. </w:t>
      </w:r>
    </w:p>
    <w:p>
      <w:pPr>
        <w:pStyle w:val="TextBody"/>
        <w:spacing w:before="240" w:after="0"/>
        <w:jc w:val="left"/>
        <w:rPr>
          <w:rFonts w:ascii="Times New Roman" w:hAnsi="Times New Roman"/>
          <w:sz w:val="20"/>
        </w:rPr>
      </w:pPr>
      <w:r>
        <w:rPr>
          <w:rFonts w:ascii="Times New Roman" w:hAnsi="Times New Roman"/>
          <w:sz w:val="20"/>
        </w:rPr>
        <w:t xml:space="preserve">9.6. </w:t>
      </w:r>
      <w:r>
        <w:rPr>
          <w:rFonts w:ascii="Times New Roman" w:hAnsi="Times New Roman"/>
          <w:sz w:val="20"/>
          <w:u w:val="single"/>
        </w:rPr>
        <w:t>Counterparts</w:t>
      </w:r>
      <w:r>
        <w:rPr>
          <w:rFonts w:ascii="Times New Roman" w:hAnsi="Times New Roman"/>
          <w:sz w:val="20"/>
        </w:rPr>
        <w:t xml:space="preserve">. This Agreement may be executed in any number of original or facsimile counterparts and each of such counterparts shall for all purposes be deemed to be an original, and all such counterparts shall together constitute but one and the same instrument. </w:t>
      </w:r>
    </w:p>
    <w:p>
      <w:pPr>
        <w:pStyle w:val="TextBody"/>
        <w:spacing w:before="240" w:after="0"/>
        <w:jc w:val="left"/>
        <w:rPr>
          <w:rFonts w:ascii="Times New Roman" w:hAnsi="Times New Roman"/>
          <w:sz w:val="20"/>
        </w:rPr>
      </w:pPr>
      <w:r>
        <w:rPr>
          <w:rFonts w:ascii="Times New Roman" w:hAnsi="Times New Roman"/>
          <w:sz w:val="20"/>
        </w:rPr>
        <w:t xml:space="preserve">9.7. </w:t>
      </w:r>
      <w:r>
        <w:rPr>
          <w:rFonts w:ascii="Times New Roman" w:hAnsi="Times New Roman"/>
          <w:sz w:val="20"/>
          <w:u w:val="single"/>
        </w:rPr>
        <w:t>Effect of Headings</w:t>
      </w:r>
      <w:r>
        <w:rPr>
          <w:rFonts w:ascii="Times New Roman" w:hAnsi="Times New Roman"/>
          <w:sz w:val="20"/>
        </w:rPr>
        <w:t xml:space="preserve">. The section headings herein are for convenience only and are not part of this Agreement and shall not affect the interpretation thereof. </w:t>
      </w:r>
    </w:p>
    <w:p>
      <w:pPr>
        <w:pStyle w:val="TextBody"/>
        <w:spacing w:before="240" w:after="0"/>
        <w:jc w:val="left"/>
        <w:rPr>
          <w:rFonts w:ascii="Times New Roman" w:hAnsi="Times New Roman"/>
          <w:sz w:val="20"/>
        </w:rPr>
      </w:pPr>
      <w:r>
        <w:rPr>
          <w:rFonts w:ascii="Times New Roman" w:hAnsi="Times New Roman"/>
          <w:sz w:val="20"/>
        </w:rPr>
        <w:t xml:space="preserve">9.8. </w:t>
      </w:r>
      <w:r>
        <w:rPr>
          <w:rFonts w:ascii="Times New Roman" w:hAnsi="Times New Roman"/>
          <w:sz w:val="20"/>
          <w:u w:val="single"/>
        </w:rPr>
        <w:t>Amendments</w:t>
      </w:r>
      <w:r>
        <w:rPr>
          <w:rFonts w:ascii="Times New Roman" w:hAnsi="Times New Roman"/>
          <w:sz w:val="20"/>
        </w:rPr>
        <w:t xml:space="preserve">. This Agreement may be amended by the parties hereto without the consent of any Registered Holder for the purpose of (i) curing any ambiguity or to correct any mistake, including to conform the provisions hereof to the description of the terms of the Warrants and this Agreement set forth in the Prospectus, or defective provision contained herein, (ii) amending the definition of Ordinary Cash Dividend as contemplated by and in accordance with the second sentence of subsection 4.1.2 or (iii) adding or changing any provisions with respect to matters or questions arising under this Agreement as the parties may deem necessary or desirable and that the parties deem shall not adversely affect the rights of the Registered Holders under this Agreement. All other modifications or amendments, including any modification or amendment to increase the Warrant Price or shorten the Exercise Period and any amendment to the terms of only the Private Placement Warrants, shall require the vote or written consent of the Registered Holders of 65% of the then-outstanding Public Warrants and, solely with respect to any amendment to the terms of the Private Placement Warrants or any provision of this Agreement with respect to the Private Placement Warrants, 65% of the then-outstanding Private Placement Warrants. Notwithstanding the foregoing, the Company may lower the Warrant Price or extend the duration of the Exercise Period pursuant to </w:t>
      </w:r>
      <w:r>
        <w:rPr>
          <w:rFonts w:ascii="Times New Roman" w:hAnsi="Times New Roman"/>
          <w:sz w:val="20"/>
          <w:u w:val="single"/>
        </w:rPr>
        <w:t>Sections 3.1</w:t>
      </w:r>
      <w:r>
        <w:rPr>
          <w:rFonts w:ascii="Times New Roman" w:hAnsi="Times New Roman"/>
          <w:sz w:val="20"/>
        </w:rPr>
        <w:t xml:space="preserve"> and </w:t>
      </w:r>
      <w:r>
        <w:rPr>
          <w:rFonts w:ascii="Times New Roman" w:hAnsi="Times New Roman"/>
          <w:sz w:val="20"/>
          <w:u w:val="single"/>
        </w:rPr>
        <w:t>3.2</w:t>
      </w:r>
      <w:r>
        <w:rPr>
          <w:rFonts w:ascii="Times New Roman" w:hAnsi="Times New Roman"/>
          <w:sz w:val="20"/>
        </w:rPr>
        <w:t xml:space="preserve">, respectively, without the consent of the Registered Holders. </w:t>
      </w:r>
    </w:p>
    <w:p>
      <w:pPr>
        <w:pStyle w:val="TextBody"/>
        <w:spacing w:before="240" w:after="0"/>
        <w:jc w:val="left"/>
        <w:rPr>
          <w:rFonts w:ascii="Times New Roman" w:hAnsi="Times New Roman"/>
          <w:sz w:val="20"/>
        </w:rPr>
      </w:pPr>
      <w:r>
        <w:rPr>
          <w:rFonts w:ascii="Times New Roman" w:hAnsi="Times New Roman"/>
          <w:sz w:val="20"/>
        </w:rPr>
        <w:t xml:space="preserve">9.9. </w:t>
      </w:r>
      <w:r>
        <w:rPr>
          <w:rFonts w:ascii="Times New Roman" w:hAnsi="Times New Roman"/>
          <w:sz w:val="20"/>
          <w:u w:val="single"/>
        </w:rPr>
        <w:t>Severability</w:t>
      </w:r>
      <w:r>
        <w:rPr>
          <w:rFonts w:ascii="Times New Roman" w:hAnsi="Times New Roman"/>
          <w:sz w:val="20"/>
        </w:rPr>
        <w:t xml:space="preserve">. This Agreement shall be deemed severable, and the invalidity or unenforceability of any term or provision hereof shall not affect the validity or enforceability of this Agreement or of any other term or provision hereof. Furthermore, in lieu of any such invalid or unenforceable term or provision, the parties hereto intend that there shall be added as a part of this Agreement a provision as similar in terms to such invalid or unenforceable provision as may be possible and be valid and enforceable. </w:t>
      </w:r>
    </w:p>
    <w:p>
      <w:pPr>
        <w:pStyle w:val="TextBody"/>
        <w:spacing w:before="240" w:after="0"/>
        <w:jc w:val="left"/>
        <w:rPr>
          <w:rFonts w:ascii="Times New Roman" w:hAnsi="Times New Roman"/>
          <w:sz w:val="20"/>
        </w:rPr>
      </w:pPr>
      <w:r>
        <w:rPr>
          <w:rFonts w:ascii="Times New Roman" w:hAnsi="Times New Roman"/>
          <w:sz w:val="20"/>
        </w:rPr>
        <w:t xml:space="preserve">Exhibit A Form of Warrant Certificate </w:t>
      </w:r>
    </w:p>
    <w:p>
      <w:pPr>
        <w:pStyle w:val="TextBody"/>
        <w:spacing w:before="240" w:after="0"/>
        <w:jc w:val="left"/>
        <w:rPr>
          <w:rFonts w:ascii="Times New Roman" w:hAnsi="Times New Roman"/>
          <w:sz w:val="20"/>
        </w:rPr>
      </w:pPr>
      <w:r>
        <w:rPr>
          <w:rFonts w:ascii="Times New Roman" w:hAnsi="Times New Roman"/>
          <w:sz w:val="20"/>
        </w:rPr>
        <w:t xml:space="preserve">Exhibit B Legend  Private Placement Warrants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IN WITNESS WHEREOF, the parties hereto have caused this Agreement to be duly executed as of the date first above written. </w:t>
      </w:r>
    </w:p>
    <w:p>
      <w:pPr>
        <w:pStyle w:val="TextBody"/>
        <w:spacing w:before="0" w:after="0"/>
        <w:jc w:val="left"/>
        <w:rPr/>
      </w:pPr>
      <w:r>
        <w:rPr/>
        <w:t> </w:t>
      </w:r>
    </w:p>
    <w:tbl>
      <w:tblPr>
        <w:tblW w:w="4695" w:type="dxa"/>
        <w:jc w:val="right"/>
        <w:tblInd w:w="0" w:type="dxa"/>
        <w:tblCellMar>
          <w:top w:w="0" w:type="dxa"/>
          <w:left w:w="0" w:type="dxa"/>
          <w:bottom w:w="0" w:type="dxa"/>
          <w:right w:w="0" w:type="dxa"/>
        </w:tblCellMar>
      </w:tblPr>
      <w:tblGrid>
        <w:gridCol w:w="305"/>
        <w:gridCol w:w="60"/>
        <w:gridCol w:w="650"/>
        <w:gridCol w:w="60"/>
        <w:gridCol w:w="3620"/>
      </w:tblGrid>
      <w:tr>
        <w:trPr/>
        <w:tc>
          <w:tcPr>
            <w:tcW w:w="30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620" w:type="dxa"/>
            <w:tcBorders/>
            <w:shd w:fill="auto" w:val="clear"/>
            <w:vAlign w:val="center"/>
          </w:tcPr>
          <w:p>
            <w:pPr>
              <w:pStyle w:val="TableContents"/>
              <w:spacing w:before="0" w:after="283"/>
              <w:rPr>
                <w:sz w:val="4"/>
                <w:szCs w:val="4"/>
              </w:rPr>
            </w:pPr>
            <w:r>
              <w:rPr>
                <w:sz w:val="4"/>
                <w:szCs w:val="4"/>
              </w:rPr>
            </w:r>
          </w:p>
        </w:tc>
      </w:tr>
      <w:tr>
        <w:trPr/>
        <w:tc>
          <w:tcPr>
            <w:tcW w:w="4695" w:type="dxa"/>
            <w:gridSpan w:val="5"/>
            <w:tcBorders/>
            <w:shd w:fill="auto" w:val="clear"/>
          </w:tcPr>
          <w:p>
            <w:pPr>
              <w:pStyle w:val="TableContents"/>
              <w:spacing w:before="0" w:after="283"/>
              <w:rPr/>
            </w:pPr>
            <w:r>
              <w:rPr/>
              <w:t>ARCLIGHT CLEAN TRANSITION CORP. II</w:t>
            </w:r>
          </w:p>
        </w:tc>
      </w:tr>
      <w:tr>
        <w:trPr>
          <w:trHeight w:val="240" w:hRule="atLeast"/>
        </w:trPr>
        <w:tc>
          <w:tcPr>
            <w:tcW w:w="305" w:type="dxa"/>
            <w:tcBorders/>
            <w:shd w:fill="auto" w:val="clear"/>
            <w:vAlign w:val="center"/>
          </w:tcPr>
          <w:p>
            <w:pPr>
              <w:pStyle w:val="TableContents"/>
              <w:spacing w:before="0" w:after="283"/>
              <w:rPr>
                <w:sz w:val="4"/>
                <w:szCs w:val="4"/>
              </w:rPr>
            </w:pPr>
            <w:r>
              <w:rPr>
                <w:sz w:val="4"/>
                <w:szCs w:val="4"/>
              </w:rPr>
            </w:r>
          </w:p>
        </w:tc>
        <w:tc>
          <w:tcPr>
            <w:tcW w:w="4390" w:type="dxa"/>
            <w:gridSpan w:val="4"/>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By:</w:t>
            </w:r>
          </w:p>
        </w:tc>
        <w:tc>
          <w:tcPr>
            <w:tcW w:w="60" w:type="dxa"/>
            <w:tcBorders/>
            <w:shd w:fill="auto" w:val="clear"/>
            <w:vAlign w:val="bottom"/>
          </w:tcPr>
          <w:p>
            <w:pPr>
              <w:pStyle w:val="TableContents"/>
              <w:spacing w:before="0" w:after="283"/>
              <w:rPr/>
            </w:pPr>
            <w:r>
              <w:rPr/>
              <w:t> </w:t>
            </w:r>
          </w:p>
        </w:tc>
        <w:tc>
          <w:tcPr>
            <w:tcW w:w="4330" w:type="dxa"/>
            <w:gridSpan w:val="3"/>
            <w:tcBorders/>
            <w:shd w:fill="auto" w:val="clear"/>
            <w:vAlign w:val="bottom"/>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John F. Erhard</w:t>
            </w:r>
          </w:p>
        </w:tc>
      </w:tr>
      <w:tr>
        <w:trPr/>
        <w:tc>
          <w:tcPr>
            <w:tcW w:w="30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50" w:type="dxa"/>
            <w:tcBorders/>
            <w:shd w:fill="auto" w:val="clear"/>
            <w:vAlign w:val="bottom"/>
          </w:tcPr>
          <w:p>
            <w:pPr>
              <w:pStyle w:val="TableContents"/>
              <w:spacing w:before="0" w:after="283"/>
              <w:rPr/>
            </w:pPr>
            <w:r>
              <w:rPr/>
              <w:t>Name:</w:t>
            </w:r>
          </w:p>
        </w:tc>
        <w:tc>
          <w:tcPr>
            <w:tcW w:w="60" w:type="dxa"/>
            <w:tcBorders/>
            <w:shd w:fill="auto" w:val="clear"/>
            <w:vAlign w:val="bottom"/>
          </w:tcPr>
          <w:p>
            <w:pPr>
              <w:pStyle w:val="TableContents"/>
              <w:spacing w:before="0" w:after="283"/>
              <w:rPr/>
            </w:pPr>
            <w:r>
              <w:rPr/>
              <w:t> </w:t>
            </w:r>
          </w:p>
        </w:tc>
        <w:tc>
          <w:tcPr>
            <w:tcW w:w="3620" w:type="dxa"/>
            <w:tcBorders/>
            <w:shd w:fill="auto" w:val="clear"/>
            <w:vAlign w:val="bottom"/>
          </w:tcPr>
          <w:p>
            <w:pPr>
              <w:pStyle w:val="TableContents"/>
              <w:spacing w:before="0" w:after="283"/>
              <w:rPr/>
            </w:pPr>
            <w:r>
              <w:rPr/>
              <w:t>John F. Erhard</w:t>
            </w:r>
          </w:p>
        </w:tc>
      </w:tr>
      <w:tr>
        <w:trPr/>
        <w:tc>
          <w:tcPr>
            <w:tcW w:w="30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50" w:type="dxa"/>
            <w:tcBorders/>
            <w:shd w:fill="auto" w:val="clear"/>
            <w:vAlign w:val="bottom"/>
          </w:tcPr>
          <w:p>
            <w:pPr>
              <w:pStyle w:val="TableContents"/>
              <w:spacing w:before="0" w:after="283"/>
              <w:rPr/>
            </w:pPr>
            <w:r>
              <w:rPr/>
              <w:t>Title:</w:t>
            </w:r>
          </w:p>
        </w:tc>
        <w:tc>
          <w:tcPr>
            <w:tcW w:w="60" w:type="dxa"/>
            <w:tcBorders/>
            <w:shd w:fill="auto" w:val="clear"/>
            <w:vAlign w:val="bottom"/>
          </w:tcPr>
          <w:p>
            <w:pPr>
              <w:pStyle w:val="TableContents"/>
              <w:spacing w:before="0" w:after="283"/>
              <w:rPr/>
            </w:pPr>
            <w:r>
              <w:rPr/>
              <w:t> </w:t>
            </w:r>
          </w:p>
        </w:tc>
        <w:tc>
          <w:tcPr>
            <w:tcW w:w="3620" w:type="dxa"/>
            <w:tcBorders/>
            <w:shd w:fill="auto" w:val="clear"/>
            <w:vAlign w:val="bottom"/>
          </w:tcPr>
          <w:p>
            <w:pPr>
              <w:pStyle w:val="TableContents"/>
              <w:spacing w:before="0" w:after="283"/>
              <w:rPr/>
            </w:pPr>
            <w:r>
              <w:rPr/>
              <w:t>President and Chief Executive Officer</w:t>
            </w:r>
          </w:p>
        </w:tc>
      </w:tr>
      <w:tr>
        <w:trPr>
          <w:trHeight w:val="240" w:hRule="atLeast"/>
        </w:trPr>
        <w:tc>
          <w:tcPr>
            <w:tcW w:w="4695" w:type="dxa"/>
            <w:gridSpan w:val="5"/>
            <w:tcBorders/>
            <w:shd w:fill="auto" w:val="clear"/>
            <w:vAlign w:val="center"/>
          </w:tcPr>
          <w:p>
            <w:pPr>
              <w:pStyle w:val="TableContents"/>
              <w:spacing w:before="0" w:after="283"/>
              <w:rPr>
                <w:sz w:val="4"/>
                <w:szCs w:val="4"/>
              </w:rPr>
            </w:pPr>
            <w:r>
              <w:rPr>
                <w:sz w:val="4"/>
                <w:szCs w:val="4"/>
              </w:rPr>
            </w:r>
          </w:p>
        </w:tc>
      </w:tr>
      <w:tr>
        <w:trPr/>
        <w:tc>
          <w:tcPr>
            <w:tcW w:w="4695" w:type="dxa"/>
            <w:gridSpan w:val="5"/>
            <w:tcBorders/>
            <w:shd w:fill="auto" w:val="clear"/>
          </w:tcPr>
          <w:p>
            <w:pPr>
              <w:pStyle w:val="TableContents"/>
              <w:spacing w:before="0" w:after="283"/>
              <w:rPr/>
            </w:pPr>
            <w:r>
              <w:rPr/>
              <w:t>CONTINENTAL STOCK TRANSFER &amp; TRUST COMPANY, as Warrant Agent</w:t>
            </w:r>
          </w:p>
        </w:tc>
      </w:tr>
      <w:tr>
        <w:trPr>
          <w:trHeight w:val="240" w:hRule="atLeast"/>
        </w:trPr>
        <w:tc>
          <w:tcPr>
            <w:tcW w:w="305" w:type="dxa"/>
            <w:tcBorders/>
            <w:shd w:fill="auto" w:val="clear"/>
            <w:vAlign w:val="center"/>
          </w:tcPr>
          <w:p>
            <w:pPr>
              <w:pStyle w:val="TableContents"/>
              <w:spacing w:before="0" w:after="283"/>
              <w:rPr>
                <w:sz w:val="4"/>
                <w:szCs w:val="4"/>
              </w:rPr>
            </w:pPr>
            <w:r>
              <w:rPr>
                <w:sz w:val="4"/>
                <w:szCs w:val="4"/>
              </w:rPr>
            </w:r>
          </w:p>
        </w:tc>
        <w:tc>
          <w:tcPr>
            <w:tcW w:w="4390" w:type="dxa"/>
            <w:gridSpan w:val="4"/>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By:</w:t>
            </w:r>
          </w:p>
        </w:tc>
        <w:tc>
          <w:tcPr>
            <w:tcW w:w="60" w:type="dxa"/>
            <w:tcBorders/>
            <w:shd w:fill="auto" w:val="clear"/>
            <w:vAlign w:val="bottom"/>
          </w:tcPr>
          <w:p>
            <w:pPr>
              <w:pStyle w:val="TableContents"/>
              <w:spacing w:before="0" w:after="283"/>
              <w:rPr/>
            </w:pPr>
            <w:r>
              <w:rPr/>
              <w:t> </w:t>
            </w:r>
          </w:p>
        </w:tc>
        <w:tc>
          <w:tcPr>
            <w:tcW w:w="4330" w:type="dxa"/>
            <w:gridSpan w:val="3"/>
            <w:tcBorders/>
            <w:shd w:fill="auto" w:val="clear"/>
            <w:vAlign w:val="bottom"/>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Ana Gois</w:t>
            </w:r>
          </w:p>
        </w:tc>
      </w:tr>
      <w:tr>
        <w:trPr/>
        <w:tc>
          <w:tcPr>
            <w:tcW w:w="30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50" w:type="dxa"/>
            <w:tcBorders/>
            <w:shd w:fill="auto" w:val="clear"/>
            <w:vAlign w:val="bottom"/>
          </w:tcPr>
          <w:p>
            <w:pPr>
              <w:pStyle w:val="TableContents"/>
              <w:spacing w:before="0" w:after="283"/>
              <w:rPr/>
            </w:pPr>
            <w:r>
              <w:rPr/>
              <w:t>Name:</w:t>
            </w:r>
          </w:p>
        </w:tc>
        <w:tc>
          <w:tcPr>
            <w:tcW w:w="60" w:type="dxa"/>
            <w:tcBorders/>
            <w:shd w:fill="auto" w:val="clear"/>
            <w:vAlign w:val="bottom"/>
          </w:tcPr>
          <w:p>
            <w:pPr>
              <w:pStyle w:val="TableContents"/>
              <w:spacing w:before="0" w:after="283"/>
              <w:rPr/>
            </w:pPr>
            <w:r>
              <w:rPr/>
              <w:t> </w:t>
            </w:r>
          </w:p>
        </w:tc>
        <w:tc>
          <w:tcPr>
            <w:tcW w:w="3620" w:type="dxa"/>
            <w:tcBorders/>
            <w:shd w:fill="auto" w:val="clear"/>
            <w:vAlign w:val="bottom"/>
          </w:tcPr>
          <w:p>
            <w:pPr>
              <w:pStyle w:val="TableContents"/>
              <w:spacing w:before="0" w:after="283"/>
              <w:rPr/>
            </w:pPr>
            <w:r>
              <w:rPr/>
              <w:t>Ana Gois</w:t>
            </w:r>
          </w:p>
        </w:tc>
      </w:tr>
      <w:tr>
        <w:trPr/>
        <w:tc>
          <w:tcPr>
            <w:tcW w:w="30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50" w:type="dxa"/>
            <w:tcBorders/>
            <w:shd w:fill="auto" w:val="clear"/>
            <w:vAlign w:val="bottom"/>
          </w:tcPr>
          <w:p>
            <w:pPr>
              <w:pStyle w:val="TableContents"/>
              <w:spacing w:before="0" w:after="283"/>
              <w:rPr/>
            </w:pPr>
            <w:r>
              <w:rPr/>
              <w:t>Title:</w:t>
            </w:r>
          </w:p>
        </w:tc>
        <w:tc>
          <w:tcPr>
            <w:tcW w:w="60" w:type="dxa"/>
            <w:tcBorders/>
            <w:shd w:fill="auto" w:val="clear"/>
            <w:vAlign w:val="bottom"/>
          </w:tcPr>
          <w:p>
            <w:pPr>
              <w:pStyle w:val="TableContents"/>
              <w:spacing w:before="0" w:after="283"/>
              <w:rPr/>
            </w:pPr>
            <w:r>
              <w:rPr/>
              <w:t> </w:t>
            </w:r>
          </w:p>
        </w:tc>
        <w:tc>
          <w:tcPr>
            <w:tcW w:w="3620" w:type="dxa"/>
            <w:tcBorders/>
            <w:shd w:fill="auto" w:val="clear"/>
            <w:vAlign w:val="bottom"/>
          </w:tcPr>
          <w:p>
            <w:pPr>
              <w:pStyle w:val="TableContents"/>
              <w:spacing w:before="0" w:after="283"/>
              <w:rPr/>
            </w:pPr>
            <w:r>
              <w:rPr/>
              <w:t>Vice President</w:t>
            </w:r>
          </w:p>
        </w:tc>
      </w:tr>
    </w:tbl>
    <w:p>
      <w:pPr>
        <w:pStyle w:val="TextBody"/>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Warrant Agreement</w:t>
      </w:r>
      <w:r>
        <w:rPr>
          <w:rFonts w:ascii="Times New Roman" w:hAnsi="Times New Roman"/>
          <w:sz w:val="20"/>
        </w:rPr>
        <w:t xml:space="preserve">]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EXHIBIT A </w:t>
      </w:r>
    </w:p>
    <w:p>
      <w:pPr>
        <w:pStyle w:val="TextBody"/>
        <w:spacing w:before="240" w:after="0"/>
        <w:jc w:val="center"/>
        <w:rPr>
          <w:rFonts w:ascii="Times New Roman" w:hAnsi="Times New Roman"/>
          <w:b/>
          <w:sz w:val="20"/>
        </w:rPr>
      </w:pPr>
      <w:r>
        <w:rPr>
          <w:rFonts w:ascii="Times New Roman" w:hAnsi="Times New Roman"/>
          <w:b/>
          <w:sz w:val="20"/>
        </w:rPr>
        <w:t xml:space="preserve">[WARRANT CERTIFICATE TO BE ATTACHED] </w:t>
      </w:r>
      <w:r>
        <w:br w:type="page"/>
      </w:r>
    </w:p>
    <w:p>
      <w:pPr>
        <w:pStyle w:val="HorizontalLine"/>
        <w:pBdr>
          <w:bottom w:val="double" w:sz="6" w:space="0" w:color="808080"/>
        </w:pBdr>
        <w:rPr/>
      </w:pPr>
      <w:r>
        <w:rPr/>
      </w:r>
    </w:p>
    <w:p>
      <w:pPr>
        <w:pStyle w:val="TextBody"/>
        <w:spacing w:before="0" w:after="0"/>
        <w:jc w:val="right"/>
        <w:rPr>
          <w:rFonts w:ascii="Times New Roman" w:hAnsi="Times New Roman"/>
          <w:b/>
          <w:sz w:val="20"/>
        </w:rPr>
      </w:pPr>
      <w:r>
        <w:rPr>
          <w:rFonts w:ascii="Times New Roman" w:hAnsi="Times New Roman"/>
          <w:b/>
          <w:sz w:val="20"/>
        </w:rPr>
        <w:t xml:space="preserve">Exhibit 4.3 </w:t>
      </w:r>
    </w:p>
    <w:p>
      <w:pPr>
        <w:pStyle w:val="TextBody"/>
        <w:spacing w:before="240" w:after="0"/>
        <w:jc w:val="center"/>
        <w:rPr>
          <w:rFonts w:ascii="Times New Roman" w:hAnsi="Times New Roman"/>
          <w:sz w:val="20"/>
        </w:rPr>
      </w:pPr>
      <w:r>
        <w:rPr>
          <w:rFonts w:ascii="Times New Roman" w:hAnsi="Times New Roman"/>
          <w:sz w:val="20"/>
        </w:rPr>
        <w:t xml:space="preserve">[FACE] </w:t>
      </w:r>
    </w:p>
    <w:p>
      <w:pPr>
        <w:pStyle w:val="TextBody"/>
        <w:spacing w:before="240" w:after="0"/>
        <w:jc w:val="left"/>
        <w:rPr>
          <w:rFonts w:ascii="Times New Roman" w:hAnsi="Times New Roman"/>
          <w:sz w:val="20"/>
        </w:rPr>
      </w:pPr>
      <w:r>
        <w:rPr>
          <w:rFonts w:ascii="Times New Roman" w:hAnsi="Times New Roman"/>
          <w:sz w:val="20"/>
        </w:rPr>
        <w:t xml:space="preserve">Number </w:t>
      </w:r>
    </w:p>
    <w:p>
      <w:pPr>
        <w:pStyle w:val="TextBody"/>
        <w:spacing w:before="240" w:after="0"/>
        <w:jc w:val="center"/>
        <w:rPr>
          <w:rFonts w:ascii="Times New Roman" w:hAnsi="Times New Roman"/>
          <w:b/>
          <w:sz w:val="20"/>
        </w:rPr>
      </w:pPr>
      <w:r>
        <w:rPr>
          <w:rFonts w:ascii="Times New Roman" w:hAnsi="Times New Roman"/>
          <w:b/>
          <w:sz w:val="20"/>
        </w:rPr>
        <w:t xml:space="preserve">Warrants </w:t>
      </w:r>
    </w:p>
    <w:p>
      <w:pPr>
        <w:pStyle w:val="TextBody"/>
        <w:spacing w:before="240" w:after="0"/>
        <w:jc w:val="center"/>
        <w:rPr>
          <w:rFonts w:ascii="Times New Roman" w:hAnsi="Times New Roman"/>
          <w:b/>
          <w:sz w:val="20"/>
        </w:rPr>
      </w:pPr>
      <w:r>
        <w:rPr>
          <w:rFonts w:ascii="Times New Roman" w:hAnsi="Times New Roman"/>
          <w:b/>
          <w:sz w:val="20"/>
        </w:rPr>
        <w:t xml:space="preserve">THIS WARRANT SHALL BE VOID IF NOT EXERCISED PRIOR TO </w:t>
      </w:r>
    </w:p>
    <w:p>
      <w:pPr>
        <w:pStyle w:val="TextBody"/>
        <w:spacing w:before="0" w:after="0"/>
        <w:jc w:val="center"/>
        <w:rPr>
          <w:rFonts w:ascii="Times New Roman" w:hAnsi="Times New Roman"/>
          <w:b/>
          <w:sz w:val="20"/>
        </w:rPr>
      </w:pPr>
      <w:r>
        <w:rPr>
          <w:rFonts w:ascii="Times New Roman" w:hAnsi="Times New Roman"/>
          <w:b/>
          <w:sz w:val="20"/>
        </w:rPr>
        <w:t xml:space="preserve">THE EXPIRATION OF THE EXERCISE PERIOD PROVIDED FOR </w:t>
      </w:r>
    </w:p>
    <w:p>
      <w:pPr>
        <w:pStyle w:val="TextBody"/>
        <w:spacing w:before="0" w:after="0"/>
        <w:jc w:val="center"/>
        <w:rPr>
          <w:rFonts w:ascii="Times New Roman" w:hAnsi="Times New Roman"/>
          <w:b/>
          <w:sz w:val="20"/>
        </w:rPr>
      </w:pPr>
      <w:r>
        <w:rPr>
          <w:rFonts w:ascii="Times New Roman" w:hAnsi="Times New Roman"/>
          <w:b/>
          <w:sz w:val="20"/>
        </w:rPr>
        <w:t xml:space="preserve">IN THE WARRANT AGREEMENT DESCRIBED BELOW </w:t>
      </w:r>
    </w:p>
    <w:p>
      <w:pPr>
        <w:pStyle w:val="TextBody"/>
        <w:spacing w:before="240" w:after="0"/>
        <w:jc w:val="center"/>
        <w:rPr>
          <w:rFonts w:ascii="Times New Roman" w:hAnsi="Times New Roman"/>
          <w:b/>
          <w:sz w:val="20"/>
        </w:rPr>
      </w:pPr>
      <w:r>
        <w:rPr>
          <w:rFonts w:ascii="Times New Roman" w:hAnsi="Times New Roman"/>
          <w:b/>
          <w:sz w:val="20"/>
        </w:rPr>
        <w:t xml:space="preserve">ArcLight Clean Transition Corp. II </w:t>
      </w:r>
    </w:p>
    <w:p>
      <w:pPr>
        <w:pStyle w:val="TextBody"/>
        <w:spacing w:before="0" w:after="0"/>
        <w:jc w:val="center"/>
        <w:rPr>
          <w:rFonts w:ascii="Times New Roman" w:hAnsi="Times New Roman"/>
          <w:i/>
          <w:sz w:val="20"/>
        </w:rPr>
      </w:pPr>
      <w:r>
        <w:rPr>
          <w:rFonts w:ascii="Times New Roman" w:hAnsi="Times New Roman"/>
          <w:i/>
          <w:sz w:val="20"/>
        </w:rPr>
        <w:t xml:space="preserve">Incorporated Under the Laws of the Cayman Islands </w:t>
      </w:r>
    </w:p>
    <w:p>
      <w:pPr>
        <w:pStyle w:val="TextBody"/>
        <w:spacing w:before="240" w:after="0"/>
        <w:jc w:val="right"/>
        <w:rPr>
          <w:rFonts w:ascii="Times New Roman" w:hAnsi="Times New Roman"/>
          <w:sz w:val="20"/>
        </w:rPr>
      </w:pPr>
      <w:r>
        <w:rPr>
          <w:rFonts w:ascii="Times New Roman" w:hAnsi="Times New Roman"/>
          <w:sz w:val="20"/>
        </w:rPr>
        <w:t xml:space="preserve">CUSIP [●] </w:t>
      </w:r>
    </w:p>
    <w:p>
      <w:pPr>
        <w:pStyle w:val="TextBody"/>
        <w:spacing w:before="240" w:after="0"/>
        <w:jc w:val="center"/>
        <w:rPr>
          <w:rFonts w:ascii="Times New Roman" w:hAnsi="Times New Roman"/>
          <w:b/>
          <w:sz w:val="20"/>
        </w:rPr>
      </w:pPr>
      <w:r>
        <w:rPr>
          <w:rFonts w:ascii="Times New Roman" w:hAnsi="Times New Roman"/>
          <w:b/>
          <w:sz w:val="20"/>
        </w:rPr>
        <w:t xml:space="preserve">Warrant Certificate </w:t>
      </w:r>
    </w:p>
    <w:p>
      <w:pPr>
        <w:pStyle w:val="TextBody"/>
        <w:spacing w:before="240" w:after="0"/>
        <w:jc w:val="left"/>
        <w:rPr>
          <w:rFonts w:ascii="Times New Roman" w:hAnsi="Times New Roman"/>
          <w:sz w:val="20"/>
        </w:rPr>
      </w:pPr>
      <w:r>
        <w:rPr>
          <w:rFonts w:ascii="Times New Roman" w:hAnsi="Times New Roman"/>
          <w:b/>
          <w:i/>
          <w:sz w:val="20"/>
        </w:rPr>
        <w:t>This Warrant Certificate certifies that</w:t>
      </w:r>
      <w:r>
        <w:rPr>
          <w:rFonts w:ascii="Times New Roman" w:hAnsi="Times New Roman"/>
          <w:sz w:val="20"/>
        </w:rPr>
        <w:t>                    , or registered assigns, is the registered holder of                 warrant(s) (the </w:t>
      </w:r>
      <w:r>
        <w:rPr>
          <w:rFonts w:ascii="Times New Roman" w:hAnsi="Times New Roman"/>
          <w:b/>
          <w:i/>
          <w:sz w:val="20"/>
        </w:rPr>
        <w:t>Warrants</w:t>
      </w:r>
      <w:r>
        <w:rPr>
          <w:rFonts w:ascii="Times New Roman" w:hAnsi="Times New Roman"/>
          <w:sz w:val="20"/>
        </w:rPr>
        <w:t> and each, a </w:t>
      </w:r>
      <w:r>
        <w:rPr>
          <w:rFonts w:ascii="Times New Roman" w:hAnsi="Times New Roman"/>
          <w:b/>
          <w:i/>
          <w:sz w:val="20"/>
        </w:rPr>
        <w:t>Warrant</w:t>
      </w:r>
      <w:r>
        <w:rPr>
          <w:rFonts w:ascii="Times New Roman" w:hAnsi="Times New Roman"/>
          <w:sz w:val="20"/>
        </w:rPr>
        <w:t>) to purchase Class A ordinary shares, $0.0001 par value (</w:t>
      </w:r>
      <w:r>
        <w:rPr>
          <w:rFonts w:ascii="Times New Roman" w:hAnsi="Times New Roman"/>
          <w:b/>
          <w:i/>
          <w:sz w:val="20"/>
        </w:rPr>
        <w:t>Ordinary Shares</w:t>
      </w:r>
      <w:r>
        <w:rPr>
          <w:rFonts w:ascii="Times New Roman" w:hAnsi="Times New Roman"/>
          <w:sz w:val="20"/>
        </w:rPr>
        <w:t>), of ArcLight Clean Transition Corp. II, a Cayman Islands exempted company (the </w:t>
      </w:r>
      <w:r>
        <w:rPr>
          <w:rFonts w:ascii="Times New Roman" w:hAnsi="Times New Roman"/>
          <w:b/>
          <w:i/>
          <w:sz w:val="20"/>
        </w:rPr>
        <w:t>Company</w:t>
      </w:r>
      <w:r>
        <w:rPr>
          <w:rFonts w:ascii="Times New Roman" w:hAnsi="Times New Roman"/>
          <w:sz w:val="20"/>
        </w:rPr>
        <w:t>). Each Warrant entitles the holder, upon exercise during the period set forth in the Warrant Agreement referred to below, to receive from the Company that number of fully paid and nonassessable Ordinary Shares as set forth below, at the exercise price (the </w:t>
      </w:r>
      <w:r>
        <w:rPr>
          <w:rFonts w:ascii="Times New Roman" w:hAnsi="Times New Roman"/>
          <w:b/>
          <w:i/>
          <w:sz w:val="20"/>
        </w:rPr>
        <w:t>Exercise Price</w:t>
      </w:r>
      <w:r>
        <w:rPr>
          <w:rFonts w:ascii="Times New Roman" w:hAnsi="Times New Roman"/>
          <w:sz w:val="20"/>
        </w:rPr>
        <w:t>) as determined pursuant to the Warrant Agreement, payable in lawful money (or through </w:t>
      </w:r>
      <w:r>
        <w:rPr>
          <w:rFonts w:ascii="Times New Roman" w:hAnsi="Times New Roman"/>
          <w:b/>
          <w:i/>
          <w:sz w:val="20"/>
        </w:rPr>
        <w:t>cashless exercise</w:t>
      </w:r>
      <w:r>
        <w:rPr>
          <w:rFonts w:ascii="Times New Roman" w:hAnsi="Times New Roman"/>
          <w:sz w:val="20"/>
        </w:rPr>
        <w:t xml:space="preserve"> as provided for in the Warrant Agreement) of the United States of America upon surrender of this Warrant Certificate and payment of the Exercise Price at the office or agency of the Warrant Agent referred to below, subject to the conditions set forth herein and in the Warrant Agreement. Defined terms used in this Warrant Certificate but not defined herein shall have the meanings given to them in the Warrant Agreement. </w:t>
      </w:r>
    </w:p>
    <w:p>
      <w:pPr>
        <w:pStyle w:val="TextBody"/>
        <w:spacing w:before="240" w:after="0"/>
        <w:jc w:val="left"/>
        <w:rPr>
          <w:rFonts w:ascii="Times New Roman" w:hAnsi="Times New Roman"/>
          <w:sz w:val="20"/>
        </w:rPr>
      </w:pPr>
      <w:r>
        <w:rPr>
          <w:rFonts w:ascii="Times New Roman" w:hAnsi="Times New Roman"/>
          <w:sz w:val="20"/>
        </w:rPr>
        <w:t xml:space="preserve">Each whole Warrant is initially exercisable for one fully paid and non-assessable Ordinary Share. Fractional shares shall not be issued upon exercise of any Warrant. If, upon the exercise of Warrants, a holder would be entitled to receive a fractional interest in an Ordinary Share, the Company shall, upon exercise, round down to the nearest whole number the number of Ordinary Shares to be issued to the Warrant holder. The number of Ordinary Shares issuable upon exercise of the Warrants is subject to adjustment upon the occurrence of certain events as set forth in the Warrant Agreement. </w:t>
      </w:r>
    </w:p>
    <w:p>
      <w:pPr>
        <w:pStyle w:val="TextBody"/>
        <w:spacing w:before="240" w:after="0"/>
        <w:jc w:val="left"/>
        <w:rPr>
          <w:rFonts w:ascii="Times New Roman" w:hAnsi="Times New Roman"/>
          <w:sz w:val="20"/>
        </w:rPr>
      </w:pPr>
      <w:r>
        <w:rPr>
          <w:rFonts w:ascii="Times New Roman" w:hAnsi="Times New Roman"/>
          <w:sz w:val="20"/>
        </w:rPr>
        <w:t xml:space="preserve">The initial Exercise Price per one Ordinary Share for any Warrant is equal to $11.50 per share. The Exercise Price is subject to adjustment upon the occurrence of certain events as set forth in the Warrant Agreement. </w:t>
      </w:r>
    </w:p>
    <w:p>
      <w:pPr>
        <w:pStyle w:val="TextBody"/>
        <w:spacing w:before="240" w:after="0"/>
        <w:jc w:val="left"/>
        <w:rPr>
          <w:rFonts w:ascii="Times New Roman" w:hAnsi="Times New Roman"/>
          <w:sz w:val="20"/>
        </w:rPr>
      </w:pPr>
      <w:r>
        <w:rPr>
          <w:rFonts w:ascii="Times New Roman" w:hAnsi="Times New Roman"/>
          <w:sz w:val="20"/>
        </w:rPr>
        <w:t xml:space="preserve">Subject to the conditions set forth in the Warrant Agreement, the Warrants may be exercised only during the Exercise Period and to the extent not exercised by the end of such Exercise Period, such Warrants shall become void. The Warrants may be redeemed, subject to certain conditions, as set forth in the Warrant Agreement. </w:t>
      </w:r>
    </w:p>
    <w:p>
      <w:pPr>
        <w:pStyle w:val="TextBody"/>
        <w:spacing w:before="240" w:after="0"/>
        <w:jc w:val="left"/>
        <w:rPr>
          <w:rFonts w:ascii="Times New Roman" w:hAnsi="Times New Roman"/>
          <w:sz w:val="20"/>
        </w:rPr>
      </w:pPr>
      <w:r>
        <w:rPr>
          <w:rFonts w:ascii="Times New Roman" w:hAnsi="Times New Roman"/>
          <w:sz w:val="20"/>
        </w:rPr>
        <w:t xml:space="preserve">Reference is hereby made to the further provisions of this Warrant Certificate set forth on the reverse hereof and such further provisions shall for all purposes have the same effect as though fully set forth at this place. </w:t>
      </w:r>
    </w:p>
    <w:p>
      <w:pPr>
        <w:pStyle w:val="TextBody"/>
        <w:spacing w:before="240" w:after="0"/>
        <w:jc w:val="left"/>
        <w:rPr>
          <w:rFonts w:ascii="Times New Roman" w:hAnsi="Times New Roman"/>
          <w:sz w:val="20"/>
        </w:rPr>
      </w:pPr>
      <w:r>
        <w:rPr>
          <w:rFonts w:ascii="Times New Roman" w:hAnsi="Times New Roman"/>
          <w:sz w:val="20"/>
        </w:rPr>
        <w:t xml:space="preserve">This Warrant Certificate shall not be valid unless countersigned by the Warrant Agent, as such term is used in the Warrant Agreement. This Warrant Certificate shall be governed by and construed in accordance with the internal laws of the State of New York. </w:t>
      </w:r>
      <w:r>
        <w:br w:type="page"/>
      </w:r>
    </w:p>
    <w:p>
      <w:pPr>
        <w:pStyle w:val="HorizontalLine"/>
        <w:pBdr>
          <w:bottom w:val="double" w:sz="6" w:space="0" w:color="808080"/>
        </w:pBdr>
        <w:rPr/>
      </w:pPr>
      <w:r>
        <w:rPr/>
      </w:r>
    </w:p>
    <w:tbl>
      <w:tblPr>
        <w:tblW w:w="2000" w:type="pct"/>
        <w:jc w:val="right"/>
        <w:tblInd w:w="0" w:type="dxa"/>
        <w:tblCellMar>
          <w:top w:w="0" w:type="dxa"/>
          <w:left w:w="0" w:type="dxa"/>
          <w:bottom w:w="0" w:type="dxa"/>
          <w:right w:w="0" w:type="dxa"/>
        </w:tblCellMar>
      </w:tblPr>
      <w:tblGrid>
        <w:gridCol w:w="342"/>
        <w:gridCol w:w="60"/>
        <w:gridCol w:w="673"/>
        <w:gridCol w:w="60"/>
        <w:gridCol w:w="2947"/>
      </w:tblGrid>
      <w:tr>
        <w:trPr/>
        <w:tc>
          <w:tcPr>
            <w:tcW w:w="34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7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947" w:type="dxa"/>
            <w:tcBorders/>
            <w:shd w:fill="auto" w:val="clear"/>
            <w:vAlign w:val="center"/>
          </w:tcPr>
          <w:p>
            <w:pPr>
              <w:pStyle w:val="TableContents"/>
              <w:spacing w:before="0" w:after="283"/>
              <w:rPr>
                <w:sz w:val="4"/>
                <w:szCs w:val="4"/>
              </w:rPr>
            </w:pPr>
            <w:r>
              <w:rPr>
                <w:sz w:val="4"/>
                <w:szCs w:val="4"/>
              </w:rPr>
            </w:r>
          </w:p>
        </w:tc>
      </w:tr>
      <w:tr>
        <w:trPr/>
        <w:tc>
          <w:tcPr>
            <w:tcW w:w="4082" w:type="dxa"/>
            <w:gridSpan w:val="5"/>
            <w:tcBorders/>
            <w:shd w:fill="auto" w:val="clear"/>
          </w:tcPr>
          <w:p>
            <w:pPr>
              <w:pStyle w:val="TableContents"/>
              <w:spacing w:before="0" w:after="283"/>
              <w:rPr/>
            </w:pPr>
            <w:r>
              <w:rPr/>
              <w:t>ARCLIGHT CLEAN TRANSITION CORP. II</w:t>
            </w:r>
          </w:p>
        </w:tc>
      </w:tr>
      <w:tr>
        <w:trPr>
          <w:trHeight w:val="240" w:hRule="atLeast"/>
        </w:trPr>
        <w:tc>
          <w:tcPr>
            <w:tcW w:w="342" w:type="dxa"/>
            <w:tcBorders/>
            <w:shd w:fill="auto" w:val="clear"/>
            <w:vAlign w:val="center"/>
          </w:tcPr>
          <w:p>
            <w:pPr>
              <w:pStyle w:val="TableContents"/>
              <w:spacing w:before="0" w:after="283"/>
              <w:rPr>
                <w:sz w:val="4"/>
                <w:szCs w:val="4"/>
              </w:rPr>
            </w:pPr>
            <w:r>
              <w:rPr>
                <w:sz w:val="4"/>
                <w:szCs w:val="4"/>
              </w:rPr>
            </w:r>
          </w:p>
        </w:tc>
        <w:tc>
          <w:tcPr>
            <w:tcW w:w="3740" w:type="dxa"/>
            <w:gridSpan w:val="4"/>
            <w:tcBorders/>
            <w:shd w:fill="auto" w:val="clear"/>
            <w:vAlign w:val="center"/>
          </w:tcPr>
          <w:p>
            <w:pPr>
              <w:pStyle w:val="TableContents"/>
              <w:spacing w:before="0" w:after="283"/>
              <w:rPr>
                <w:sz w:val="4"/>
                <w:szCs w:val="4"/>
              </w:rPr>
            </w:pPr>
            <w:r>
              <w:rPr>
                <w:sz w:val="4"/>
                <w:szCs w:val="4"/>
              </w:rPr>
            </w:r>
          </w:p>
        </w:tc>
      </w:tr>
      <w:tr>
        <w:trPr/>
        <w:tc>
          <w:tcPr>
            <w:tcW w:w="342" w:type="dxa"/>
            <w:tcBorders/>
            <w:shd w:fill="auto" w:val="clear"/>
          </w:tcPr>
          <w:p>
            <w:pPr>
              <w:pStyle w:val="TableContents"/>
              <w:spacing w:before="0" w:after="283"/>
              <w:rPr/>
            </w:pPr>
            <w:r>
              <w:rPr/>
              <w:t>By:</w:t>
            </w:r>
          </w:p>
        </w:tc>
        <w:tc>
          <w:tcPr>
            <w:tcW w:w="60" w:type="dxa"/>
            <w:tcBorders/>
            <w:shd w:fill="auto" w:val="clear"/>
            <w:vAlign w:val="bottom"/>
          </w:tcPr>
          <w:p>
            <w:pPr>
              <w:pStyle w:val="TableContents"/>
              <w:spacing w:before="0" w:after="283"/>
              <w:rPr/>
            </w:pPr>
            <w:r>
              <w:rPr/>
              <w:t> </w:t>
            </w:r>
          </w:p>
        </w:tc>
        <w:tc>
          <w:tcPr>
            <w:tcW w:w="3680" w:type="dxa"/>
            <w:gridSpan w:val="3"/>
            <w:tcBorders/>
            <w:shd w:fill="auto" w:val="clear"/>
            <w:vAlign w:val="bottom"/>
          </w:tcPr>
          <w:p>
            <w:pPr>
              <w:pStyle w:val="TableContents"/>
              <w:pBdr>
                <w:bottom w:val="single" w:sz="2" w:space="1" w:color="000000"/>
              </w:pBdr>
              <w:spacing w:before="0" w:after="20"/>
              <w:rPr/>
            </w:pPr>
            <w:r>
              <w:rPr/>
              <w:t> </w:t>
            </w:r>
          </w:p>
        </w:tc>
      </w:tr>
      <w:tr>
        <w:trPr/>
        <w:tc>
          <w:tcPr>
            <w:tcW w:w="342"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73" w:type="dxa"/>
            <w:tcBorders/>
            <w:shd w:fill="auto" w:val="clear"/>
            <w:vAlign w:val="bottom"/>
          </w:tcPr>
          <w:p>
            <w:pPr>
              <w:pStyle w:val="TableContents"/>
              <w:spacing w:before="0" w:after="283"/>
              <w:rPr/>
            </w:pPr>
            <w:r>
              <w:rPr/>
              <w:t>Name:</w:t>
            </w:r>
          </w:p>
        </w:tc>
        <w:tc>
          <w:tcPr>
            <w:tcW w:w="60" w:type="dxa"/>
            <w:tcBorders/>
            <w:shd w:fill="auto" w:val="clear"/>
            <w:vAlign w:val="bottom"/>
          </w:tcPr>
          <w:p>
            <w:pPr>
              <w:pStyle w:val="TableContents"/>
              <w:spacing w:before="0" w:after="283"/>
              <w:rPr/>
            </w:pPr>
            <w:r>
              <w:rPr/>
              <w:t> </w:t>
            </w:r>
          </w:p>
        </w:tc>
        <w:tc>
          <w:tcPr>
            <w:tcW w:w="2947" w:type="dxa"/>
            <w:tcBorders/>
            <w:shd w:fill="auto" w:val="clear"/>
            <w:vAlign w:val="bottom"/>
          </w:tcPr>
          <w:p>
            <w:pPr>
              <w:pStyle w:val="TableContents"/>
              <w:spacing w:before="0" w:after="283"/>
              <w:rPr/>
            </w:pPr>
            <w:r>
              <w:rPr/>
              <w:t>John F. Erhard</w:t>
            </w:r>
          </w:p>
        </w:tc>
      </w:tr>
      <w:tr>
        <w:trPr/>
        <w:tc>
          <w:tcPr>
            <w:tcW w:w="342"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73" w:type="dxa"/>
            <w:tcBorders/>
            <w:shd w:fill="auto" w:val="clear"/>
            <w:vAlign w:val="bottom"/>
          </w:tcPr>
          <w:p>
            <w:pPr>
              <w:pStyle w:val="TableContents"/>
              <w:spacing w:before="0" w:after="283"/>
              <w:rPr/>
            </w:pPr>
            <w:r>
              <w:rPr/>
              <w:t>Title:</w:t>
            </w:r>
          </w:p>
        </w:tc>
        <w:tc>
          <w:tcPr>
            <w:tcW w:w="60" w:type="dxa"/>
            <w:tcBorders/>
            <w:shd w:fill="auto" w:val="clear"/>
            <w:vAlign w:val="bottom"/>
          </w:tcPr>
          <w:p>
            <w:pPr>
              <w:pStyle w:val="TableContents"/>
              <w:spacing w:before="0" w:after="283"/>
              <w:rPr/>
            </w:pPr>
            <w:r>
              <w:rPr/>
              <w:t> </w:t>
            </w:r>
          </w:p>
        </w:tc>
        <w:tc>
          <w:tcPr>
            <w:tcW w:w="2947" w:type="dxa"/>
            <w:tcBorders/>
            <w:shd w:fill="auto" w:val="clear"/>
            <w:vAlign w:val="bottom"/>
          </w:tcPr>
          <w:p>
            <w:pPr>
              <w:pStyle w:val="TableContents"/>
              <w:spacing w:before="0" w:after="283"/>
              <w:rPr/>
            </w:pPr>
            <w:r>
              <w:rPr/>
              <w:t>Authorized Signatory</w:t>
            </w:r>
          </w:p>
        </w:tc>
      </w:tr>
      <w:tr>
        <w:trPr>
          <w:trHeight w:val="240" w:hRule="atLeast"/>
        </w:trPr>
        <w:tc>
          <w:tcPr>
            <w:tcW w:w="4082" w:type="dxa"/>
            <w:gridSpan w:val="5"/>
            <w:tcBorders/>
            <w:shd w:fill="auto" w:val="clear"/>
            <w:vAlign w:val="center"/>
          </w:tcPr>
          <w:p>
            <w:pPr>
              <w:pStyle w:val="TableContents"/>
              <w:spacing w:before="0" w:after="283"/>
              <w:rPr>
                <w:sz w:val="4"/>
                <w:szCs w:val="4"/>
              </w:rPr>
            </w:pPr>
            <w:r>
              <w:rPr>
                <w:sz w:val="4"/>
                <w:szCs w:val="4"/>
              </w:rPr>
            </w:r>
          </w:p>
        </w:tc>
      </w:tr>
      <w:tr>
        <w:trPr/>
        <w:tc>
          <w:tcPr>
            <w:tcW w:w="4082" w:type="dxa"/>
            <w:gridSpan w:val="5"/>
            <w:tcBorders/>
            <w:shd w:fill="auto" w:val="clear"/>
          </w:tcPr>
          <w:p>
            <w:pPr>
              <w:pStyle w:val="TableContents"/>
              <w:spacing w:before="0" w:after="283"/>
              <w:rPr/>
            </w:pPr>
            <w:r>
              <w:rPr/>
              <w:t>CONTINENTAL STOCK TRANSFER &amp; TRUST COMPANY, AS WARRANT AGENT</w:t>
            </w:r>
          </w:p>
        </w:tc>
      </w:tr>
      <w:tr>
        <w:trPr>
          <w:trHeight w:val="240" w:hRule="atLeast"/>
        </w:trPr>
        <w:tc>
          <w:tcPr>
            <w:tcW w:w="342" w:type="dxa"/>
            <w:tcBorders/>
            <w:shd w:fill="auto" w:val="clear"/>
            <w:vAlign w:val="center"/>
          </w:tcPr>
          <w:p>
            <w:pPr>
              <w:pStyle w:val="TableContents"/>
              <w:spacing w:before="0" w:after="283"/>
              <w:rPr>
                <w:sz w:val="4"/>
                <w:szCs w:val="4"/>
              </w:rPr>
            </w:pPr>
            <w:r>
              <w:rPr>
                <w:sz w:val="4"/>
                <w:szCs w:val="4"/>
              </w:rPr>
            </w:r>
          </w:p>
        </w:tc>
        <w:tc>
          <w:tcPr>
            <w:tcW w:w="3740" w:type="dxa"/>
            <w:gridSpan w:val="4"/>
            <w:tcBorders/>
            <w:shd w:fill="auto" w:val="clear"/>
            <w:vAlign w:val="center"/>
          </w:tcPr>
          <w:p>
            <w:pPr>
              <w:pStyle w:val="TableContents"/>
              <w:spacing w:before="0" w:after="283"/>
              <w:rPr>
                <w:sz w:val="4"/>
                <w:szCs w:val="4"/>
              </w:rPr>
            </w:pPr>
            <w:r>
              <w:rPr>
                <w:sz w:val="4"/>
                <w:szCs w:val="4"/>
              </w:rPr>
            </w:r>
          </w:p>
        </w:tc>
      </w:tr>
      <w:tr>
        <w:trPr/>
        <w:tc>
          <w:tcPr>
            <w:tcW w:w="342" w:type="dxa"/>
            <w:tcBorders/>
            <w:shd w:fill="auto" w:val="clear"/>
          </w:tcPr>
          <w:p>
            <w:pPr>
              <w:pStyle w:val="TableContents"/>
              <w:spacing w:before="0" w:after="283"/>
              <w:rPr/>
            </w:pPr>
            <w:r>
              <w:rPr/>
              <w:t>By:</w:t>
            </w:r>
          </w:p>
        </w:tc>
        <w:tc>
          <w:tcPr>
            <w:tcW w:w="60" w:type="dxa"/>
            <w:tcBorders/>
            <w:shd w:fill="auto" w:val="clear"/>
            <w:vAlign w:val="bottom"/>
          </w:tcPr>
          <w:p>
            <w:pPr>
              <w:pStyle w:val="TableContents"/>
              <w:spacing w:before="0" w:after="283"/>
              <w:rPr/>
            </w:pPr>
            <w:r>
              <w:rPr/>
              <w:t> </w:t>
            </w:r>
          </w:p>
        </w:tc>
        <w:tc>
          <w:tcPr>
            <w:tcW w:w="3680" w:type="dxa"/>
            <w:gridSpan w:val="3"/>
            <w:tcBorders/>
            <w:shd w:fill="auto" w:val="clear"/>
            <w:vAlign w:val="bottom"/>
          </w:tcPr>
          <w:p>
            <w:pPr>
              <w:pStyle w:val="TableContents"/>
              <w:pBdr>
                <w:bottom w:val="single" w:sz="2" w:space="1" w:color="000000"/>
              </w:pBdr>
              <w:spacing w:before="0" w:after="20"/>
              <w:rPr/>
            </w:pPr>
            <w:r>
              <w:rPr/>
              <w:t> </w:t>
            </w:r>
          </w:p>
        </w:tc>
      </w:tr>
      <w:tr>
        <w:trPr/>
        <w:tc>
          <w:tcPr>
            <w:tcW w:w="342"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73" w:type="dxa"/>
            <w:tcBorders/>
            <w:shd w:fill="auto" w:val="clear"/>
            <w:vAlign w:val="bottom"/>
          </w:tcPr>
          <w:p>
            <w:pPr>
              <w:pStyle w:val="TableContents"/>
              <w:spacing w:before="0" w:after="283"/>
              <w:rPr/>
            </w:pPr>
            <w:r>
              <w:rPr/>
              <w:t>Name:</w:t>
            </w:r>
          </w:p>
        </w:tc>
        <w:tc>
          <w:tcPr>
            <w:tcW w:w="60" w:type="dxa"/>
            <w:tcBorders/>
            <w:shd w:fill="auto" w:val="clear"/>
            <w:vAlign w:val="bottom"/>
          </w:tcPr>
          <w:p>
            <w:pPr>
              <w:pStyle w:val="TableContents"/>
              <w:spacing w:before="0" w:after="283"/>
              <w:rPr/>
            </w:pPr>
            <w:r>
              <w:rPr/>
              <w:t> </w:t>
            </w:r>
          </w:p>
        </w:tc>
        <w:tc>
          <w:tcPr>
            <w:tcW w:w="2947" w:type="dxa"/>
            <w:tcBorders/>
            <w:shd w:fill="auto" w:val="clear"/>
            <w:vAlign w:val="bottom"/>
          </w:tcPr>
          <w:p>
            <w:pPr>
              <w:pStyle w:val="TableContents"/>
              <w:spacing w:before="0" w:after="283"/>
              <w:rPr>
                <w:sz w:val="4"/>
                <w:szCs w:val="4"/>
              </w:rPr>
            </w:pPr>
            <w:r>
              <w:rPr>
                <w:sz w:val="4"/>
                <w:szCs w:val="4"/>
              </w:rPr>
            </w:r>
          </w:p>
        </w:tc>
      </w:tr>
      <w:tr>
        <w:trPr/>
        <w:tc>
          <w:tcPr>
            <w:tcW w:w="342"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73" w:type="dxa"/>
            <w:tcBorders/>
            <w:shd w:fill="auto" w:val="clear"/>
            <w:vAlign w:val="bottom"/>
          </w:tcPr>
          <w:p>
            <w:pPr>
              <w:pStyle w:val="TableContents"/>
              <w:spacing w:before="0" w:after="283"/>
              <w:rPr/>
            </w:pPr>
            <w:r>
              <w:rPr/>
              <w:t>Title:</w:t>
            </w:r>
          </w:p>
        </w:tc>
        <w:tc>
          <w:tcPr>
            <w:tcW w:w="60" w:type="dxa"/>
            <w:tcBorders/>
            <w:shd w:fill="auto" w:val="clear"/>
            <w:vAlign w:val="bottom"/>
          </w:tcPr>
          <w:p>
            <w:pPr>
              <w:pStyle w:val="TableContents"/>
              <w:spacing w:before="0" w:after="283"/>
              <w:rPr/>
            </w:pPr>
            <w:r>
              <w:rPr/>
              <w:t> </w:t>
            </w:r>
          </w:p>
        </w:tc>
        <w:tc>
          <w:tcPr>
            <w:tcW w:w="2947" w:type="dxa"/>
            <w:tcBorders/>
            <w:shd w:fill="auto" w:val="clear"/>
            <w:vAlign w:val="bottom"/>
          </w:tcPr>
          <w:p>
            <w:pPr>
              <w:pStyle w:val="TableContents"/>
              <w:spacing w:before="0" w:after="283"/>
              <w:rPr>
                <w:sz w:val="4"/>
                <w:szCs w:val="4"/>
              </w:rPr>
            </w:pPr>
            <w:r>
              <w:rPr>
                <w:sz w:val="4"/>
                <w:szCs w:val="4"/>
              </w:rPr>
            </w:r>
          </w:p>
        </w:tc>
      </w:tr>
    </w:tbl>
    <w:p>
      <w:pPr>
        <w:pStyle w:val="TextBody"/>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Warrant Certificate</w:t>
      </w:r>
      <w:r>
        <w:rPr>
          <w:rFonts w:ascii="Times New Roman" w:hAnsi="Times New Roman"/>
          <w:sz w:val="20"/>
        </w:rPr>
        <w:t xml:space="preserve">]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[Form of Warrant Certificate] </w:t>
      </w:r>
    </w:p>
    <w:p>
      <w:pPr>
        <w:pStyle w:val="TextBody"/>
        <w:spacing w:before="240" w:after="0"/>
        <w:jc w:val="center"/>
        <w:rPr>
          <w:rFonts w:ascii="Times New Roman" w:hAnsi="Times New Roman"/>
          <w:b/>
          <w:sz w:val="20"/>
        </w:rPr>
      </w:pPr>
      <w:r>
        <w:rPr>
          <w:rFonts w:ascii="Times New Roman" w:hAnsi="Times New Roman"/>
          <w:b/>
          <w:sz w:val="20"/>
        </w:rPr>
        <w:t xml:space="preserve">[Reverse] </w:t>
      </w:r>
    </w:p>
    <w:p>
      <w:pPr>
        <w:pStyle w:val="TextBody"/>
        <w:spacing w:before="240" w:after="0"/>
        <w:jc w:val="left"/>
        <w:rPr>
          <w:rFonts w:ascii="Times New Roman" w:hAnsi="Times New Roman"/>
          <w:sz w:val="20"/>
        </w:rPr>
      </w:pPr>
      <w:r>
        <w:rPr>
          <w:rFonts w:ascii="Times New Roman" w:hAnsi="Times New Roman"/>
          <w:sz w:val="20"/>
        </w:rPr>
        <w:t>The Warrants evidenced by this Warrant Certificate are part of a duly authorized issue of Warrants entitling the holder on exercise to receive                Ordinary Shares and are issued or to be issued pursuant to a Warrant Agreement dated as of            , 2021 (the </w:t>
      </w:r>
      <w:r>
        <w:rPr>
          <w:rFonts w:ascii="Times New Roman" w:hAnsi="Times New Roman"/>
          <w:b/>
          <w:i/>
          <w:sz w:val="20"/>
        </w:rPr>
        <w:t>Warrant Agreement</w:t>
      </w:r>
      <w:r>
        <w:rPr>
          <w:rFonts w:ascii="Times New Roman" w:hAnsi="Times New Roman"/>
          <w:sz w:val="20"/>
        </w:rPr>
        <w:t>), duly executed and delivered by the Company to Continental Stock Transfer &amp; Trust Company, a New York corporation, as warrant agent (the </w:t>
      </w:r>
      <w:r>
        <w:rPr>
          <w:rFonts w:ascii="Times New Roman" w:hAnsi="Times New Roman"/>
          <w:b/>
          <w:i/>
          <w:sz w:val="20"/>
        </w:rPr>
        <w:t>Warrant Agent</w:t>
      </w:r>
      <w:r>
        <w:rPr>
          <w:rFonts w:ascii="Times New Roman" w:hAnsi="Times New Roman"/>
          <w:sz w:val="20"/>
        </w:rPr>
        <w:t>), which Warrant Agreement is hereby incorporated by reference in and made a part of this instrument and is hereby referred to for a description of the rights, limitation of rights, obligations, duties and immunities thereunder of the Warrant Agent, the Company and the holders (the words </w:t>
      </w:r>
      <w:r>
        <w:rPr>
          <w:rFonts w:ascii="Times New Roman" w:hAnsi="Times New Roman"/>
          <w:b/>
          <w:i/>
          <w:sz w:val="20"/>
        </w:rPr>
        <w:t>holders</w:t>
      </w:r>
      <w:r>
        <w:rPr>
          <w:rFonts w:ascii="Times New Roman" w:hAnsi="Times New Roman"/>
          <w:sz w:val="20"/>
        </w:rPr>
        <w:t> or </w:t>
      </w:r>
      <w:r>
        <w:rPr>
          <w:rFonts w:ascii="Times New Roman" w:hAnsi="Times New Roman"/>
          <w:b/>
          <w:i/>
          <w:sz w:val="20"/>
        </w:rPr>
        <w:t>holder</w:t>
      </w:r>
      <w:r>
        <w:rPr>
          <w:rFonts w:ascii="Times New Roman" w:hAnsi="Times New Roman"/>
          <w:sz w:val="20"/>
        </w:rPr>
        <w:t xml:space="preserve"> meaning the Registered Holders or Registered Holder, respectively) of the Warrants. A copy of the Warrant Agreement may be obtained by the holder hereof upon written request to the Company. Defined terms used in this Warrant Certificate but not defined herein shall have the meanings given to them in the Warrant Agreement. </w:t>
      </w:r>
    </w:p>
    <w:p>
      <w:pPr>
        <w:pStyle w:val="TextBody"/>
        <w:spacing w:before="240" w:after="0"/>
        <w:jc w:val="left"/>
        <w:rPr>
          <w:rFonts w:ascii="Times New Roman" w:hAnsi="Times New Roman"/>
          <w:sz w:val="20"/>
        </w:rPr>
      </w:pPr>
      <w:r>
        <w:rPr>
          <w:rFonts w:ascii="Times New Roman" w:hAnsi="Times New Roman"/>
          <w:sz w:val="20"/>
        </w:rPr>
        <w:t>Warrants may be exercised at any time during the Exercise Period set forth in the Warrant Agreement. The holder of Warrants evidenced by this Warrant Certificate may exercise them by surrendering this Warrant Certificate, with the form of Election to Purchase set forth hereon properly completed and executed, together with payment of the Exercise Price as specified in the Warrant Agreement (or through </w:t>
      </w:r>
      <w:r>
        <w:rPr>
          <w:rFonts w:ascii="Times New Roman" w:hAnsi="Times New Roman"/>
          <w:i/>
          <w:sz w:val="20"/>
        </w:rPr>
        <w:t>cashless exercise</w:t>
      </w:r>
      <w:r>
        <w:rPr>
          <w:rFonts w:ascii="Times New Roman" w:hAnsi="Times New Roman"/>
          <w:sz w:val="20"/>
        </w:rPr>
        <w:t xml:space="preserve"> as provided for in the Warrant Agreement) at the principal corporate trust office of the Warrant Agent. In the event that upon any exercise of Warrants evidenced hereby the number of Warrants exercised shall be less than the total number of Warrants evidenced hereby, there shall be issued to the holder hereof or his, her or its assignee, a new Warrant Certificate evidencing the number of Warrants not exercised. </w:t>
      </w:r>
    </w:p>
    <w:p>
      <w:pPr>
        <w:pStyle w:val="TextBody"/>
        <w:spacing w:before="240" w:after="0"/>
        <w:jc w:val="left"/>
        <w:rPr>
          <w:rFonts w:ascii="Times New Roman" w:hAnsi="Times New Roman"/>
          <w:sz w:val="20"/>
        </w:rPr>
      </w:pPr>
      <w:r>
        <w:rPr>
          <w:rFonts w:ascii="Times New Roman" w:hAnsi="Times New Roman"/>
          <w:sz w:val="20"/>
        </w:rPr>
        <w:t>Notwithstanding anything else in this Warrant Certificate or the Warrant Agreement, no Warrant may be exercised unless at the time of exercise (i) a registration statement covering the issuance of the Ordinary Shares to be issued upon exercise is effective under the Securities Act and (ii) a prospectus thereunder relating to the Ordinary Shares is current, except through </w:t>
      </w:r>
      <w:r>
        <w:rPr>
          <w:rFonts w:ascii="Times New Roman" w:hAnsi="Times New Roman"/>
          <w:i/>
          <w:sz w:val="20"/>
        </w:rPr>
        <w:t>cashless exercise</w:t>
      </w:r>
      <w:r>
        <w:rPr>
          <w:rFonts w:ascii="Times New Roman" w:hAnsi="Times New Roman"/>
          <w:sz w:val="20"/>
        </w:rPr>
        <w:t xml:space="preserve"> as provided for in the Warrant Agreement. </w:t>
      </w:r>
    </w:p>
    <w:p>
      <w:pPr>
        <w:pStyle w:val="TextBody"/>
        <w:spacing w:before="240" w:after="0"/>
        <w:jc w:val="left"/>
        <w:rPr>
          <w:rFonts w:ascii="Times New Roman" w:hAnsi="Times New Roman"/>
          <w:sz w:val="20"/>
        </w:rPr>
      </w:pPr>
      <w:r>
        <w:rPr>
          <w:rFonts w:ascii="Times New Roman" w:hAnsi="Times New Roman"/>
          <w:sz w:val="20"/>
        </w:rPr>
        <w:t xml:space="preserve">The Warrant Agreement provides that upon the occurrence of certain events the number of Ordinary Shares issuable upon exercise of the Warrants set forth on the face hereof may, subject to certain conditions, be adjusted. If, upon exercise of a Warrant, the holder thereof would be entitled to receive a fractional interest in an Ordinary Share, the Company shall, upon exercise, round down to the nearest whole number of Ordinary Shares to be issued to the holder of the Warrant. </w:t>
      </w:r>
    </w:p>
    <w:p>
      <w:pPr>
        <w:pStyle w:val="TextBody"/>
        <w:spacing w:before="240" w:after="0"/>
        <w:jc w:val="left"/>
        <w:rPr>
          <w:rFonts w:ascii="Times New Roman" w:hAnsi="Times New Roman"/>
          <w:sz w:val="20"/>
        </w:rPr>
      </w:pPr>
      <w:r>
        <w:rPr>
          <w:rFonts w:ascii="Times New Roman" w:hAnsi="Times New Roman"/>
          <w:sz w:val="20"/>
        </w:rPr>
        <w:t xml:space="preserve">Warrant Certificates, when surrendered at the principal corporate trust office of the Warrant Agent by the Registered Holder thereof in person or by legal representative or attorney duly authorized in writing, may be exchanged, in the manner and subject to the limitations provided in the Warrant Agreement, but without payment of any service charge, for another Warrant Certificate or Warrant Certificates of like tenor evidencing in the aggregate a like number of Warrants. </w:t>
      </w:r>
    </w:p>
    <w:p>
      <w:pPr>
        <w:pStyle w:val="TextBody"/>
        <w:spacing w:before="240" w:after="0"/>
        <w:jc w:val="left"/>
        <w:rPr>
          <w:rFonts w:ascii="Times New Roman" w:hAnsi="Times New Roman"/>
          <w:sz w:val="20"/>
        </w:rPr>
      </w:pPr>
      <w:r>
        <w:rPr>
          <w:rFonts w:ascii="Times New Roman" w:hAnsi="Times New Roman"/>
          <w:sz w:val="20"/>
        </w:rPr>
        <w:t xml:space="preserve">Upon due presentation for registration of transfer of this Warrant Certificate at the office of the Warrant Agent a new Warrant Certificate or Warrant Certificates of like tenor and evidencing in the aggregate a like number of Warrants shall be issued to the transferee(s) in exchange for this Warrant Certificate, subject to the limitations provided in the Warrant Agreement, without charge except for any tax or other governmental charge imposed in connection therewith. </w:t>
      </w:r>
    </w:p>
    <w:p>
      <w:pPr>
        <w:pStyle w:val="TextBody"/>
        <w:spacing w:before="240" w:after="0"/>
        <w:jc w:val="left"/>
        <w:rPr>
          <w:rFonts w:ascii="Times New Roman" w:hAnsi="Times New Roman"/>
          <w:sz w:val="20"/>
        </w:rPr>
      </w:pPr>
      <w:r>
        <w:rPr>
          <w:rFonts w:ascii="Times New Roman" w:hAnsi="Times New Roman"/>
          <w:sz w:val="20"/>
        </w:rPr>
        <w:t xml:space="preserve">The Company and the Warrant Agent may deem and treat the Registered Holder(s) hereof as the absolute owner(s) of this Warrant Certificate (notwithstanding any notation of ownership or other writing hereon made by anyone), for the purpose of any exercise hereof, of any distribution to the holder(s) hereof, and for all other purposes, and neither the Company nor the Warrant Agent shall be affected by any notice to the contrary. Neither the Warrants nor this Warrant Certificate entitles any holder hereof to any rights of a shareholder of the Company. </w:t>
      </w:r>
    </w:p>
    <w:p>
      <w:pPr>
        <w:pStyle w:val="TextBody"/>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Warrant Certificate</w:t>
      </w:r>
      <w:r>
        <w:rPr>
          <w:rFonts w:ascii="Times New Roman" w:hAnsi="Times New Roman"/>
          <w:sz w:val="20"/>
        </w:rPr>
        <w:t xml:space="preserve">] </w:t>
      </w:r>
      <w:r>
        <w:br w:type="page"/>
      </w:r>
    </w:p>
    <w:p>
      <w:pPr>
        <w:pStyle w:val="HorizontalLine"/>
        <w:pBdr>
          <w:bottom w:val="double" w:sz="6" w:space="0" w:color="808080"/>
        </w:pBdr>
        <w:rPr/>
      </w:pPr>
      <w:r>
        <w:rPr/>
      </w:r>
    </w:p>
    <w:p>
      <w:pPr>
        <w:pStyle w:val="TextBody"/>
        <w:spacing w:before="0" w:after="0"/>
        <w:jc w:val="center"/>
        <w:rPr>
          <w:rFonts w:ascii="Times New Roman" w:hAnsi="Times New Roman"/>
          <w:sz w:val="20"/>
        </w:rPr>
      </w:pPr>
      <w:r>
        <w:rPr>
          <w:rFonts w:ascii="Times New Roman" w:hAnsi="Times New Roman"/>
          <w:sz w:val="20"/>
        </w:rPr>
        <w:t xml:space="preserve">Election to Purchase </w:t>
      </w:r>
    </w:p>
    <w:p>
      <w:pPr>
        <w:pStyle w:val="TextBody"/>
        <w:spacing w:before="240" w:after="0"/>
        <w:jc w:val="center"/>
        <w:rPr>
          <w:rFonts w:ascii="Times New Roman" w:hAnsi="Times New Roman"/>
          <w:sz w:val="20"/>
        </w:rPr>
      </w:pPr>
      <w:r>
        <w:rPr>
          <w:rFonts w:ascii="Times New Roman" w:hAnsi="Times New Roman"/>
          <w:sz w:val="20"/>
        </w:rPr>
        <w:t xml:space="preserve">(To Be Executed Upon Exercise of Warrant) </w:t>
      </w:r>
    </w:p>
    <w:p>
      <w:pPr>
        <w:pStyle w:val="TextBody"/>
        <w:spacing w:before="240" w:after="0"/>
        <w:jc w:val="left"/>
        <w:rPr>
          <w:rFonts w:ascii="Times New Roman" w:hAnsi="Times New Roman"/>
          <w:sz w:val="20"/>
        </w:rPr>
      </w:pPr>
      <w:r>
        <w:rPr>
          <w:rFonts w:ascii="Times New Roman" w:hAnsi="Times New Roman"/>
          <w:sz w:val="20"/>
        </w:rPr>
        <w:t>The undersigned hereby irrevocably elects to exercise the right, represented by this Warrant Certificate, to receive Ordinary Shares and herewith tenders payment for such Ordinary Shares to the order of ArcLight Clean Transition Corp. II (the </w:t>
      </w:r>
      <w:r>
        <w:rPr>
          <w:rFonts w:ascii="Times New Roman" w:hAnsi="Times New Roman"/>
          <w:b/>
          <w:i/>
          <w:sz w:val="20"/>
        </w:rPr>
        <w:t>Company</w:t>
      </w:r>
      <w:r>
        <w:rPr>
          <w:rFonts w:ascii="Times New Roman" w:hAnsi="Times New Roman"/>
          <w:sz w:val="20"/>
        </w:rPr>
        <w:t xml:space="preserve">) in the amount of $        in accordance with the terms hereof. The undersigned requests that a certificate for such Ordinary Shares be registered in the name of                , whose address is                 and that such Ordinary Shares be delivered to                whose address is                . If said            number of Ordinary Shares is less than all of the Ordinary Shares purchasable hereunder, the undersigned requests that a new Warrant Certificate representing the remaining balance of such Ordinary Shares be registered in the name of                , whose address is                and that such Warrant Certificate be delivered to                , whose address is                . </w:t>
      </w:r>
    </w:p>
    <w:p>
      <w:pPr>
        <w:pStyle w:val="TextBody"/>
        <w:spacing w:before="240" w:after="0"/>
        <w:jc w:val="left"/>
        <w:rPr>
          <w:rFonts w:ascii="Times New Roman" w:hAnsi="Times New Roman"/>
          <w:sz w:val="20"/>
        </w:rPr>
      </w:pPr>
      <w:r>
        <w:rPr>
          <w:rFonts w:ascii="Times New Roman" w:hAnsi="Times New Roman"/>
          <w:sz w:val="20"/>
        </w:rPr>
        <w:t xml:space="preserve">In the event that the Warrant has been called for redemption by the Company pursuant to </w:t>
      </w:r>
      <w:r>
        <w:rPr>
          <w:rFonts w:ascii="Times New Roman" w:hAnsi="Times New Roman"/>
          <w:sz w:val="20"/>
          <w:u w:val="single"/>
        </w:rPr>
        <w:t>Section 6.2</w:t>
      </w:r>
      <w:r>
        <w:rPr>
          <w:rFonts w:ascii="Times New Roman" w:hAnsi="Times New Roman"/>
          <w:sz w:val="20"/>
        </w:rPr>
        <w:t xml:space="preserve"> of the Warrant Agreement and a holder thereof elects to exercise its Warrant pursuant to a Make-Whole Exercise, the number of Ordinary Shares that this Warrant is exercisable for shall be determined in accordance with </w:t>
      </w:r>
      <w:r>
        <w:rPr>
          <w:rFonts w:ascii="Times New Roman" w:hAnsi="Times New Roman"/>
          <w:sz w:val="20"/>
          <w:u w:val="single"/>
        </w:rPr>
        <w:t>subsection 3.3.1(c)</w:t>
      </w:r>
      <w:r>
        <w:rPr>
          <w:rFonts w:ascii="Times New Roman" w:hAnsi="Times New Roman"/>
          <w:sz w:val="20"/>
        </w:rPr>
        <w:t xml:space="preserve"> or </w:t>
      </w:r>
      <w:r>
        <w:rPr>
          <w:rFonts w:ascii="Times New Roman" w:hAnsi="Times New Roman"/>
          <w:sz w:val="20"/>
          <w:u w:val="single"/>
        </w:rPr>
        <w:t>Section 6.2</w:t>
      </w:r>
      <w:r>
        <w:rPr>
          <w:rFonts w:ascii="Times New Roman" w:hAnsi="Times New Roman"/>
          <w:sz w:val="20"/>
        </w:rPr>
        <w:t xml:space="preserve"> of the Warrant Agreement, as applicable. </w:t>
      </w:r>
    </w:p>
    <w:p>
      <w:pPr>
        <w:pStyle w:val="TextBody"/>
        <w:spacing w:before="240" w:after="0"/>
        <w:jc w:val="left"/>
        <w:rPr>
          <w:rFonts w:ascii="Times New Roman" w:hAnsi="Times New Roman"/>
          <w:sz w:val="20"/>
        </w:rPr>
      </w:pPr>
      <w:r>
        <w:rPr>
          <w:rFonts w:ascii="Times New Roman" w:hAnsi="Times New Roman"/>
          <w:sz w:val="20"/>
        </w:rPr>
        <w:t xml:space="preserve">In the event that the Warrant is a Private Placement Warrant that is to be exercised on a cashless basis pursuant to </w:t>
      </w:r>
      <w:r>
        <w:rPr>
          <w:rFonts w:ascii="Times New Roman" w:hAnsi="Times New Roman"/>
          <w:sz w:val="20"/>
          <w:u w:val="single"/>
        </w:rPr>
        <w:t>subsection 3.3.1(c)</w:t>
      </w:r>
      <w:r>
        <w:rPr>
          <w:rFonts w:ascii="Times New Roman" w:hAnsi="Times New Roman"/>
          <w:sz w:val="20"/>
        </w:rPr>
        <w:t xml:space="preserve"> of the Warrant Agreement, the number of Ordinary Shares that this Warrant is exercisable for shall be determined in accordance with </w:t>
      </w:r>
      <w:r>
        <w:rPr>
          <w:rFonts w:ascii="Times New Roman" w:hAnsi="Times New Roman"/>
          <w:sz w:val="20"/>
          <w:u w:val="single"/>
        </w:rPr>
        <w:t>subsection 3.3.1(c)</w:t>
      </w:r>
      <w:r>
        <w:rPr>
          <w:rFonts w:ascii="Times New Roman" w:hAnsi="Times New Roman"/>
          <w:sz w:val="20"/>
        </w:rPr>
        <w:t xml:space="preserve"> of the Warrant Agreement. </w:t>
      </w:r>
    </w:p>
    <w:p>
      <w:pPr>
        <w:pStyle w:val="TextBody"/>
        <w:spacing w:before="240" w:after="0"/>
        <w:jc w:val="left"/>
        <w:rPr>
          <w:rFonts w:ascii="Times New Roman" w:hAnsi="Times New Roman"/>
          <w:sz w:val="20"/>
        </w:rPr>
      </w:pPr>
      <w:r>
        <w:rPr>
          <w:rFonts w:ascii="Times New Roman" w:hAnsi="Times New Roman"/>
          <w:sz w:val="20"/>
        </w:rPr>
        <w:t xml:space="preserve">In the event that the Warrant is to be exercised on a cashless basis pursuant to </w:t>
      </w:r>
      <w:r>
        <w:rPr>
          <w:rFonts w:ascii="Times New Roman" w:hAnsi="Times New Roman"/>
          <w:sz w:val="20"/>
          <w:u w:val="single"/>
        </w:rPr>
        <w:t>Section 7.4</w:t>
      </w:r>
      <w:r>
        <w:rPr>
          <w:rFonts w:ascii="Times New Roman" w:hAnsi="Times New Roman"/>
          <w:sz w:val="20"/>
        </w:rPr>
        <w:t xml:space="preserve"> of the Warrant Agreement, the number of Ordinary Shares that this Warrant is exercisable for shall be determined in accordance with </w:t>
      </w:r>
      <w:r>
        <w:rPr>
          <w:rFonts w:ascii="Times New Roman" w:hAnsi="Times New Roman"/>
          <w:sz w:val="20"/>
          <w:u w:val="single"/>
        </w:rPr>
        <w:t>Section 7.4</w:t>
      </w:r>
      <w:r>
        <w:rPr>
          <w:rFonts w:ascii="Times New Roman" w:hAnsi="Times New Roman"/>
          <w:sz w:val="20"/>
        </w:rPr>
        <w:t xml:space="preserve"> of the Warrant Agreement. </w:t>
      </w:r>
    </w:p>
    <w:p>
      <w:pPr>
        <w:pStyle w:val="TextBody"/>
        <w:spacing w:before="240" w:after="0"/>
        <w:jc w:val="left"/>
        <w:rPr>
          <w:rFonts w:ascii="Times New Roman" w:hAnsi="Times New Roman"/>
          <w:sz w:val="20"/>
        </w:rPr>
      </w:pPr>
      <w:r>
        <w:rPr>
          <w:rFonts w:ascii="Times New Roman" w:hAnsi="Times New Roman"/>
          <w:sz w:val="20"/>
        </w:rPr>
        <w:t xml:space="preserve">In the event that the Warrant may be exercised, to the extent allowed by the Warrant Agreement, through cashless exercise (i) the number of Ordinary Shares that this Warrant is exercisable for would be determined in accordance with the relevant section of the Warrant Agreement which allows for such cashless exercise and (ii) the holder hereof shall complete the following: The undersigned hereby irrevocably elects to exercise the right, represented by this Warrant Certificate, through the cashless exercise provisions of the Warrant Agreement, to receive Ordinary Shares. If said number of shares is less than all of the Ordinary Shares purchasable hereunder (after giving effect to the cashless exercise), the undersigned requests that a new Warrant Certificate representing the remaining balance of such Ordinary Shares be registered in the name of                , whose address is                and that such Warrant Certificate be delivered to                , whose address is                . </w:t>
      </w:r>
    </w:p>
    <w:p>
      <w:pPr>
        <w:pStyle w:val="TextBody"/>
        <w:spacing w:before="240" w:after="0"/>
        <w:jc w:val="center"/>
        <w:rPr>
          <w:rFonts w:ascii="Times New Roman" w:hAnsi="Times New Roman"/>
          <w:sz w:val="20"/>
        </w:rPr>
      </w:pPr>
      <w:r>
        <w:rPr>
          <w:rFonts w:ascii="Times New Roman" w:hAnsi="Times New Roman"/>
          <w:sz w:val="20"/>
        </w:rPr>
        <w:t xml:space="preserve">[Signature Page Follows] </w:t>
      </w:r>
    </w:p>
    <w:p>
      <w:pPr>
        <w:pStyle w:val="TextBody"/>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Warrant Certificate</w:t>
      </w:r>
      <w:r>
        <w:rPr>
          <w:rFonts w:ascii="Times New Roman" w:hAnsi="Times New Roman"/>
          <w:sz w:val="20"/>
        </w:rPr>
        <w:t xml:space="preserve">]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4797"/>
        <w:gridCol w:w="101"/>
        <w:gridCol w:w="408"/>
        <w:gridCol w:w="101"/>
        <w:gridCol w:w="4798"/>
      </w:tblGrid>
      <w:tr>
        <w:trPr/>
        <w:tc>
          <w:tcPr>
            <w:tcW w:w="4797"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4798" w:type="dxa"/>
            <w:tcBorders/>
            <w:shd w:fill="auto" w:val="clear"/>
            <w:vAlign w:val="center"/>
          </w:tcPr>
          <w:p>
            <w:pPr>
              <w:pStyle w:val="TableContents"/>
              <w:spacing w:before="0" w:after="283"/>
              <w:rPr>
                <w:sz w:val="4"/>
                <w:szCs w:val="4"/>
              </w:rPr>
            </w:pPr>
            <w:r>
              <w:rPr>
                <w:sz w:val="4"/>
                <w:szCs w:val="4"/>
              </w:rPr>
            </w:r>
          </w:p>
        </w:tc>
      </w:tr>
      <w:tr>
        <w:trPr/>
        <w:tc>
          <w:tcPr>
            <w:tcW w:w="4797" w:type="dxa"/>
            <w:tcBorders/>
            <w:shd w:fill="auto" w:val="clear"/>
          </w:tcPr>
          <w:p>
            <w:pPr>
              <w:pStyle w:val="TableContents"/>
              <w:spacing w:before="0" w:after="283"/>
              <w:rPr/>
            </w:pPr>
            <w:r>
              <w:rPr/>
              <w:t>Date:            , 2021</w:t>
            </w:r>
          </w:p>
        </w:tc>
        <w:tc>
          <w:tcPr>
            <w:tcW w:w="101" w:type="dxa"/>
            <w:tcBorders/>
            <w:shd w:fill="auto" w:val="clear"/>
            <w:vAlign w:val="bottom"/>
          </w:tcPr>
          <w:p>
            <w:pPr>
              <w:pStyle w:val="TableContents"/>
              <w:spacing w:before="0" w:after="283"/>
              <w:rPr/>
            </w:pPr>
            <w:r>
              <w:rPr/>
              <w:t> </w:t>
            </w:r>
          </w:p>
        </w:tc>
        <w:tc>
          <w:tcPr>
            <w:tcW w:w="408"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4798" w:type="dxa"/>
            <w:tcBorders/>
            <w:shd w:fill="auto" w:val="clear"/>
          </w:tcPr>
          <w:p>
            <w:pPr>
              <w:pStyle w:val="TableContents"/>
              <w:spacing w:before="0" w:after="283"/>
              <w:rPr>
                <w:sz w:val="4"/>
                <w:szCs w:val="4"/>
              </w:rPr>
            </w:pPr>
            <w:r>
              <w:rPr>
                <w:sz w:val="4"/>
                <w:szCs w:val="4"/>
              </w:rPr>
            </w:r>
          </w:p>
        </w:tc>
      </w:tr>
      <w:tr>
        <w:trPr>
          <w:trHeight w:val="240" w:hRule="atLeast"/>
        </w:trPr>
        <w:tc>
          <w:tcPr>
            <w:tcW w:w="4797" w:type="dxa"/>
            <w:tcBorders/>
            <w:shd w:fill="auto" w:val="clear"/>
            <w:vAlign w:val="center"/>
          </w:tcPr>
          <w:p>
            <w:pPr>
              <w:pStyle w:val="TableContents"/>
              <w:spacing w:before="0" w:after="283"/>
              <w:rPr>
                <w:sz w:val="4"/>
                <w:szCs w:val="4"/>
              </w:rPr>
            </w:pPr>
            <w:r>
              <w:rPr>
                <w:sz w:val="4"/>
                <w:szCs w:val="4"/>
              </w:rPr>
            </w:r>
          </w:p>
        </w:tc>
        <w:tc>
          <w:tcPr>
            <w:tcW w:w="509" w:type="dxa"/>
            <w:gridSpan w:val="2"/>
            <w:tcBorders/>
            <w:shd w:fill="auto" w:val="clear"/>
            <w:vAlign w:val="center"/>
          </w:tcPr>
          <w:p>
            <w:pPr>
              <w:pStyle w:val="TableContents"/>
              <w:spacing w:before="0" w:after="283"/>
              <w:rPr>
                <w:sz w:val="4"/>
                <w:szCs w:val="4"/>
              </w:rPr>
            </w:pPr>
            <w:r>
              <w:rPr>
                <w:sz w:val="4"/>
                <w:szCs w:val="4"/>
              </w:rPr>
            </w:r>
          </w:p>
        </w:tc>
        <w:tc>
          <w:tcPr>
            <w:tcW w:w="4899" w:type="dxa"/>
            <w:gridSpan w:val="2"/>
            <w:tcBorders/>
            <w:shd w:fill="auto" w:val="clear"/>
            <w:vAlign w:val="center"/>
          </w:tcPr>
          <w:p>
            <w:pPr>
              <w:pStyle w:val="TableContents"/>
              <w:spacing w:before="0" w:after="283"/>
              <w:rPr>
                <w:sz w:val="4"/>
                <w:szCs w:val="4"/>
              </w:rPr>
            </w:pPr>
            <w:r>
              <w:rPr>
                <w:sz w:val="4"/>
                <w:szCs w:val="4"/>
              </w:rPr>
            </w:r>
          </w:p>
        </w:tc>
      </w:tr>
      <w:tr>
        <w:trPr/>
        <w:tc>
          <w:tcPr>
            <w:tcW w:w="4797"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408"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4798" w:type="dxa"/>
            <w:tcBorders/>
            <w:shd w:fill="auto" w:val="clear"/>
          </w:tcPr>
          <w:p>
            <w:pPr>
              <w:pStyle w:val="TableContents"/>
              <w:spacing w:before="0" w:after="283"/>
              <w:rPr/>
            </w:pPr>
            <w:r>
              <w:rPr/>
              <w:t>(Signature)</w:t>
            </w:r>
          </w:p>
        </w:tc>
      </w:tr>
      <w:tr>
        <w:trPr>
          <w:trHeight w:val="240" w:hRule="atLeast"/>
        </w:trPr>
        <w:tc>
          <w:tcPr>
            <w:tcW w:w="4797" w:type="dxa"/>
            <w:tcBorders/>
            <w:shd w:fill="auto" w:val="clear"/>
            <w:vAlign w:val="center"/>
          </w:tcPr>
          <w:p>
            <w:pPr>
              <w:pStyle w:val="TableContents"/>
              <w:spacing w:before="0" w:after="283"/>
              <w:rPr>
                <w:sz w:val="4"/>
                <w:szCs w:val="4"/>
              </w:rPr>
            </w:pPr>
            <w:r>
              <w:rPr>
                <w:sz w:val="4"/>
                <w:szCs w:val="4"/>
              </w:rPr>
            </w:r>
          </w:p>
        </w:tc>
        <w:tc>
          <w:tcPr>
            <w:tcW w:w="509" w:type="dxa"/>
            <w:gridSpan w:val="2"/>
            <w:tcBorders/>
            <w:shd w:fill="auto" w:val="clear"/>
            <w:vAlign w:val="center"/>
          </w:tcPr>
          <w:p>
            <w:pPr>
              <w:pStyle w:val="TableContents"/>
              <w:spacing w:before="0" w:after="283"/>
              <w:rPr>
                <w:sz w:val="4"/>
                <w:szCs w:val="4"/>
              </w:rPr>
            </w:pPr>
            <w:r>
              <w:rPr>
                <w:sz w:val="4"/>
                <w:szCs w:val="4"/>
              </w:rPr>
            </w:r>
          </w:p>
        </w:tc>
        <w:tc>
          <w:tcPr>
            <w:tcW w:w="4899" w:type="dxa"/>
            <w:gridSpan w:val="2"/>
            <w:tcBorders/>
            <w:shd w:fill="auto" w:val="clear"/>
            <w:vAlign w:val="center"/>
          </w:tcPr>
          <w:p>
            <w:pPr>
              <w:pStyle w:val="TableContents"/>
              <w:spacing w:before="0" w:after="283"/>
              <w:rPr>
                <w:sz w:val="4"/>
                <w:szCs w:val="4"/>
              </w:rPr>
            </w:pPr>
            <w:r>
              <w:rPr>
                <w:sz w:val="4"/>
                <w:szCs w:val="4"/>
              </w:rPr>
            </w:r>
          </w:p>
        </w:tc>
      </w:tr>
      <w:tr>
        <w:trPr/>
        <w:tc>
          <w:tcPr>
            <w:tcW w:w="4797"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408"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4798" w:type="dxa"/>
            <w:tcBorders/>
            <w:shd w:fill="auto" w:val="clear"/>
          </w:tcPr>
          <w:p>
            <w:pPr>
              <w:pStyle w:val="TableContents"/>
              <w:spacing w:before="0" w:after="283"/>
              <w:rPr/>
            </w:pPr>
            <w:r>
              <w:rPr/>
              <w:t>(Address)</w:t>
            </w:r>
          </w:p>
        </w:tc>
      </w:tr>
      <w:tr>
        <w:trPr>
          <w:trHeight w:val="120" w:hRule="atLeast"/>
        </w:trPr>
        <w:tc>
          <w:tcPr>
            <w:tcW w:w="4797" w:type="dxa"/>
            <w:tcBorders/>
            <w:shd w:fill="auto" w:val="clear"/>
            <w:vAlign w:val="center"/>
          </w:tcPr>
          <w:p>
            <w:pPr>
              <w:pStyle w:val="TableContents"/>
              <w:spacing w:before="0" w:after="283"/>
              <w:rPr>
                <w:sz w:val="4"/>
                <w:szCs w:val="4"/>
              </w:rPr>
            </w:pPr>
            <w:r>
              <w:rPr>
                <w:sz w:val="4"/>
                <w:szCs w:val="4"/>
              </w:rPr>
            </w:r>
          </w:p>
        </w:tc>
        <w:tc>
          <w:tcPr>
            <w:tcW w:w="509" w:type="dxa"/>
            <w:gridSpan w:val="2"/>
            <w:tcBorders/>
            <w:shd w:fill="auto" w:val="clear"/>
            <w:vAlign w:val="center"/>
          </w:tcPr>
          <w:p>
            <w:pPr>
              <w:pStyle w:val="TableContents"/>
              <w:spacing w:before="0" w:after="283"/>
              <w:rPr>
                <w:sz w:val="4"/>
                <w:szCs w:val="4"/>
              </w:rPr>
            </w:pPr>
            <w:r>
              <w:rPr>
                <w:sz w:val="4"/>
                <w:szCs w:val="4"/>
              </w:rPr>
            </w:r>
          </w:p>
        </w:tc>
        <w:tc>
          <w:tcPr>
            <w:tcW w:w="4899" w:type="dxa"/>
            <w:gridSpan w:val="2"/>
            <w:tcBorders/>
            <w:shd w:fill="auto" w:val="clear"/>
            <w:vAlign w:val="center"/>
          </w:tcPr>
          <w:p>
            <w:pPr>
              <w:pStyle w:val="TableContents"/>
              <w:spacing w:before="0" w:after="283"/>
              <w:rPr>
                <w:sz w:val="4"/>
                <w:szCs w:val="4"/>
              </w:rPr>
            </w:pPr>
            <w:r>
              <w:rPr>
                <w:sz w:val="4"/>
                <w:szCs w:val="4"/>
              </w:rPr>
            </w:r>
          </w:p>
        </w:tc>
      </w:tr>
      <w:tr>
        <w:trPr/>
        <w:tc>
          <w:tcPr>
            <w:tcW w:w="4797"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408"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4798" w:type="dxa"/>
            <w:tcBorders/>
            <w:shd w:fill="auto" w:val="clear"/>
          </w:tcPr>
          <w:p>
            <w:pPr>
              <w:pStyle w:val="TableContents"/>
              <w:pBdr>
                <w:bottom w:val="single" w:sz="2" w:space="1" w:color="000000"/>
              </w:pBdr>
              <w:spacing w:before="0" w:after="20"/>
              <w:rPr/>
            </w:pPr>
            <w:r>
              <w:rPr/>
              <w:t> </w:t>
            </w:r>
          </w:p>
        </w:tc>
      </w:tr>
      <w:tr>
        <w:trPr/>
        <w:tc>
          <w:tcPr>
            <w:tcW w:w="4797"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408"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4798" w:type="dxa"/>
            <w:tcBorders/>
            <w:shd w:fill="auto" w:val="clear"/>
          </w:tcPr>
          <w:p>
            <w:pPr>
              <w:pStyle w:val="TableContents"/>
              <w:spacing w:before="0" w:after="283"/>
              <w:rPr/>
            </w:pPr>
            <w:r>
              <w:rPr/>
              <w:t>(Tax Identification Number)</w:t>
            </w:r>
          </w:p>
        </w:tc>
      </w:tr>
      <w:tr>
        <w:trPr>
          <w:trHeight w:val="240" w:hRule="atLeast"/>
        </w:trPr>
        <w:tc>
          <w:tcPr>
            <w:tcW w:w="4797" w:type="dxa"/>
            <w:tcBorders/>
            <w:shd w:fill="auto" w:val="clear"/>
            <w:vAlign w:val="center"/>
          </w:tcPr>
          <w:p>
            <w:pPr>
              <w:pStyle w:val="TableContents"/>
              <w:spacing w:before="0" w:after="283"/>
              <w:rPr>
                <w:sz w:val="4"/>
                <w:szCs w:val="4"/>
              </w:rPr>
            </w:pPr>
            <w:r>
              <w:rPr>
                <w:sz w:val="4"/>
                <w:szCs w:val="4"/>
              </w:rPr>
            </w:r>
          </w:p>
        </w:tc>
        <w:tc>
          <w:tcPr>
            <w:tcW w:w="509" w:type="dxa"/>
            <w:gridSpan w:val="2"/>
            <w:tcBorders/>
            <w:shd w:fill="auto" w:val="clear"/>
            <w:vAlign w:val="center"/>
          </w:tcPr>
          <w:p>
            <w:pPr>
              <w:pStyle w:val="TableContents"/>
              <w:spacing w:before="0" w:after="283"/>
              <w:rPr>
                <w:sz w:val="4"/>
                <w:szCs w:val="4"/>
              </w:rPr>
            </w:pPr>
            <w:r>
              <w:rPr>
                <w:sz w:val="4"/>
                <w:szCs w:val="4"/>
              </w:rPr>
            </w:r>
          </w:p>
        </w:tc>
        <w:tc>
          <w:tcPr>
            <w:tcW w:w="4899" w:type="dxa"/>
            <w:gridSpan w:val="2"/>
            <w:tcBorders/>
            <w:shd w:fill="auto" w:val="clear"/>
            <w:vAlign w:val="center"/>
          </w:tcPr>
          <w:p>
            <w:pPr>
              <w:pStyle w:val="TableContents"/>
              <w:spacing w:before="0" w:after="283"/>
              <w:rPr>
                <w:sz w:val="4"/>
                <w:szCs w:val="4"/>
              </w:rPr>
            </w:pPr>
            <w:r>
              <w:rPr>
                <w:sz w:val="4"/>
                <w:szCs w:val="4"/>
              </w:rPr>
            </w:r>
          </w:p>
        </w:tc>
      </w:tr>
      <w:tr>
        <w:trPr/>
        <w:tc>
          <w:tcPr>
            <w:tcW w:w="4797" w:type="dxa"/>
            <w:tcBorders/>
            <w:shd w:fill="auto" w:val="clear"/>
          </w:tcPr>
          <w:p>
            <w:pPr>
              <w:pStyle w:val="TableContents"/>
              <w:spacing w:before="0" w:after="283"/>
              <w:rPr/>
            </w:pPr>
            <w:r>
              <w:rPr/>
              <w:t>Signature Guaranteed:</w:t>
            </w:r>
          </w:p>
        </w:tc>
        <w:tc>
          <w:tcPr>
            <w:tcW w:w="101" w:type="dxa"/>
            <w:tcBorders/>
            <w:shd w:fill="auto" w:val="clear"/>
            <w:vAlign w:val="bottom"/>
          </w:tcPr>
          <w:p>
            <w:pPr>
              <w:pStyle w:val="TableContents"/>
              <w:spacing w:before="0" w:after="283"/>
              <w:rPr/>
            </w:pPr>
            <w:r>
              <w:rPr/>
              <w:t> </w:t>
            </w:r>
          </w:p>
        </w:tc>
        <w:tc>
          <w:tcPr>
            <w:tcW w:w="408"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4798" w:type="dxa"/>
            <w:tcBorders/>
            <w:shd w:fill="auto" w:val="clear"/>
          </w:tcPr>
          <w:p>
            <w:pPr>
              <w:pStyle w:val="TableContents"/>
              <w:spacing w:before="0" w:after="283"/>
              <w:rPr>
                <w:sz w:val="4"/>
                <w:szCs w:val="4"/>
              </w:rPr>
            </w:pPr>
            <w:r>
              <w:rPr>
                <w:sz w:val="4"/>
                <w:szCs w:val="4"/>
              </w:rPr>
            </w:r>
          </w:p>
        </w:tc>
      </w:tr>
      <w:tr>
        <w:trPr/>
        <w:tc>
          <w:tcPr>
            <w:tcW w:w="4797" w:type="dxa"/>
            <w:tcBorders/>
            <w:shd w:fill="auto" w:val="clear"/>
          </w:tcPr>
          <w:p>
            <w:pPr>
              <w:pStyle w:val="TableContents"/>
              <w:pBdr>
                <w:bottom w:val="single" w:sz="2" w:space="1" w:color="000000"/>
              </w:pBdr>
              <w:spacing w:before="0" w:after="20"/>
              <w:rPr/>
            </w:pPr>
            <w:r>
              <w:rPr/>
              <w:t> </w:t>
            </w:r>
          </w:p>
        </w:tc>
        <w:tc>
          <w:tcPr>
            <w:tcW w:w="101" w:type="dxa"/>
            <w:tcBorders/>
            <w:shd w:fill="auto" w:val="clear"/>
            <w:vAlign w:val="bottom"/>
          </w:tcPr>
          <w:p>
            <w:pPr>
              <w:pStyle w:val="TableContents"/>
              <w:spacing w:before="0" w:after="283"/>
              <w:rPr/>
            </w:pPr>
            <w:r>
              <w:rPr/>
              <w:t> </w:t>
            </w:r>
          </w:p>
        </w:tc>
        <w:tc>
          <w:tcPr>
            <w:tcW w:w="408"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4798" w:type="dxa"/>
            <w:tcBorders/>
            <w:shd w:fill="auto" w:val="clear"/>
          </w:tcPr>
          <w:p>
            <w:pPr>
              <w:pStyle w:val="TableContents"/>
              <w:spacing w:before="0" w:after="283"/>
              <w:rPr>
                <w:sz w:val="4"/>
                <w:szCs w:val="4"/>
              </w:rPr>
            </w:pPr>
            <w:r>
              <w:rPr>
                <w:sz w:val="4"/>
                <w:szCs w:val="4"/>
              </w:rPr>
            </w:r>
          </w:p>
        </w:tc>
      </w:tr>
    </w:tbl>
    <w:p>
      <w:pPr>
        <w:pStyle w:val="TextBody"/>
        <w:spacing w:before="240" w:after="0"/>
        <w:jc w:val="left"/>
        <w:rPr>
          <w:rFonts w:ascii="Times New Roman" w:hAnsi="Times New Roman"/>
          <w:sz w:val="20"/>
        </w:rPr>
      </w:pPr>
      <w:r>
        <w:rPr>
          <w:rFonts w:ascii="Times New Roman" w:hAnsi="Times New Roman"/>
          <w:sz w:val="20"/>
        </w:rPr>
        <w:t xml:space="preserve">THE SIGNATURE(S) SHOULD BE GUARANTEED BY AN ELIGIBLE GUARANTOR INSTITUTION (BANKS, STOCKBROKERS, SAVINGS AND LOAN ASSOCIATIONS AND CREDIT UNIONS WITH MEMBERSHIP IN AN APPROVED SIGNATURE GUARANTEE MEDALLION PROGRAM, PURSUANT TO S.E.C. RULE 17Ad-15 UNDER THE SECURITIES EXCHANGE ACT OF 1934, AS AMENDED). </w:t>
      </w:r>
    </w:p>
    <w:p>
      <w:pPr>
        <w:pStyle w:val="TextBody"/>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Warrant Certificate</w:t>
      </w:r>
      <w:r>
        <w:rPr>
          <w:rFonts w:ascii="Times New Roman" w:hAnsi="Times New Roman"/>
          <w:sz w:val="20"/>
        </w:rPr>
        <w:t xml:space="preserve">]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EXHIBIT B </w:t>
      </w:r>
    </w:p>
    <w:p>
      <w:pPr>
        <w:pStyle w:val="TextBody"/>
        <w:spacing w:before="240" w:after="0"/>
        <w:jc w:val="center"/>
        <w:rPr>
          <w:rFonts w:ascii="Times New Roman" w:hAnsi="Times New Roman"/>
          <w:sz w:val="20"/>
        </w:rPr>
      </w:pPr>
      <w:r>
        <w:rPr>
          <w:rFonts w:ascii="Times New Roman" w:hAnsi="Times New Roman"/>
          <w:sz w:val="20"/>
        </w:rPr>
        <w:t xml:space="preserve">LEGEND </w:t>
      </w:r>
    </w:p>
    <w:p>
      <w:pPr>
        <w:pStyle w:val="TextBody"/>
        <w:spacing w:before="240" w:after="0"/>
        <w:jc w:val="left"/>
        <w:rPr>
          <w:rFonts w:ascii="Times New Roman" w:hAnsi="Times New Roman"/>
          <w:sz w:val="20"/>
        </w:rPr>
      </w:pPr>
      <w:r>
        <w:rPr>
          <w:rFonts w:ascii="Times New Roman" w:hAnsi="Times New Roman"/>
          <w:sz w:val="20"/>
        </w:rPr>
        <w:t>THE SECURITIES REPRESENTED BY THIS CERTIFICATE HAVE NOT BEEN REGISTERED UNDER THE SECURITIES ACT OF 1933, AS AMENDED, OR ANY STATE SECURITIES LAWS, AND MAY NOT BE OFFERED, SOLD, TRANSFERRED OR OTHERWISE DISPOSED OF UNLESS REGISTERED UNDER THE SECURITIES ACT OF 1933, AS AMENDED, AND ANY APPLICABLE STATE SECURITIES LAWS OR AN EXEMPTION FROM REGISTRATION IS AVAILABLE. IN ADDITION, SUBJECT TO ANY ADDITIONAL LIMITATIONS ON TRANSFER DESCRIBED IN THE LETTER AGREEMENT BY AND AMONG ARCLIGHT CLEAN TRANSITION CORP. II (THE </w:t>
      </w:r>
      <w:r>
        <w:rPr>
          <w:rFonts w:ascii="Times New Roman" w:hAnsi="Times New Roman"/>
          <w:b/>
          <w:i/>
          <w:sz w:val="20"/>
        </w:rPr>
        <w:t>COMPANY</w:t>
      </w:r>
      <w:r>
        <w:rPr>
          <w:rFonts w:ascii="Times New Roman" w:hAnsi="Times New Roman"/>
          <w:sz w:val="20"/>
        </w:rPr>
        <w:t xml:space="preserve">), ARCLIGHT CTC HOLDINGS II, L.P. AND THE OTHER PARTIES THERETO, THE SECURITIES REPRESENTED BY THIS CERTIFICATE MAY NOT BE SOLD OR TRANSFERRED PRIOR TO THE DATE THAT IS THIRTY (30) DAYS AFTER THE DATE UPON WHICH THE COMPANY COMPLETES ITS INITIAL BUSINESS COMBINATION (AS DEFINED IN SECTION 3 OF THE WARRANT AGREEMENT REFERRED TO HEREIN) EXCEPT TO A PERMITTED TRANSFEREE (AS DEFINED IN SECTION 2 OF THE WARRANT AGREEMENT) WHO AGREES IN WRITING WITH THE COMPANY TO BE SUBJECT TO SUCH TRANSFER PROVISIONS. </w:t>
      </w:r>
    </w:p>
    <w:p>
      <w:pPr>
        <w:pStyle w:val="TextBody"/>
        <w:spacing w:before="240" w:after="0"/>
        <w:jc w:val="left"/>
        <w:rPr>
          <w:rFonts w:ascii="Times New Roman" w:hAnsi="Times New Roman"/>
          <w:sz w:val="20"/>
        </w:rPr>
      </w:pPr>
      <w:r>
        <w:rPr>
          <w:rFonts w:ascii="Times New Roman" w:hAnsi="Times New Roman"/>
          <w:sz w:val="20"/>
        </w:rPr>
        <w:t xml:space="preserve">SECURITIES EVIDENCED BY THIS CERTIFICATE AND CLASS A ORDINARY SHARES OF THE COMPANY ISSUED UPON EXERCISE OF SUCH SECURITIES SHALL BE ENTITLED TO REGISTRATION RIGHTS UNDER A REGISTRATION AND SHAREHOLDER RIGHTS AGREEMENT TO BE EXECUTED BY THE COMPANY. </w:t>
      </w:r>
    </w:p>
    <w:p>
      <w:pPr>
        <w:pStyle w:val="TextBody"/>
        <w:spacing w:before="360" w:after="0"/>
        <w:jc w:val="left"/>
        <w:rPr>
          <w:rFonts w:ascii="Times New Roman" w:hAnsi="Times New Roman"/>
          <w:sz w:val="20"/>
        </w:rPr>
      </w:pPr>
      <w:r>
        <w:rPr>
          <w:rFonts w:ascii="Times New Roman" w:hAnsi="Times New Roman"/>
          <w:sz w:val="20"/>
        </w:rPr>
        <w:t xml:space="preserve">NO. [    ] WARRANT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EXHIBIT B </w:t>
      </w:r>
    </w:p>
    <w:p>
      <w:pPr>
        <w:pStyle w:val="TextBody"/>
        <w:spacing w:before="240" w:after="0"/>
        <w:jc w:val="center"/>
        <w:rPr>
          <w:rFonts w:ascii="Times New Roman" w:hAnsi="Times New Roman"/>
          <w:b/>
          <w:sz w:val="20"/>
        </w:rPr>
      </w:pPr>
      <w:r>
        <w:rPr>
          <w:rFonts w:ascii="Times New Roman" w:hAnsi="Times New Roman"/>
          <w:b/>
          <w:sz w:val="20"/>
        </w:rPr>
        <w:t xml:space="preserve">Registration and Shareholder Rights Agreement </w:t>
      </w:r>
      <w:r>
        <w:br w:type="page"/>
      </w:r>
    </w:p>
    <w:p>
      <w:pPr>
        <w:pStyle w:val="HorizontalLine"/>
        <w:pBdr>
          <w:bottom w:val="double" w:sz="6" w:space="0" w:color="808080"/>
        </w:pBdr>
        <w:rPr/>
      </w:pPr>
      <w:r>
        <w:rPr/>
      </w:r>
    </w:p>
    <w:p>
      <w:pPr>
        <w:pStyle w:val="TextBody"/>
        <w:spacing w:before="0" w:after="0"/>
        <w:jc w:val="right"/>
        <w:rPr>
          <w:rFonts w:ascii="Times New Roman" w:hAnsi="Times New Roman"/>
          <w:b/>
          <w:sz w:val="20"/>
        </w:rPr>
      </w:pPr>
      <w:r>
        <w:rPr>
          <w:rFonts w:ascii="Times New Roman" w:hAnsi="Times New Roman"/>
          <w:b/>
          <w:sz w:val="20"/>
        </w:rPr>
        <w:t xml:space="preserve">Exhibit 10.2 </w:t>
      </w:r>
    </w:p>
    <w:p>
      <w:pPr>
        <w:pStyle w:val="TextBody"/>
        <w:spacing w:before="240" w:after="0"/>
        <w:jc w:val="center"/>
        <w:rPr>
          <w:rFonts w:ascii="Times New Roman" w:hAnsi="Times New Roman"/>
          <w:b/>
          <w:sz w:val="20"/>
        </w:rPr>
      </w:pPr>
      <w:r>
        <w:rPr>
          <w:rFonts w:ascii="Times New Roman" w:hAnsi="Times New Roman"/>
          <w:b/>
          <w:sz w:val="20"/>
        </w:rPr>
        <w:t xml:space="preserve">REGISTRATION AND SHAREHOLDER RIGHTS AGREEMENT </w:t>
      </w:r>
    </w:p>
    <w:p>
      <w:pPr>
        <w:pStyle w:val="TextBody"/>
        <w:spacing w:before="240" w:after="0"/>
        <w:jc w:val="left"/>
        <w:rPr>
          <w:rFonts w:ascii="Times New Roman" w:hAnsi="Times New Roman"/>
          <w:sz w:val="20"/>
        </w:rPr>
      </w:pPr>
      <w:r>
        <w:rPr>
          <w:rFonts w:ascii="Times New Roman" w:hAnsi="Times New Roman"/>
          <w:sz w:val="20"/>
        </w:rPr>
        <w:t>THIS REGISTRATION AND SHAREHOLDER RIGHTS AGREEMENT (this </w:t>
      </w:r>
      <w:r>
        <w:rPr>
          <w:rFonts w:ascii="Times New Roman" w:hAnsi="Times New Roman"/>
          <w:b/>
          <w:i/>
          <w:sz w:val="20"/>
        </w:rPr>
        <w:t>Agreement</w:t>
      </w:r>
      <w:r>
        <w:rPr>
          <w:rFonts w:ascii="Times New Roman" w:hAnsi="Times New Roman"/>
          <w:sz w:val="20"/>
        </w:rPr>
        <w:t>), dated as of March 25, 2021, is made and entered into by and among ArcLight Clean Transition Corp. II, a Cayman Islands exempted company (the </w:t>
      </w:r>
      <w:r>
        <w:rPr>
          <w:rFonts w:ascii="Times New Roman" w:hAnsi="Times New Roman"/>
          <w:b/>
          <w:i/>
          <w:sz w:val="20"/>
        </w:rPr>
        <w:t>Company</w:t>
      </w:r>
      <w:r>
        <w:rPr>
          <w:rFonts w:ascii="Times New Roman" w:hAnsi="Times New Roman"/>
          <w:sz w:val="20"/>
        </w:rPr>
        <w:t>), ArcLight CTC Holdings II, L.P., a Delaware limited partnership (the </w:t>
      </w:r>
      <w:r>
        <w:rPr>
          <w:rFonts w:ascii="Times New Roman" w:hAnsi="Times New Roman"/>
          <w:b/>
          <w:i/>
          <w:sz w:val="20"/>
        </w:rPr>
        <w:t>Sponsor</w:t>
      </w:r>
      <w:r>
        <w:rPr>
          <w:rFonts w:ascii="Times New Roman" w:hAnsi="Times New Roman"/>
          <w:sz w:val="20"/>
        </w:rPr>
        <w:t xml:space="preserve">), and the undersigned parties listed under Holder on the signature page hereto (each such party, together with the Sponsor and any person or entity who hereafter becomes a party to this Agreement pursuant to </w:t>
      </w:r>
      <w:r>
        <w:rPr>
          <w:rFonts w:ascii="Times New Roman" w:hAnsi="Times New Roman"/>
          <w:sz w:val="20"/>
          <w:u w:val="single"/>
        </w:rPr>
        <w:t>Section 6.2</w:t>
      </w:r>
      <w:r>
        <w:rPr>
          <w:rFonts w:ascii="Times New Roman" w:hAnsi="Times New Roman"/>
          <w:sz w:val="20"/>
        </w:rPr>
        <w:t xml:space="preserve"> of this Agreement, a </w:t>
      </w:r>
      <w:r>
        <w:rPr>
          <w:rFonts w:ascii="Times New Roman" w:hAnsi="Times New Roman"/>
          <w:b/>
          <w:i/>
          <w:sz w:val="20"/>
        </w:rPr>
        <w:t>Holder</w:t>
      </w:r>
      <w:r>
        <w:rPr>
          <w:rFonts w:ascii="Times New Roman" w:hAnsi="Times New Roman"/>
          <w:sz w:val="20"/>
        </w:rPr>
        <w:t> and collectively the </w:t>
      </w:r>
      <w:r>
        <w:rPr>
          <w:rFonts w:ascii="Times New Roman" w:hAnsi="Times New Roman"/>
          <w:b/>
          <w:i/>
          <w:sz w:val="20"/>
        </w:rPr>
        <w:t>Holders</w:t>
      </w:r>
      <w:r>
        <w:rPr>
          <w:rFonts w:ascii="Times New Roman" w:hAnsi="Times New Roman"/>
          <w:sz w:val="20"/>
        </w:rPr>
        <w:t xml:space="preserve">). </w:t>
      </w:r>
    </w:p>
    <w:p>
      <w:pPr>
        <w:pStyle w:val="TextBody"/>
        <w:spacing w:before="480" w:after="0"/>
        <w:jc w:val="center"/>
        <w:rPr>
          <w:rFonts w:ascii="Times New Roman" w:hAnsi="Times New Roman"/>
          <w:b/>
          <w:sz w:val="20"/>
        </w:rPr>
      </w:pPr>
      <w:r>
        <w:rPr>
          <w:rFonts w:ascii="Times New Roman" w:hAnsi="Times New Roman"/>
          <w:b/>
          <w:sz w:val="20"/>
        </w:rPr>
        <w:t xml:space="preserve">RECITALS </w:t>
      </w:r>
    </w:p>
    <w:p>
      <w:pPr>
        <w:pStyle w:val="TextBody"/>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the Sponsor currently owns 7,766,250 Class B ordinary shares of the Company, par value $0.0001 per share (the </w:t>
      </w:r>
      <w:r>
        <w:rPr>
          <w:rFonts w:ascii="Times New Roman" w:hAnsi="Times New Roman"/>
          <w:b/>
          <w:i/>
          <w:sz w:val="20"/>
        </w:rPr>
        <w:t>Class</w:t>
      </w:r>
      <w:r>
        <w:rPr>
          <w:rFonts w:ascii="Times New Roman" w:hAnsi="Times New Roman"/>
          <w:sz w:val="20"/>
        </w:rPr>
        <w:t> </w:t>
      </w:r>
      <w:r>
        <w:rPr>
          <w:rFonts w:ascii="Times New Roman" w:hAnsi="Times New Roman"/>
          <w:b/>
          <w:i/>
          <w:sz w:val="20"/>
        </w:rPr>
        <w:t>B Ordinary Shares</w:t>
      </w:r>
      <w:r>
        <w:rPr>
          <w:rFonts w:ascii="Times New Roman" w:hAnsi="Times New Roman"/>
          <w:sz w:val="20"/>
        </w:rPr>
        <w:t xml:space="preserve">), and the other Holders currently own an aggregate of 1,031,250 Class B Ordinary Shares, which were received from the Sponsor; </w:t>
      </w:r>
    </w:p>
    <w:p>
      <w:pPr>
        <w:pStyle w:val="TextBody"/>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Class B Ordinary Shares are convertible into the Companys Class A ordinary shares, par value $0.0001 per share (the </w:t>
      </w:r>
      <w:r>
        <w:rPr>
          <w:rFonts w:ascii="Times New Roman" w:hAnsi="Times New Roman"/>
          <w:b/>
          <w:sz w:val="20"/>
        </w:rPr>
        <w:t></w:t>
      </w:r>
      <w:r>
        <w:rPr>
          <w:rFonts w:ascii="Times New Roman" w:hAnsi="Times New Roman"/>
          <w:b/>
          <w:i/>
          <w:sz w:val="20"/>
        </w:rPr>
        <w:t>Ordinary Shares</w:t>
      </w:r>
      <w:r>
        <w:rPr>
          <w:rFonts w:ascii="Times New Roman" w:hAnsi="Times New Roman"/>
          <w:sz w:val="20"/>
        </w:rPr>
        <w:t xml:space="preserve">), at the time of the initial Business Combination on a one-for-one basis, subject to adjustment, on the terms and conditions provided in the Companys amended and restated memorandum and articles of association, as may be amended from time to time; </w:t>
      </w:r>
    </w:p>
    <w:p>
      <w:pPr>
        <w:pStyle w:val="TextBody"/>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on March 22, 2021, the Company and the Sponsor entered into that certain Private Placement Warrants Purchase Agreement, pursuant to which the Sponsor agreed to purchase 8,500,000 warrants (or up to 9,325,000 warrants if the Underwriters (as defined below) option to purchase additional units in connection with the Companys initial public offering is exercised in full) (the </w:t>
      </w:r>
      <w:r>
        <w:rPr>
          <w:rFonts w:ascii="Times New Roman" w:hAnsi="Times New Roman"/>
          <w:b/>
          <w:i/>
          <w:sz w:val="20"/>
        </w:rPr>
        <w:t>Private Placement Warrants</w:t>
      </w:r>
      <w:r>
        <w:rPr>
          <w:rFonts w:ascii="Times New Roman" w:hAnsi="Times New Roman"/>
          <w:sz w:val="20"/>
        </w:rPr>
        <w:t xml:space="preserve">), in a private placement transaction occurring simultaneously with the closing of the Companys initial public offering; </w:t>
      </w:r>
    </w:p>
    <w:p>
      <w:pPr>
        <w:pStyle w:val="TextBody"/>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in order to finance the Companys transaction costs in connection with an intended Business Combination (as defined below), the Sponsor or certain of the Companys officers or directors may, but are not obligated to, loan the Company funds as the Company may require, of which up to $1,500,000 of such loans may be convertible into an additional 1,500,000 Private Placement Warrants (the </w:t>
      </w:r>
      <w:r>
        <w:rPr>
          <w:rFonts w:ascii="Times New Roman" w:hAnsi="Times New Roman"/>
          <w:b/>
          <w:i/>
          <w:sz w:val="20"/>
        </w:rPr>
        <w:t>Working Capital Warrants</w:t>
      </w:r>
      <w:r>
        <w:rPr>
          <w:rFonts w:ascii="Times New Roman" w:hAnsi="Times New Roman"/>
          <w:sz w:val="20"/>
        </w:rPr>
        <w:t xml:space="preserve">); and </w:t>
      </w:r>
    </w:p>
    <w:p>
      <w:pPr>
        <w:pStyle w:val="TextBody"/>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Company and the Holders desire to enter into this Agreement, pursuant to which the Company shall grant the Holders certain registration rights with respect to certain securities of the Company, as set forth in this Agreement. </w:t>
      </w:r>
    </w:p>
    <w:p>
      <w:pPr>
        <w:pStyle w:val="TextBody"/>
        <w:spacing w:before="240" w:after="0"/>
        <w:jc w:val="left"/>
        <w:rPr>
          <w:rFonts w:ascii="Times New Roman" w:hAnsi="Times New Roman"/>
          <w:sz w:val="20"/>
        </w:rPr>
      </w:pPr>
      <w:r>
        <w:rPr>
          <w:rFonts w:ascii="Times New Roman" w:hAnsi="Times New Roman"/>
          <w:b/>
          <w:sz w:val="20"/>
        </w:rPr>
        <w:t>NOW</w:t>
      </w:r>
      <w:r>
        <w:rPr>
          <w:rFonts w:ascii="Times New Roman" w:hAnsi="Times New Roman"/>
          <w:sz w:val="20"/>
        </w:rPr>
        <w:t xml:space="preserve">, </w:t>
      </w:r>
      <w:r>
        <w:rPr>
          <w:rFonts w:ascii="Times New Roman" w:hAnsi="Times New Roman"/>
          <w:b/>
          <w:sz w:val="20"/>
        </w:rPr>
        <w:t>THEREFORE</w:t>
      </w:r>
      <w:r>
        <w:rPr>
          <w:rFonts w:ascii="Times New Roman" w:hAnsi="Times New Roman"/>
          <w:sz w:val="20"/>
        </w:rPr>
        <w:t xml:space="preserve">, in consideration of the mutual representations, covenants and agreements contained herein, and certain other good and valuable consideration, the receipt and sufficiency of which are hereby acknowledged, the parties hereto, intending to be legally bound, hereby agree as follows: </w:t>
      </w:r>
    </w:p>
    <w:p>
      <w:pPr>
        <w:pStyle w:val="TextBody"/>
        <w:spacing w:before="480" w:after="0"/>
        <w:jc w:val="center"/>
        <w:rPr>
          <w:rFonts w:ascii="Times New Roman" w:hAnsi="Times New Roman"/>
          <w:b/>
          <w:sz w:val="20"/>
        </w:rPr>
      </w:pPr>
      <w:r>
        <w:rPr>
          <w:rFonts w:ascii="Times New Roman" w:hAnsi="Times New Roman"/>
          <w:b/>
          <w:sz w:val="20"/>
        </w:rPr>
        <w:t xml:space="preserve">ARTICLE 1 </w:t>
      </w:r>
    </w:p>
    <w:p>
      <w:pPr>
        <w:pStyle w:val="TextBody"/>
        <w:spacing w:before="0" w:after="0"/>
        <w:jc w:val="center"/>
        <w:rPr>
          <w:rFonts w:ascii="Times New Roman" w:hAnsi="Times New Roman"/>
          <w:sz w:val="20"/>
        </w:rPr>
      </w:pPr>
      <w:r>
        <w:rPr>
          <w:rFonts w:ascii="Times New Roman" w:hAnsi="Times New Roman"/>
          <w:sz w:val="20"/>
        </w:rPr>
        <w:t xml:space="preserve">DEFINITIONS </w:t>
      </w:r>
    </w:p>
    <w:p>
      <w:pPr>
        <w:pStyle w:val="TextBody"/>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b/>
          <w:sz w:val="20"/>
          <w:u w:val="single"/>
        </w:rPr>
        <w:t>Definitions</w:t>
      </w:r>
      <w:r>
        <w:rPr>
          <w:rFonts w:ascii="Times New Roman" w:hAnsi="Times New Roman"/>
          <w:b/>
          <w:sz w:val="20"/>
        </w:rPr>
        <w:t xml:space="preserve">. The terms defined in this </w:t>
      </w:r>
      <w:r>
        <w:rPr>
          <w:rFonts w:ascii="Times New Roman" w:hAnsi="Times New Roman"/>
          <w:b/>
          <w:i/>
          <w:sz w:val="20"/>
        </w:rPr>
        <w:t>Article I</w:t>
      </w:r>
      <w:r>
        <w:rPr>
          <w:rFonts w:ascii="Times New Roman" w:hAnsi="Times New Roman"/>
          <w:sz w:val="20"/>
        </w:rPr>
        <w:t xml:space="preserve"> </w:t>
      </w:r>
      <w:r>
        <w:rPr>
          <w:rFonts w:ascii="Times New Roman" w:hAnsi="Times New Roman"/>
          <w:b/>
          <w:sz w:val="20"/>
        </w:rPr>
        <w:t>shall, for all purposes of this Agreement, have the respective meanings set forth below:</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Adverse Disclosure</w:t>
      </w:r>
      <w:r>
        <w:rPr>
          <w:rFonts w:ascii="Times New Roman" w:hAnsi="Times New Roman"/>
          <w:sz w:val="20"/>
        </w:rPr>
        <w:t xml:space="preserve"> shall mean any public disclosure of material non-public information, which disclosure, in the good faith judgment of the principal executive officer or principal financial officer of the Company, after consultation with counsel to the Company, (i) would be required to be made in any Registration Statement or Prospectus in order for the applicable Registration Statement or Prospectus not to contain any untrue statement of a material fact or omit to state a material fact necessary to make the statements contained therein (in the case of any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prospectus and any preliminary prospectus, in the light of the circumstances under which they were made) not misleading, (ii) would not be required to be made at such time if the Registration Statement were not being filed, and (iii) the Company has a bona fide business purpose for not making such information public.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Agreement</w:t>
      </w:r>
      <w:r>
        <w:rPr>
          <w:rFonts w:ascii="Times New Roman" w:hAnsi="Times New Roman"/>
          <w:sz w:val="20"/>
        </w:rPr>
        <w:t xml:space="preserve"> shall have the meaning given in the Preamble.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Board</w:t>
      </w:r>
      <w:r>
        <w:rPr>
          <w:rFonts w:ascii="Times New Roman" w:hAnsi="Times New Roman"/>
          <w:sz w:val="20"/>
        </w:rPr>
        <w:t xml:space="preserve"> shall mean the Board of Directors of the Company.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Business Combination</w:t>
      </w:r>
      <w:r>
        <w:rPr>
          <w:rFonts w:ascii="Times New Roman" w:hAnsi="Times New Roman"/>
          <w:sz w:val="20"/>
        </w:rPr>
        <w:t xml:space="preserve"> shall mean any merger, share exchange, asset acquisition, share purchase, reorganization or other similar business combination with one or more businesses, involving the Company.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Commission</w:t>
      </w:r>
      <w:r>
        <w:rPr>
          <w:rFonts w:ascii="Times New Roman" w:hAnsi="Times New Roman"/>
          <w:sz w:val="20"/>
        </w:rPr>
        <w:t xml:space="preserve"> shall mean the U.S. Securities and Exchange Commission.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Company</w:t>
      </w:r>
      <w:r>
        <w:rPr>
          <w:rFonts w:ascii="Times New Roman" w:hAnsi="Times New Roman"/>
          <w:sz w:val="20"/>
        </w:rPr>
        <w:t xml:space="preserve"> shall have the meaning given in the Preamble.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Demand Registration</w:t>
      </w:r>
      <w:r>
        <w:rPr>
          <w:rFonts w:ascii="Times New Roman" w:hAnsi="Times New Roman"/>
          <w:sz w:val="20"/>
        </w:rPr>
        <w:t xml:space="preserve"> shall have the meaning given in </w:t>
      </w:r>
      <w:r>
        <w:rPr>
          <w:rFonts w:ascii="Times New Roman" w:hAnsi="Times New Roman"/>
          <w:sz w:val="20"/>
          <w:u w:val="single"/>
        </w:rPr>
        <w:t>subsection 2.1.1</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Demanding Holder</w:t>
      </w:r>
      <w:r>
        <w:rPr>
          <w:rFonts w:ascii="Times New Roman" w:hAnsi="Times New Roman"/>
          <w:sz w:val="20"/>
        </w:rPr>
        <w:t xml:space="preserve"> shall have the meaning given in </w:t>
      </w:r>
      <w:r>
        <w:rPr>
          <w:rFonts w:ascii="Times New Roman" w:hAnsi="Times New Roman"/>
          <w:sz w:val="20"/>
          <w:u w:val="single"/>
        </w:rPr>
        <w:t>subsection 2.1.1</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Exchange Act</w:t>
      </w:r>
      <w:r>
        <w:rPr>
          <w:rFonts w:ascii="Times New Roman" w:hAnsi="Times New Roman"/>
          <w:sz w:val="20"/>
        </w:rPr>
        <w:t xml:space="preserve"> shall mean the Securities Exchange Act of 1934, as it may be amended from time to time.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Form S-1</w:t>
      </w:r>
      <w:r>
        <w:rPr>
          <w:rFonts w:ascii="Times New Roman" w:hAnsi="Times New Roman"/>
          <w:sz w:val="20"/>
        </w:rPr>
        <w:t xml:space="preserve"> shall have the meaning given in </w:t>
      </w:r>
      <w:r>
        <w:rPr>
          <w:rFonts w:ascii="Times New Roman" w:hAnsi="Times New Roman"/>
          <w:sz w:val="20"/>
          <w:u w:val="single"/>
        </w:rPr>
        <w:t>subsection 2.1.1</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Form S-3</w:t>
      </w:r>
      <w:r>
        <w:rPr>
          <w:rFonts w:ascii="Times New Roman" w:hAnsi="Times New Roman"/>
          <w:sz w:val="20"/>
        </w:rPr>
        <w:t xml:space="preserve"> shall have the meaning given in </w:t>
      </w:r>
      <w:r>
        <w:rPr>
          <w:rFonts w:ascii="Times New Roman" w:hAnsi="Times New Roman"/>
          <w:sz w:val="20"/>
          <w:u w:val="single"/>
        </w:rPr>
        <w:t>subsection 2.3.1</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Founder Shares</w:t>
      </w:r>
      <w:r>
        <w:rPr>
          <w:rFonts w:ascii="Times New Roman" w:hAnsi="Times New Roman"/>
          <w:sz w:val="20"/>
        </w:rPr>
        <w:t xml:space="preserve"> shall mean the Class B Ordinary Shares and shall be deemed to include the Ordinary Shares issuable upon conversion thereof.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Founder Shares Lock-up Period</w:t>
      </w:r>
      <w:r>
        <w:rPr>
          <w:rFonts w:ascii="Times New Roman" w:hAnsi="Times New Roman"/>
          <w:sz w:val="20"/>
        </w:rPr>
        <w:t xml:space="preserve"> shall mean, with respect to the Founder Shares, the period ending on the earlier of (A) one year after the completion of the Companys initial Business Combination and (B) subsequent to the Business Combination, (x) if the last reported sales price of the Ordinary Shares equals or exceeds $12.00 per share (as adjusted for share sub-divisions, share capitalizations, reorganizations, recapitalizations and the like) for any 20 trading days within any 30-trading day period commencing at least 150 days after the Companys initial Business Combination or (y) the date on which the Company completes a liquidation, merger, share exchange, reorganization or other similar transaction that results in all of the Companys shareholders having the right to exchange their Ordinary Shares for cash, securities or other property.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Holders</w:t>
      </w:r>
      <w:r>
        <w:rPr>
          <w:rFonts w:ascii="Times New Roman" w:hAnsi="Times New Roman"/>
          <w:sz w:val="20"/>
        </w:rPr>
        <w:t xml:space="preserve"> shall have the meaning given in the Preamble.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Insider Letter</w:t>
      </w:r>
      <w:r>
        <w:rPr>
          <w:rFonts w:ascii="Times New Roman" w:hAnsi="Times New Roman"/>
          <w:sz w:val="20"/>
        </w:rPr>
        <w:t xml:space="preserve"> shall mean that certain letter agreement, dated as of the date hereof, by and between the Company, the Sponsor and each of the Companys officers, directors and director nominees.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Maximum Number of Securities</w:t>
      </w:r>
      <w:r>
        <w:rPr>
          <w:rFonts w:ascii="Times New Roman" w:hAnsi="Times New Roman"/>
          <w:sz w:val="20"/>
        </w:rPr>
        <w:t xml:space="preserve"> shall have the meaning given in </w:t>
      </w:r>
      <w:r>
        <w:rPr>
          <w:rFonts w:ascii="Times New Roman" w:hAnsi="Times New Roman"/>
          <w:sz w:val="20"/>
          <w:u w:val="single"/>
        </w:rPr>
        <w:t>subsection 2.1.4</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Misstatement</w:t>
      </w:r>
      <w:r>
        <w:rPr>
          <w:rFonts w:ascii="Times New Roman" w:hAnsi="Times New Roman"/>
          <w:sz w:val="20"/>
        </w:rPr>
        <w:t xml:space="preserve"> shall mean an untrue statement of a material fact or an omission to state a material fact required to be stated in a Registration Statement or Prospectus, or necessary to make the statements in a Registration Statement or Prospectus (in the case of a Prospectus, in the light of the circumstances under which they were made) not misleading.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Nominee</w:t>
      </w:r>
      <w:r>
        <w:rPr>
          <w:rFonts w:ascii="Times New Roman" w:hAnsi="Times New Roman"/>
          <w:sz w:val="20"/>
        </w:rPr>
        <w:t xml:space="preserve"> is defined in </w:t>
      </w:r>
      <w:r>
        <w:rPr>
          <w:rFonts w:ascii="Times New Roman" w:hAnsi="Times New Roman"/>
          <w:sz w:val="20"/>
          <w:u w:val="single"/>
        </w:rPr>
        <w:t>Section 6.1</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Ordinary Shares</w:t>
      </w:r>
      <w:r>
        <w:rPr>
          <w:rFonts w:ascii="Times New Roman" w:hAnsi="Times New Roman"/>
          <w:sz w:val="20"/>
        </w:rPr>
        <w:t xml:space="preserve"> shall have the meaning given in the Recitals hereto.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Permitted Transferees</w:t>
      </w:r>
      <w:r>
        <w:rPr>
          <w:rFonts w:ascii="Times New Roman" w:hAnsi="Times New Roman"/>
          <w:sz w:val="20"/>
        </w:rPr>
        <w:t xml:space="preserve"> shall mean a person or entity to whom a Holder of Registrable Securities is permitted to transfer such Registrable Securities prior to the expiration of the Founder Shares Lock-up Period or Private Placement Lock-up Period, as the case may be, under the Insider Letter and any other applicable agreement between such Holder and the Company, and to any transferee thereafter.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w:t>
      </w:r>
      <w:r>
        <w:rPr>
          <w:rFonts w:ascii="Times New Roman" w:hAnsi="Times New Roman"/>
          <w:b/>
          <w:i/>
          <w:sz w:val="20"/>
        </w:rPr>
        <w:t>Piggyback Registration</w:t>
      </w:r>
      <w:r>
        <w:rPr>
          <w:rFonts w:ascii="Times New Roman" w:hAnsi="Times New Roman"/>
          <w:sz w:val="20"/>
        </w:rPr>
        <w:t xml:space="preserve"> shall have the meaning given in </w:t>
      </w:r>
      <w:r>
        <w:rPr>
          <w:rFonts w:ascii="Times New Roman" w:hAnsi="Times New Roman"/>
          <w:sz w:val="20"/>
          <w:u w:val="single"/>
        </w:rPr>
        <w:t>subsection 2.2.1</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Private Placement Lock-up Period</w:t>
      </w:r>
      <w:r>
        <w:rPr>
          <w:rFonts w:ascii="Times New Roman" w:hAnsi="Times New Roman"/>
          <w:sz w:val="20"/>
        </w:rPr>
        <w:t xml:space="preserve"> shall mean, with respect to Private Placement Warrants that are held by the initial purchasers of such Private Placement Warrants or their Permitted Transferees, and any of the Ordinary Shares issued or issuable upon the exercise or conversion of the Private Placement Warrants and that are held by the initial purchasers of the Private Placement Warrants or their Permitted Transferees, the period ending 30 days after the completion of the Companys initial Business Combination.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Private Placement Warrants</w:t>
      </w:r>
      <w:r>
        <w:rPr>
          <w:rFonts w:ascii="Times New Roman" w:hAnsi="Times New Roman"/>
          <w:sz w:val="20"/>
        </w:rPr>
        <w:t xml:space="preserve"> shall have the meaning given in the Recitals hereto.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Prospectus</w:t>
      </w:r>
      <w:r>
        <w:rPr>
          <w:rFonts w:ascii="Times New Roman" w:hAnsi="Times New Roman"/>
          <w:sz w:val="20"/>
        </w:rPr>
        <w:t xml:space="preserve"> shall mean the prospectus included in any Registration Statement, as supplemented by any and all prospectus supplements and as amended by any and all post-effective amendments and including all material incorporated by reference in such prospectus.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Registrable Security</w:t>
      </w:r>
      <w:r>
        <w:rPr>
          <w:rFonts w:ascii="Times New Roman" w:hAnsi="Times New Roman"/>
          <w:sz w:val="20"/>
        </w:rPr>
        <w:t xml:space="preserve"> shall mean (a) the Founder Shares (including any Ordinary Shares or other equivalent equity security issued or issuable upon the conversion of any such Founder Shares or exercisable for Ordinary Shares), (b) the Private Placement Warrants (including any Ordinary Shares issued or issuable upon the exercise of any such Private Placement Warrants), (c) the Working Capital Warrants (including any Ordinary Shares issued or issuable upon the conversion of working capital loans), (d) any outstanding Ordinary Shares or any other equity security (including the Ordinary Shares issued or issuable upon the exercise of any other equity security) of the Company held by a Holder as of the date of this Agreement, and (e) any other equity security of the Company issued or issuable with respect to any such Ordinary Shares by way of a share capitalization or share sub-division or in connection with a combination of shares, recapitalization, merger, consolidation or reorganization;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as to any particular Registrable Security, such securities shall cease to be Registrable Securities when: (i) a Registration Statement with respect to the sale of such securities shall have become effective under the Securities Act and such securities shall have been sold, transferred, disposed of or exchanged in accordance with such Registration Statement; (ii) such securities shall have been otherwise transferred, new certificates for such securities not bearing a legend restricting further transfer shall have been delivered by the Company and subsequent public distribution of such securities shall not require registration under the Securities Act; (iii) such securities shall have ceased to be outstanding; or (iv) such securities have been sold to, or through, a broker, dealer or underwriter in a public distribution or other public securities transaction.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Registration</w:t>
      </w:r>
      <w:r>
        <w:rPr>
          <w:rFonts w:ascii="Times New Roman" w:hAnsi="Times New Roman"/>
          <w:sz w:val="20"/>
        </w:rPr>
        <w:t xml:space="preserve"> shall mean a registration effected by preparing and filing a registration statement or similar document in compliance with the requirements of the Securities Act, and the applicable rules and regulations promulgated thereunder, and such registration statement becoming effective.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Registration Expenses</w:t>
      </w:r>
      <w:r>
        <w:rPr>
          <w:rFonts w:ascii="Times New Roman" w:hAnsi="Times New Roman"/>
          <w:sz w:val="20"/>
        </w:rPr>
        <w:t xml:space="preserve"> shall mean the out-of-pocket expenses of a Registration, including, without limitation, the following: </w:t>
      </w:r>
    </w:p>
    <w:p>
      <w:pPr>
        <w:pStyle w:val="TextBody"/>
        <w:spacing w:before="240" w:after="0"/>
        <w:jc w:val="left"/>
        <w:rPr>
          <w:rFonts w:ascii="Times New Roman" w:hAnsi="Times New Roman"/>
          <w:sz w:val="20"/>
        </w:rPr>
      </w:pPr>
      <w:r>
        <w:rPr>
          <w:rFonts w:ascii="Times New Roman" w:hAnsi="Times New Roman"/>
          <w:sz w:val="20"/>
        </w:rPr>
        <w:t xml:space="preserve">(A) all registration and filing fees (including fees with respect to filings required to be made with the Financial Industry Regulatory Authority, Inc.) and any securities exchange on which the Ordinary Shares are then listed; </w:t>
      </w:r>
    </w:p>
    <w:p>
      <w:pPr>
        <w:pStyle w:val="TextBody"/>
        <w:spacing w:before="240" w:after="0"/>
        <w:jc w:val="left"/>
        <w:rPr>
          <w:rFonts w:ascii="Times New Roman" w:hAnsi="Times New Roman"/>
          <w:sz w:val="20"/>
        </w:rPr>
      </w:pPr>
      <w:r>
        <w:rPr>
          <w:rFonts w:ascii="Times New Roman" w:hAnsi="Times New Roman"/>
          <w:sz w:val="20"/>
        </w:rPr>
        <w:t xml:space="preserve">(B) fees and expenses of compliance with securities or blue sky laws (including reasonable fees and disbursements of counsel for the Underwriters in connection with blue sky qualifications of Registrable Securities); </w:t>
      </w:r>
    </w:p>
    <w:p>
      <w:pPr>
        <w:pStyle w:val="TextBody"/>
        <w:spacing w:before="240" w:after="0"/>
        <w:jc w:val="left"/>
        <w:rPr>
          <w:rFonts w:ascii="Times New Roman" w:hAnsi="Times New Roman"/>
          <w:sz w:val="20"/>
        </w:rPr>
      </w:pPr>
      <w:r>
        <w:rPr>
          <w:rFonts w:ascii="Times New Roman" w:hAnsi="Times New Roman"/>
          <w:sz w:val="20"/>
        </w:rPr>
        <w:t xml:space="preserve">(C) printing, messenger, telephone and delivery expenses; </w:t>
      </w:r>
    </w:p>
    <w:p>
      <w:pPr>
        <w:pStyle w:val="TextBody"/>
        <w:spacing w:before="240" w:after="0"/>
        <w:jc w:val="left"/>
        <w:rPr>
          <w:rFonts w:ascii="Times New Roman" w:hAnsi="Times New Roman"/>
          <w:sz w:val="20"/>
        </w:rPr>
      </w:pPr>
      <w:r>
        <w:rPr>
          <w:rFonts w:ascii="Times New Roman" w:hAnsi="Times New Roman"/>
          <w:sz w:val="20"/>
        </w:rPr>
        <w:t xml:space="preserve">(D) reasonable fees and disbursements of counsel for the Company; </w:t>
      </w:r>
    </w:p>
    <w:p>
      <w:pPr>
        <w:pStyle w:val="TextBody"/>
        <w:spacing w:before="240" w:after="0"/>
        <w:jc w:val="left"/>
        <w:rPr>
          <w:rFonts w:ascii="Times New Roman" w:hAnsi="Times New Roman"/>
          <w:sz w:val="20"/>
        </w:rPr>
      </w:pPr>
      <w:r>
        <w:rPr>
          <w:rFonts w:ascii="Times New Roman" w:hAnsi="Times New Roman"/>
          <w:sz w:val="20"/>
        </w:rPr>
        <w:t xml:space="preserve">(E) reasonable fees and disbursements of all independent registered public accountants of the Company incurred specifically in connection with such Registration; and </w:t>
      </w:r>
    </w:p>
    <w:p>
      <w:pPr>
        <w:pStyle w:val="TextBody"/>
        <w:spacing w:before="240" w:after="0"/>
        <w:jc w:val="left"/>
        <w:rPr>
          <w:rFonts w:ascii="Times New Roman" w:hAnsi="Times New Roman"/>
          <w:sz w:val="20"/>
        </w:rPr>
      </w:pPr>
      <w:r>
        <w:rPr>
          <w:rFonts w:ascii="Times New Roman" w:hAnsi="Times New Roman"/>
          <w:sz w:val="20"/>
        </w:rPr>
        <w:t xml:space="preserve">(F) reasonable fees and expenses of one (1) legal counsel selected by the majority-in-interest of the Demanding Holders initiating a Demand Registration to be registered for offer and sale in the applicable Registration or the Takedown Requesting Holder initiating an Underwritten Shelf Takedown.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w:t>
      </w:r>
      <w:r>
        <w:rPr>
          <w:rFonts w:ascii="Times New Roman" w:hAnsi="Times New Roman"/>
          <w:b/>
          <w:i/>
          <w:sz w:val="20"/>
        </w:rPr>
        <w:t>Registration Statement</w:t>
      </w:r>
      <w:r>
        <w:rPr>
          <w:rFonts w:ascii="Times New Roman" w:hAnsi="Times New Roman"/>
          <w:sz w:val="20"/>
        </w:rPr>
        <w:t xml:space="preserve"> shall mean any registration statement that covers the Registrable Securities pursuant to the provisions of this Agreement, including the Prospectus included in such registration statement, amendments (including post-effective amendments) and supplements to such registration statement, and all exhibits to and all material incorporated by reference in such registration statement.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Requesting Holder</w:t>
      </w:r>
      <w:r>
        <w:rPr>
          <w:rFonts w:ascii="Times New Roman" w:hAnsi="Times New Roman"/>
          <w:sz w:val="20"/>
        </w:rPr>
        <w:t xml:space="preserve"> shall have the meaning given in </w:t>
      </w:r>
      <w:r>
        <w:rPr>
          <w:rFonts w:ascii="Times New Roman" w:hAnsi="Times New Roman"/>
          <w:sz w:val="20"/>
          <w:u w:val="single"/>
        </w:rPr>
        <w:t>subsection 2.1.1</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Securities Act</w:t>
      </w:r>
      <w:r>
        <w:rPr>
          <w:rFonts w:ascii="Times New Roman" w:hAnsi="Times New Roman"/>
          <w:sz w:val="20"/>
        </w:rPr>
        <w:t xml:space="preserve"> shall mean the Securities Act of 1933, as amended from time to time.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Shelf</w:t>
      </w:r>
      <w:r>
        <w:rPr>
          <w:rFonts w:ascii="Times New Roman" w:hAnsi="Times New Roman"/>
          <w:sz w:val="20"/>
        </w:rPr>
        <w:t xml:space="preserve"> shall have the meaning given in </w:t>
      </w:r>
      <w:r>
        <w:rPr>
          <w:rFonts w:ascii="Times New Roman" w:hAnsi="Times New Roman"/>
          <w:sz w:val="20"/>
          <w:u w:val="single"/>
        </w:rPr>
        <w:t>subsection 2.3.1</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Sponsor</w:t>
      </w:r>
      <w:r>
        <w:rPr>
          <w:rFonts w:ascii="Times New Roman" w:hAnsi="Times New Roman"/>
          <w:sz w:val="20"/>
        </w:rPr>
        <w:t xml:space="preserve"> shall have the meaning given in the Recitals hereto.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Sponsor Director</w:t>
      </w:r>
      <w:r>
        <w:rPr>
          <w:rFonts w:ascii="Times New Roman" w:hAnsi="Times New Roman"/>
          <w:sz w:val="20"/>
        </w:rPr>
        <w:t xml:space="preserve"> means an individual elected to the Board that has been nominated by the Sponsor pursuant to this Agreement.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Subsequent Shelf Registration</w:t>
      </w:r>
      <w:r>
        <w:rPr>
          <w:rFonts w:ascii="Times New Roman" w:hAnsi="Times New Roman"/>
          <w:sz w:val="20"/>
        </w:rPr>
        <w:t xml:space="preserve"> shall have the meaning given in </w:t>
      </w:r>
      <w:r>
        <w:rPr>
          <w:rFonts w:ascii="Times New Roman" w:hAnsi="Times New Roman"/>
          <w:sz w:val="20"/>
          <w:u w:val="single"/>
        </w:rPr>
        <w:t>subsection 2.3.2</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Takedown Requesting Holder</w:t>
      </w:r>
      <w:r>
        <w:rPr>
          <w:rFonts w:ascii="Times New Roman" w:hAnsi="Times New Roman"/>
          <w:sz w:val="20"/>
        </w:rPr>
        <w:t xml:space="preserve"> shall have the meaning given in </w:t>
      </w:r>
      <w:r>
        <w:rPr>
          <w:rFonts w:ascii="Times New Roman" w:hAnsi="Times New Roman"/>
          <w:sz w:val="20"/>
          <w:u w:val="single"/>
        </w:rPr>
        <w:t>subsection 2.3.3</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Underwriter</w:t>
      </w:r>
      <w:r>
        <w:rPr>
          <w:rFonts w:ascii="Times New Roman" w:hAnsi="Times New Roman"/>
          <w:sz w:val="20"/>
        </w:rPr>
        <w:t xml:space="preserve"> shall mean a securities dealer who purchases any Registrable Securities as principal in an Underwritten Offering and not as part of such dealers market-making activities.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Underwritten Registration</w:t>
      </w:r>
      <w:r>
        <w:rPr>
          <w:rFonts w:ascii="Times New Roman" w:hAnsi="Times New Roman"/>
          <w:sz w:val="20"/>
        </w:rPr>
        <w:t> or </w:t>
      </w:r>
      <w:r>
        <w:rPr>
          <w:rFonts w:ascii="Times New Roman" w:hAnsi="Times New Roman"/>
          <w:b/>
          <w:i/>
          <w:sz w:val="20"/>
        </w:rPr>
        <w:t>Underwritten Offering</w:t>
      </w:r>
      <w:r>
        <w:rPr>
          <w:rFonts w:ascii="Times New Roman" w:hAnsi="Times New Roman"/>
          <w:sz w:val="20"/>
        </w:rPr>
        <w:t xml:space="preserve"> shall mean a Registration in which securities of the Company are sold to an Underwriter in a firm commitment underwriting for distribution to the public.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Underwritten Shelf Takedown</w:t>
      </w:r>
      <w:r>
        <w:rPr>
          <w:rFonts w:ascii="Times New Roman" w:hAnsi="Times New Roman"/>
          <w:sz w:val="20"/>
        </w:rPr>
        <w:t xml:space="preserve"> shall have the meaning given in </w:t>
      </w:r>
      <w:r>
        <w:rPr>
          <w:rFonts w:ascii="Times New Roman" w:hAnsi="Times New Roman"/>
          <w:sz w:val="20"/>
          <w:u w:val="single"/>
        </w:rPr>
        <w:t>subsection 2.3.3</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Working Capital Warrants</w:t>
      </w:r>
      <w:r>
        <w:rPr>
          <w:rFonts w:ascii="Times New Roman" w:hAnsi="Times New Roman"/>
          <w:sz w:val="20"/>
        </w:rPr>
        <w:t xml:space="preserve"> shall have the meaning given in the Recitals hereto. </w:t>
      </w:r>
    </w:p>
    <w:p>
      <w:pPr>
        <w:pStyle w:val="TextBody"/>
        <w:spacing w:before="480" w:after="0"/>
        <w:jc w:val="center"/>
        <w:rPr>
          <w:rFonts w:ascii="Times New Roman" w:hAnsi="Times New Roman"/>
          <w:b/>
          <w:sz w:val="20"/>
        </w:rPr>
      </w:pPr>
      <w:r>
        <w:rPr>
          <w:rFonts w:ascii="Times New Roman" w:hAnsi="Times New Roman"/>
          <w:b/>
          <w:sz w:val="20"/>
        </w:rPr>
        <w:t xml:space="preserve">ARTICLE 2 </w:t>
      </w:r>
    </w:p>
    <w:p>
      <w:pPr>
        <w:pStyle w:val="TextBody"/>
        <w:spacing w:before="0" w:after="0"/>
        <w:jc w:val="center"/>
        <w:rPr>
          <w:rFonts w:ascii="Times New Roman" w:hAnsi="Times New Roman"/>
          <w:sz w:val="20"/>
        </w:rPr>
      </w:pPr>
      <w:r>
        <w:rPr>
          <w:rFonts w:ascii="Times New Roman" w:hAnsi="Times New Roman"/>
          <w:sz w:val="20"/>
        </w:rPr>
        <w:t xml:space="preserve">REGISTRATIONS </w:t>
      </w:r>
    </w:p>
    <w:p>
      <w:pPr>
        <w:pStyle w:val="TextBody"/>
        <w:spacing w:before="240" w:after="0"/>
        <w:jc w:val="left"/>
        <w:rPr>
          <w:rFonts w:ascii="Times New Roman" w:hAnsi="Times New Roman"/>
          <w:sz w:val="20"/>
        </w:rPr>
      </w:pPr>
      <w:r>
        <w:rPr>
          <w:rFonts w:ascii="Times New Roman" w:hAnsi="Times New Roman"/>
          <w:sz w:val="20"/>
        </w:rPr>
        <w:t xml:space="preserve">2.1 </w:t>
      </w:r>
      <w:r>
        <w:rPr>
          <w:rFonts w:ascii="Times New Roman" w:hAnsi="Times New Roman"/>
          <w:sz w:val="20"/>
          <w:u w:val="single"/>
        </w:rPr>
        <w:t>Demand Registration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2.1.1 </w:t>
      </w:r>
      <w:r>
        <w:rPr>
          <w:rFonts w:ascii="Times New Roman" w:hAnsi="Times New Roman"/>
          <w:sz w:val="20"/>
          <w:u w:val="single"/>
        </w:rPr>
        <w:t>Request for Registration</w:t>
      </w:r>
      <w:r>
        <w:rPr>
          <w:rFonts w:ascii="Times New Roman" w:hAnsi="Times New Roman"/>
          <w:sz w:val="20"/>
        </w:rPr>
        <w:t xml:space="preserve">. Subject to the provisions of </w:t>
      </w:r>
      <w:r>
        <w:rPr>
          <w:rFonts w:ascii="Times New Roman" w:hAnsi="Times New Roman"/>
          <w:sz w:val="20"/>
          <w:u w:val="single"/>
        </w:rPr>
        <w:t>subsection 2.1.4</w:t>
      </w:r>
      <w:r>
        <w:rPr>
          <w:rFonts w:ascii="Times New Roman" w:hAnsi="Times New Roman"/>
          <w:sz w:val="20"/>
        </w:rPr>
        <w:t xml:space="preserve"> and </w:t>
      </w:r>
      <w:r>
        <w:rPr>
          <w:rFonts w:ascii="Times New Roman" w:hAnsi="Times New Roman"/>
          <w:sz w:val="20"/>
          <w:u w:val="single"/>
        </w:rPr>
        <w:t>Section 2.4</w:t>
      </w:r>
      <w:r>
        <w:rPr>
          <w:rFonts w:ascii="Times New Roman" w:hAnsi="Times New Roman"/>
          <w:sz w:val="20"/>
        </w:rPr>
        <w:t xml:space="preserve"> hereof, at any time and from time to time on or after the date the Company consummates the Business Combination, the Holders of at least a majority in interest of the then-outstanding number of Registrable Securities (the </w:t>
      </w:r>
      <w:r>
        <w:rPr>
          <w:rFonts w:ascii="Times New Roman" w:hAnsi="Times New Roman"/>
          <w:b/>
          <w:i/>
          <w:sz w:val="20"/>
        </w:rPr>
        <w:t>Demanding Holders</w:t>
      </w:r>
      <w:r>
        <w:rPr>
          <w:rFonts w:ascii="Times New Roman" w:hAnsi="Times New Roman"/>
          <w:sz w:val="20"/>
        </w:rPr>
        <w:t>) may make a written demand for Registration of all or part of their Registrable Securities, which written demand shall describe the amount and type of securities to be included in such Registration and the intended method(s) of distribution thereof (such written demand a </w:t>
      </w:r>
      <w:r>
        <w:rPr>
          <w:rFonts w:ascii="Times New Roman" w:hAnsi="Times New Roman"/>
          <w:b/>
          <w:i/>
          <w:sz w:val="20"/>
        </w:rPr>
        <w:t>Demand Registration</w:t>
      </w:r>
      <w:r>
        <w:rPr>
          <w:rFonts w:ascii="Times New Roman" w:hAnsi="Times New Roman"/>
          <w:sz w:val="20"/>
        </w:rPr>
        <w:t>). The Company shall, within five (5) days of the Companys receipt of the Demand Registration, notify, in writing, all other Holders of Registrable Securities of such demand, and each Holder of Registrable Securities who thereafter wishes to include all or a portion of such Holders Registrable Securities in a Registration pursuant to a Demand Registration (each such Holder that includes all or a portion of such Holders Registrable Securities in such Registration, a </w:t>
      </w:r>
      <w:r>
        <w:rPr>
          <w:rFonts w:ascii="Times New Roman" w:hAnsi="Times New Roman"/>
          <w:b/>
          <w:i/>
          <w:sz w:val="20"/>
        </w:rPr>
        <w:t>Requesting Holder</w:t>
      </w:r>
      <w:r>
        <w:rPr>
          <w:rFonts w:ascii="Times New Roman" w:hAnsi="Times New Roman"/>
          <w:sz w:val="20"/>
        </w:rPr>
        <w:t xml:space="preserve">) shall so notify the Company, in writing, within three (3) business days after the receipt by the Holder of the notice from the Company. Upon receipt by the Company of any such written notification from a Requesting Holder(s) to the Company, such Requesting Holder(s) shall be entitled to have their Registrable Securities included in a Registration pursuant to a Demand Registration and the Company shall effect, as soon thereafter as practicable, but not more than forty five (45) days immediately after the Companys receipt of the Demand Registration, the Registration of all Registrable Securities requested by the Demanding Holders and Requesting Holders pursuant to such Demand Registration. Under no circumstances shall the Company be obligated to effect more than an aggregate of three (3) Registrations pursuant to a Demand Registration under this </w:t>
      </w:r>
      <w:r>
        <w:rPr>
          <w:rFonts w:ascii="Times New Roman" w:hAnsi="Times New Roman"/>
          <w:sz w:val="20"/>
          <w:u w:val="single"/>
        </w:rPr>
        <w:t>subsection 2.1.1</w:t>
      </w:r>
      <w:r>
        <w:rPr>
          <w:rFonts w:ascii="Times New Roman" w:hAnsi="Times New Roman"/>
          <w:sz w:val="20"/>
        </w:rPr>
        <w:t xml:space="preserve"> with respect to any or all Registrable Securities;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a Registration shall not be counted for such purposes unless a Form S-1 or any similar long-form registration statement that may be available at such time (</w:t>
      </w:r>
      <w:r>
        <w:rPr>
          <w:rFonts w:ascii="Times New Roman" w:hAnsi="Times New Roman"/>
          <w:b/>
          <w:i/>
          <w:sz w:val="20"/>
        </w:rPr>
        <w:t>Form S-1</w:t>
      </w:r>
      <w:r>
        <w:rPr>
          <w:rFonts w:ascii="Times New Roman" w:hAnsi="Times New Roman"/>
          <w:sz w:val="20"/>
        </w:rPr>
        <w:t xml:space="preserve">)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has become effective and all of the Registrable Securities requested by the Requesting Holders to be registered on behalf of the Requesting Holders in such Form S-1 Registration have been sold, in accordance with </w:t>
      </w:r>
      <w:r>
        <w:rPr>
          <w:rFonts w:ascii="Times New Roman" w:hAnsi="Times New Roman"/>
          <w:sz w:val="20"/>
          <w:u w:val="single"/>
        </w:rPr>
        <w:t>Section 3.1</w:t>
      </w:r>
      <w:r>
        <w:rPr>
          <w:rFonts w:ascii="Times New Roman" w:hAnsi="Times New Roman"/>
          <w:sz w:val="20"/>
        </w:rPr>
        <w:t xml:space="preserve"> of this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an Underwritten Shelf Takedown shall not count as a Demand Registration. </w:t>
      </w:r>
    </w:p>
    <w:p>
      <w:pPr>
        <w:pStyle w:val="TextBody"/>
        <w:spacing w:before="240" w:after="0"/>
        <w:jc w:val="left"/>
        <w:rPr>
          <w:rFonts w:ascii="Times New Roman" w:hAnsi="Times New Roman"/>
          <w:sz w:val="20"/>
        </w:rPr>
      </w:pPr>
      <w:r>
        <w:rPr>
          <w:rFonts w:ascii="Times New Roman" w:hAnsi="Times New Roman"/>
          <w:sz w:val="20"/>
        </w:rPr>
        <w:t xml:space="preserve">2.1.2 </w:t>
      </w:r>
      <w:r>
        <w:rPr>
          <w:rFonts w:ascii="Times New Roman" w:hAnsi="Times New Roman"/>
          <w:sz w:val="20"/>
          <w:u w:val="single"/>
        </w:rPr>
        <w:t>Effective Registration</w:t>
      </w:r>
      <w:r>
        <w:rPr>
          <w:rFonts w:ascii="Times New Roman" w:hAnsi="Times New Roman"/>
          <w:sz w:val="20"/>
        </w:rPr>
        <w:t xml:space="preserve">. Notwithstanding the provisions of </w:t>
      </w:r>
      <w:r>
        <w:rPr>
          <w:rFonts w:ascii="Times New Roman" w:hAnsi="Times New Roman"/>
          <w:sz w:val="20"/>
          <w:u w:val="single"/>
        </w:rPr>
        <w:t>subsection 2.1.1</w:t>
      </w:r>
      <w:r>
        <w:rPr>
          <w:rFonts w:ascii="Times New Roman" w:hAnsi="Times New Roman"/>
          <w:sz w:val="20"/>
        </w:rPr>
        <w:t xml:space="preserve"> above or any other part of this Agreement, a Registration pursuant to a Demand Registration shall not count as a Registration unless and until (i) the Registration Statement filed with the Commission with respect to a Registration pursuant to a Demand Registration has been declared effective by the Commission and (ii) the Company has complied with all of its obligations under this Agreement with respect thereto;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if, after such Registration Statement has been declared effective, an offering of Registrable Securities in a Registration pursuant to a Demand Registration is subsequently interfered with by any stop order or injunction of the Commission, federal or state court or any other governmental agency the Registration Statement with respect to such Registration shall be deemed not to have been declared effective, unless and until, (i) such stop order or injunction is removed, rescinded or otherwise terminated and (ii) a majority-in-interest of the Demanding Holders initiating such Demand Registration thereafter affirmatively elect to continue with such Registration and accordingly notify the Company in writing, but in no event later than five (5) days, of such election;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the Company shall not be obligated or required to file another Registration Statement until the Registration Statement that has been previously filed with respect to a Registration pursuant to a Demand Registration becomes effective or is subsequently terminated. </w:t>
      </w:r>
    </w:p>
    <w:p>
      <w:pPr>
        <w:pStyle w:val="TextBody"/>
        <w:spacing w:before="240" w:after="0"/>
        <w:jc w:val="left"/>
        <w:rPr>
          <w:rFonts w:ascii="Times New Roman" w:hAnsi="Times New Roman"/>
          <w:sz w:val="20"/>
        </w:rPr>
      </w:pPr>
      <w:r>
        <w:rPr>
          <w:rFonts w:ascii="Times New Roman" w:hAnsi="Times New Roman"/>
          <w:sz w:val="20"/>
        </w:rPr>
        <w:t xml:space="preserve">2.1.3 </w:t>
      </w:r>
      <w:r>
        <w:rPr>
          <w:rFonts w:ascii="Times New Roman" w:hAnsi="Times New Roman"/>
          <w:sz w:val="20"/>
          <w:u w:val="single"/>
        </w:rPr>
        <w:t>Underwritten Offering</w:t>
      </w:r>
      <w:r>
        <w:rPr>
          <w:rFonts w:ascii="Times New Roman" w:hAnsi="Times New Roman"/>
          <w:sz w:val="20"/>
        </w:rPr>
        <w:t xml:space="preserve">. Subject to the provisions of </w:t>
      </w:r>
      <w:r>
        <w:rPr>
          <w:rFonts w:ascii="Times New Roman" w:hAnsi="Times New Roman"/>
          <w:sz w:val="20"/>
          <w:u w:val="single"/>
        </w:rPr>
        <w:t>subsection 2.1.4</w:t>
      </w:r>
      <w:r>
        <w:rPr>
          <w:rFonts w:ascii="Times New Roman" w:hAnsi="Times New Roman"/>
          <w:sz w:val="20"/>
        </w:rPr>
        <w:t xml:space="preserve"> and </w:t>
      </w:r>
      <w:r>
        <w:rPr>
          <w:rFonts w:ascii="Times New Roman" w:hAnsi="Times New Roman"/>
          <w:sz w:val="20"/>
          <w:u w:val="single"/>
        </w:rPr>
        <w:t>Section 2.4</w:t>
      </w:r>
      <w:r>
        <w:rPr>
          <w:rFonts w:ascii="Times New Roman" w:hAnsi="Times New Roman"/>
          <w:sz w:val="20"/>
        </w:rPr>
        <w:t xml:space="preserve"> hereof, if a majority-in-interest of the Demanding Holders so advise the Company as part of their Demand Registration that the offering of the Registrable Securities pursuant to such Demand Registration shall be in the form of an Underwritten Offering, then the right of such Demanding Holder or Requesting Holder (if any) to include its Registrable Securities in such Registration shall be conditioned upon such Holders participation in such Underwritten Offering and the inclusion of such Holders Registrable Securities in such Underwritten Offering to the extent provided herein. All such Holders proposing to distribute their Registrable Securities through an Underwritten Offering under this </w:t>
      </w:r>
      <w:r>
        <w:rPr>
          <w:rFonts w:ascii="Times New Roman" w:hAnsi="Times New Roman"/>
          <w:sz w:val="20"/>
          <w:u w:val="single"/>
        </w:rPr>
        <w:t>subsection 2.1.3</w:t>
      </w:r>
      <w:r>
        <w:rPr>
          <w:rFonts w:ascii="Times New Roman" w:hAnsi="Times New Roman"/>
          <w:sz w:val="20"/>
        </w:rPr>
        <w:t xml:space="preserve"> shall enter into an underwriting agreement in customary form with the Underwriter(s) selected for such Underwritten Offering by the majority-in-interest of the Demanding Holders initiating the Demand Registration. </w:t>
      </w:r>
    </w:p>
    <w:p>
      <w:pPr>
        <w:pStyle w:val="TextBody"/>
        <w:spacing w:before="240" w:after="0"/>
        <w:jc w:val="left"/>
        <w:rPr>
          <w:rFonts w:ascii="Times New Roman" w:hAnsi="Times New Roman"/>
          <w:sz w:val="20"/>
        </w:rPr>
      </w:pPr>
      <w:r>
        <w:rPr>
          <w:rFonts w:ascii="Times New Roman" w:hAnsi="Times New Roman"/>
          <w:sz w:val="20"/>
        </w:rPr>
        <w:t xml:space="preserve">2.1.4 </w:t>
      </w:r>
      <w:r>
        <w:rPr>
          <w:rFonts w:ascii="Times New Roman" w:hAnsi="Times New Roman"/>
          <w:sz w:val="20"/>
          <w:u w:val="single"/>
        </w:rPr>
        <w:t>Reduction of Underwritten Offering</w:t>
      </w:r>
      <w:r>
        <w:rPr>
          <w:rFonts w:ascii="Times New Roman" w:hAnsi="Times New Roman"/>
          <w:sz w:val="20"/>
        </w:rPr>
        <w:t>. If the managing Underwriter or Underwriters in an Underwritten Registration pursuant to a Demand Registration, in good faith, advises the Company, the Demanding Holders and the Requesting Holders (if any) in writing that the dollar amount or number of Registrable Securities that the Demanding Holders and the Requesting Holders (if any) desire to sell, taken together with all other Ordinary Shares or other equity securities that the Company desires to sell and the Ordinary Shares, if any, as to which a Registration has been requested pursuant to separate written contractual piggy-back registration rights held by any other shareholders who desire to sell, exceeds the maximum dollar amount or maximum number of equity securities that can be sold in the Underwritten Offering without adversely affecting the proposed offering price, the timing, the distribution method, or the probability of success of such offering (such maximum dollar amount or maximum number of such securities, as applicable, the </w:t>
      </w:r>
      <w:r>
        <w:rPr>
          <w:rFonts w:ascii="Times New Roman" w:hAnsi="Times New Roman"/>
          <w:b/>
          <w:i/>
          <w:sz w:val="20"/>
        </w:rPr>
        <w:t>Maximum Number of Securities</w:t>
      </w:r>
      <w:r>
        <w:rPr>
          <w:rFonts w:ascii="Times New Roman" w:hAnsi="Times New Roman"/>
          <w:sz w:val="20"/>
        </w:rPr>
        <w:t>), then the Company shall include in such Underwritten Offering, as follows: (i) first, the Registrable Securities of the Demanding Holders and the Requesting Holders (if any) (pro rata based on the respective number of Registrable Securities that each Demanding Holder and Requesting Holder (if any) has requested be included in such Underwritten Registration and the aggregate number of Registrable Securities that the Demanding Holders and Requesting Holders have requested be included in such Underwritten Registration (such proportion is referred to herein as </w:t>
      </w:r>
      <w:r>
        <w:rPr>
          <w:rFonts w:ascii="Times New Roman" w:hAnsi="Times New Roman"/>
          <w:b/>
          <w:i/>
          <w:sz w:val="20"/>
        </w:rPr>
        <w:t>Pro Rata</w:t>
      </w:r>
      <w:r>
        <w:rPr>
          <w:rFonts w:ascii="Times New Roman" w:hAnsi="Times New Roman"/>
          <w:sz w:val="20"/>
        </w:rPr>
        <w:t xml:space="preserve">)) that can be sold without exceeding the Maximum Number of Securities; (ii) second, to the extent that the Maximum Number of Securities has not been reached under the foregoing clause (i), the Ordinary Shares or other equity securities that the Company desires to sell, which can be sold without exceeding the Maximum Number of Securities; and (iii) third, to the extent that the Maximum Number of Securities has not been reached under the foregoing clauses (i) and (ii), the Ordinary Shares or other equity securities of other persons or entities that the Company is obligated to register in a Registration pursuant to separate written contractual arrangements with such persons and that can be sold without exceeding the Maximum Number of Securities. </w:t>
      </w:r>
    </w:p>
    <w:p>
      <w:pPr>
        <w:pStyle w:val="TextBody"/>
        <w:spacing w:before="240" w:after="0"/>
        <w:jc w:val="left"/>
        <w:rPr>
          <w:rFonts w:ascii="Times New Roman" w:hAnsi="Times New Roman"/>
          <w:sz w:val="20"/>
        </w:rPr>
      </w:pPr>
      <w:r>
        <w:rPr>
          <w:rFonts w:ascii="Times New Roman" w:hAnsi="Times New Roman"/>
          <w:sz w:val="20"/>
        </w:rPr>
        <w:t xml:space="preserve">2.1.5 </w:t>
      </w:r>
      <w:r>
        <w:rPr>
          <w:rFonts w:ascii="Times New Roman" w:hAnsi="Times New Roman"/>
          <w:sz w:val="20"/>
          <w:u w:val="single"/>
        </w:rPr>
        <w:t>Demand Registration Withdrawal</w:t>
      </w:r>
      <w:r>
        <w:rPr>
          <w:rFonts w:ascii="Times New Roman" w:hAnsi="Times New Roman"/>
          <w:sz w:val="20"/>
        </w:rPr>
        <w:t xml:space="preserve">. A majority-in-interest of the Demanding Holders initiating a Demand Registration or a majority-in-interest of the Requesting Holders (if any), pursuant to a Registration under </w:t>
      </w:r>
      <w:r>
        <w:rPr>
          <w:rFonts w:ascii="Times New Roman" w:hAnsi="Times New Roman"/>
          <w:sz w:val="20"/>
          <w:u w:val="single"/>
        </w:rPr>
        <w:t>subsection 2.1.1</w:t>
      </w:r>
      <w:r>
        <w:rPr>
          <w:rFonts w:ascii="Times New Roman" w:hAnsi="Times New Roman"/>
          <w:sz w:val="20"/>
        </w:rPr>
        <w:t xml:space="preserve"> shall have the right to withdraw from a Registration pursuant to such Demand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Registration for any or no reason whatsoever upon written notification to the Company and the Underwriter or Underwriters (if any) of their intention to withdraw from such Registration prior to the effectiveness of the Registration Statement filed with the Commission with respect to the Registration of their Registrable Securities pursuant to such Demand Registration. Notwithstanding anything to the contrary in this Agreement, the Company shall be responsible for the Registration Expenses incurred in connection with a Registration pursuant to a Demand Registration prior to its withdrawal under this </w:t>
      </w:r>
      <w:r>
        <w:rPr>
          <w:rFonts w:ascii="Times New Roman" w:hAnsi="Times New Roman"/>
          <w:sz w:val="20"/>
          <w:u w:val="single"/>
        </w:rPr>
        <w:t>subsection 2.1.5</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 w:hAnsi="Times New Roman"/>
          <w:sz w:val="20"/>
        </w:rPr>
        <w:t xml:space="preserve">2.2 </w:t>
      </w:r>
      <w:r>
        <w:rPr>
          <w:rFonts w:ascii="Times New Roman" w:hAnsi="Times New Roman"/>
          <w:sz w:val="20"/>
          <w:u w:val="single"/>
        </w:rPr>
        <w:t>Piggyback Registration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2.2.1 </w:t>
      </w:r>
      <w:r>
        <w:rPr>
          <w:rFonts w:ascii="Times New Roman" w:hAnsi="Times New Roman"/>
          <w:sz w:val="20"/>
          <w:u w:val="single"/>
        </w:rPr>
        <w:t>Piggyback Rights</w:t>
      </w:r>
      <w:r>
        <w:rPr>
          <w:rFonts w:ascii="Times New Roman" w:hAnsi="Times New Roman"/>
          <w:sz w:val="20"/>
        </w:rPr>
        <w:t xml:space="preserve">. If, at any time on or after the date the Company consummates a Business Combination, the Company proposes to file a Registration Statement under the Securities Act with respect to an offering of equity securities, or securities or other obligations exercisable or exchangeable for, or convertible into equity securities, for its own account or for the account of shareholders of the Company (or by the Company and by the shareholders of the Company including, without limitation, pursuant to </w:t>
      </w:r>
      <w:r>
        <w:rPr>
          <w:rFonts w:ascii="Times New Roman" w:hAnsi="Times New Roman"/>
          <w:sz w:val="20"/>
          <w:u w:val="single"/>
        </w:rPr>
        <w:t>Section 2.1</w:t>
      </w:r>
      <w:r>
        <w:rPr>
          <w:rFonts w:ascii="Times New Roman" w:hAnsi="Times New Roman"/>
          <w:sz w:val="20"/>
        </w:rPr>
        <w:t xml:space="preserve"> hereof), other than a Registration Statement (i) filed in connection with any employee share option or other benefit plan, (ii) for an exchange offer or offering of securities solely to the Companys existing shareholders, (iii) for an offering of debt that is convertible into equity securities of the Company or (iv) for a dividend reinvestment plan, then the Company shall give written notice of such proposed filing to all of the Holders of Registrable Securities as soon as practicable but not less than seven (7) days before the anticipated filing date of such Registration Statement, which notice shall (A) describe the amount and type of securities to be included in such offering, the intended method(s) of distribution, and the name of the proposed managing Underwriter or Underwriters, if any, in such offering, and (B) offer to all of the Holders of Registrable Securities the opportunity to register the sale of such number of Registrable Securities as such Holders may request in writing within three (3) business days after receipt of such written notice (such Registration a </w:t>
      </w:r>
      <w:r>
        <w:rPr>
          <w:rFonts w:ascii="Times New Roman" w:hAnsi="Times New Roman"/>
          <w:b/>
          <w:i/>
          <w:sz w:val="20"/>
        </w:rPr>
        <w:t>Piggyback Registration</w:t>
      </w:r>
      <w:r>
        <w:rPr>
          <w:rFonts w:ascii="Times New Roman" w:hAnsi="Times New Roman"/>
          <w:sz w:val="20"/>
        </w:rPr>
        <w:t xml:space="preserve">). The Company shall, in good faith, cause such Registrable Securities to be included in such Piggyback Registration and shall use its best efforts to cause the managing Underwriter or Underwriters of a proposed Underwritten Offering to permit the Registrable Securities requested by the Holders pursuant to this </w:t>
      </w:r>
      <w:r>
        <w:rPr>
          <w:rFonts w:ascii="Times New Roman" w:hAnsi="Times New Roman"/>
          <w:sz w:val="20"/>
          <w:u w:val="single"/>
        </w:rPr>
        <w:t>subsection 2.2.1</w:t>
      </w:r>
      <w:r>
        <w:rPr>
          <w:rFonts w:ascii="Times New Roman" w:hAnsi="Times New Roman"/>
          <w:sz w:val="20"/>
        </w:rPr>
        <w:t xml:space="preserve"> to be included in a Piggyback Registration on the same terms and conditions as any similar securities of the Company included in such Registration and to permit the sale or other disposition of such Registrable Securities in accordance with the intended method(s) of distribution thereof. All such Holders proposing to distribute their Registrable Securities through an Underwritten Offering under this </w:t>
      </w:r>
      <w:r>
        <w:rPr>
          <w:rFonts w:ascii="Times New Roman" w:hAnsi="Times New Roman"/>
          <w:sz w:val="20"/>
          <w:u w:val="single"/>
        </w:rPr>
        <w:t>subsection 2.2.1</w:t>
      </w:r>
      <w:r>
        <w:rPr>
          <w:rFonts w:ascii="Times New Roman" w:hAnsi="Times New Roman"/>
          <w:sz w:val="20"/>
        </w:rPr>
        <w:t xml:space="preserve"> shall enter into an underwriting agreement in customary form with the Underwriter(s) selected for such Underwritten Offering by the Company. The notice periods set forth in this </w:t>
      </w:r>
      <w:r>
        <w:rPr>
          <w:rFonts w:ascii="Times New Roman" w:hAnsi="Times New Roman"/>
          <w:sz w:val="20"/>
          <w:u w:val="single"/>
        </w:rPr>
        <w:t>subsection 2.2.1</w:t>
      </w:r>
      <w:r>
        <w:rPr>
          <w:rFonts w:ascii="Times New Roman" w:hAnsi="Times New Roman"/>
          <w:sz w:val="20"/>
        </w:rPr>
        <w:t xml:space="preserve"> shall not apply to an Underwritten Shelf Takedown conducted in accordance with </w:t>
      </w:r>
      <w:r>
        <w:rPr>
          <w:rFonts w:ascii="Times New Roman" w:hAnsi="Times New Roman"/>
          <w:sz w:val="20"/>
          <w:u w:val="single"/>
        </w:rPr>
        <w:t>subsection 2.3.3</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2.2.2 </w:t>
      </w:r>
      <w:r>
        <w:rPr>
          <w:rFonts w:ascii="Times New Roman" w:hAnsi="Times New Roman"/>
          <w:sz w:val="20"/>
          <w:u w:val="single"/>
        </w:rPr>
        <w:t>Reduction of Piggyback Registration</w:t>
      </w:r>
      <w:r>
        <w:rPr>
          <w:rFonts w:ascii="Times New Roman" w:hAnsi="Times New Roman"/>
          <w:sz w:val="20"/>
        </w:rPr>
        <w:t xml:space="preserve">. If the managing Underwriter or Underwriters in an Underwritten Registration that is to be a Piggyback Registration (other than Underwritten Shelf Takedown), in good faith, advises the Company and the Holders of Registrable Securities participating in the Piggyback Registration in writing that the dollar amount or number of the Ordinary Shares that the Company desires to sell, taken together with (i) the Ordinary Shares, if any, as to which Registration has been demanded pursuant to separate written contractual arrangements with persons or entities other than the Holders of Registrable Securities hereunder, (ii) the Registrable Securities as to which registration has been requested pursuant </w:t>
      </w:r>
      <w:r>
        <w:rPr>
          <w:rFonts w:ascii="Times New Roman" w:hAnsi="Times New Roman"/>
          <w:sz w:val="20"/>
          <w:u w:val="single"/>
        </w:rPr>
        <w:t>Section 2.2</w:t>
      </w:r>
      <w:r>
        <w:rPr>
          <w:rFonts w:ascii="Times New Roman" w:hAnsi="Times New Roman"/>
          <w:sz w:val="20"/>
        </w:rPr>
        <w:t xml:space="preserve"> hereof, and (iii) the Ordinary Shares, if any, as to which Registration has been requested pursuant to separate written contractual piggy-back registration rights of other shareholders of the Company, exceeds the Maximum Number of Securities, then: </w:t>
      </w:r>
    </w:p>
    <w:p>
      <w:pPr>
        <w:pStyle w:val="TextBody"/>
        <w:spacing w:before="240" w:after="0"/>
        <w:jc w:val="left"/>
        <w:rPr>
          <w:rFonts w:ascii="Times New Roman" w:hAnsi="Times New Roman"/>
          <w:sz w:val="20"/>
        </w:rPr>
      </w:pPr>
      <w:r>
        <w:rPr>
          <w:rFonts w:ascii="Times New Roman" w:hAnsi="Times New Roman"/>
          <w:sz w:val="20"/>
        </w:rPr>
        <w:t xml:space="preserve">(a) If the Registration is undertaken for the Companys account, the Company shall include in any such Registration (A) first, the Ordinary Shares or other equity securities that the Company desires to sell, which can be sold without exceeding the Maximum Number of Securities; and (B) second, to the extent that the Maximum Number of Securities has not been reached under the foregoing clause (A), the Registrable Securities of Holders exercising their rights to register their Registrable Securities pursuant to </w:t>
      </w:r>
      <w:r>
        <w:rPr>
          <w:rFonts w:ascii="Times New Roman" w:hAnsi="Times New Roman"/>
          <w:sz w:val="20"/>
          <w:u w:val="single"/>
        </w:rPr>
        <w:t>subsection 2.2.1</w:t>
      </w:r>
      <w:r>
        <w:rPr>
          <w:rFonts w:ascii="Times New Roman" w:hAnsi="Times New Roman"/>
          <w:sz w:val="20"/>
        </w:rPr>
        <w:t xml:space="preserve">, Pro Rata, which can be sold without exceeding the Maximum Number of Securities; (C) third, to the extent that the Maximum Number of Securities has not been reached under the foregoing clauses (A) and (B), the Ordinary Shares or other equity securities that the Company desires to sell, which can be sold without exceeding the Maximum Number of Securities; and (D) fourth, to the extent that the Maximum Number of Securities has not been reached under the foregoing clauses (A), (B) and (C), the Ordinary Shares or other equity securities for the account of other persons or entities that the Company is obligated to register pursuant to separate written contractual arrangements with such persons or entities, which can be sold without exceeding the Maximum Number of Securities;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(b) If the Registration is pursuant to a request by persons or entities other than the Holders of Registrable Securities, then the Company shall include in any such Registration (A) first, the Ordinary Shares or other equity securities, if any, of such requesting persons or entities, other than the Holders of Registrable </w:t>
      </w:r>
    </w:p>
    <w:p>
      <w:pPr>
        <w:pStyle w:val="TextBody"/>
        <w:spacing w:before="240" w:after="0"/>
        <w:jc w:val="left"/>
        <w:rPr>
          <w:rFonts w:ascii="Times New Roman" w:hAnsi="Times New Roman"/>
          <w:sz w:val="20"/>
        </w:rPr>
      </w:pPr>
      <w:r>
        <w:rPr>
          <w:rFonts w:ascii="Times New Roman" w:hAnsi="Times New Roman"/>
          <w:sz w:val="20"/>
        </w:rPr>
        <w:t xml:space="preserve">Securities, which can be sold without exceeding the Maximum Number of Securities; (B) second, to the extent that the Maximum Number of Securities has not been reached under the foregoing clause (A), the Registrable Securities of Holders exercising their rights to register their Registrable Securities pursuant to </w:t>
      </w:r>
      <w:r>
        <w:rPr>
          <w:rFonts w:ascii="Times New Roman" w:hAnsi="Times New Roman"/>
          <w:sz w:val="20"/>
          <w:u w:val="single"/>
        </w:rPr>
        <w:t>subsection 2.2.1</w:t>
      </w:r>
      <w:r>
        <w:rPr>
          <w:rFonts w:ascii="Times New Roman" w:hAnsi="Times New Roman"/>
          <w:sz w:val="20"/>
        </w:rPr>
        <w:t xml:space="preserve">, Pro Rata, which can be sold without exceeding the Maximum Number of Securities; (C) third, to the extent that the Maximum Number of Securities has not been reached under the foregoing clauses (A) and (B), the Ordinary Shares or other equity securities that the Company desires to sell, which can be sold without exceeding the Maximum Number of Securities; and (D) fourth, to the extent that the Maximum Number of Securities has not been reached under the foregoing clauses (A), (B) and (C), the Ordinary Shares or other equity securities for the account of other persons or entities that the Company is obligated to register pursuant to separate written contractual arrangements with such persons or entities, which can be sold without exceeding the Maximum Number of Securities. </w:t>
      </w:r>
    </w:p>
    <w:p>
      <w:pPr>
        <w:pStyle w:val="TextBody"/>
        <w:spacing w:before="240" w:after="0"/>
        <w:jc w:val="left"/>
        <w:rPr>
          <w:rFonts w:ascii="Times New Roman" w:hAnsi="Times New Roman"/>
          <w:sz w:val="20"/>
        </w:rPr>
      </w:pPr>
      <w:r>
        <w:rPr>
          <w:rFonts w:ascii="Times New Roman" w:hAnsi="Times New Roman"/>
          <w:sz w:val="20"/>
        </w:rPr>
        <w:t xml:space="preserve">2.2.3 </w:t>
      </w:r>
      <w:r>
        <w:rPr>
          <w:rFonts w:ascii="Times New Roman" w:hAnsi="Times New Roman"/>
          <w:sz w:val="20"/>
          <w:u w:val="single"/>
        </w:rPr>
        <w:t>Piggyback Registration Withdrawal</w:t>
      </w:r>
      <w:r>
        <w:rPr>
          <w:rFonts w:ascii="Times New Roman" w:hAnsi="Times New Roman"/>
          <w:sz w:val="20"/>
        </w:rPr>
        <w:t xml:space="preserve">. Any Holder of Registrable Securities shall have the right to withdraw from a Piggyback Registration for any or no reason whatsoever upon written notification to the Company and the Underwriter or Underwriters (if any) of his, her or its intention to withdraw from such Piggyback Registration prior to the effectiveness of the Registration Statement filed with the Commission with respect to such Piggyback Registration. The Company (whether on its own good faith determination or as the result of a request for withdrawal by persons pursuant to separate written contractual obligations) may withdraw a Registration Statement filed with the Commission in connection with a Piggyback Registration at any time prior to the effectiveness of such Registration Statement. Notwithstanding anything to the contrary in this Agreement, the Company shall be responsible for the Registration Expenses incurred in connection with the Piggyback Registration prior to its withdrawal under this </w:t>
      </w:r>
      <w:r>
        <w:rPr>
          <w:rFonts w:ascii="Times New Roman" w:hAnsi="Times New Roman"/>
          <w:sz w:val="20"/>
          <w:u w:val="single"/>
        </w:rPr>
        <w:t>subsection 2.2.3</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2.2.4 </w:t>
      </w:r>
      <w:r>
        <w:rPr>
          <w:rFonts w:ascii="Times New Roman" w:hAnsi="Times New Roman"/>
          <w:sz w:val="20"/>
          <w:u w:val="single"/>
        </w:rPr>
        <w:t>Unlimited Piggyback Registration Rights</w:t>
      </w:r>
      <w:r>
        <w:rPr>
          <w:rFonts w:ascii="Times New Roman" w:hAnsi="Times New Roman"/>
          <w:sz w:val="20"/>
        </w:rPr>
        <w:t xml:space="preserve">. For purposes of clarity, any Registration effected pursuant to </w:t>
      </w:r>
      <w:r>
        <w:rPr>
          <w:rFonts w:ascii="Times New Roman" w:hAnsi="Times New Roman"/>
          <w:sz w:val="20"/>
          <w:u w:val="single"/>
        </w:rPr>
        <w:t>Section 2.2</w:t>
      </w:r>
      <w:r>
        <w:rPr>
          <w:rFonts w:ascii="Times New Roman" w:hAnsi="Times New Roman"/>
          <w:sz w:val="20"/>
        </w:rPr>
        <w:t xml:space="preserve"> hereof shall not be counted as a Registration pursuant to a Demand Registration effected under </w:t>
      </w:r>
      <w:r>
        <w:rPr>
          <w:rFonts w:ascii="Times New Roman" w:hAnsi="Times New Roman"/>
          <w:sz w:val="20"/>
          <w:u w:val="single"/>
        </w:rPr>
        <w:t>Section 2.1</w:t>
      </w:r>
      <w:r>
        <w:rPr>
          <w:rFonts w:ascii="Times New Roman" w:hAnsi="Times New Roman"/>
          <w:sz w:val="20"/>
        </w:rPr>
        <w:t xml:space="preserve"> hereof. </w:t>
      </w:r>
    </w:p>
    <w:p>
      <w:pPr>
        <w:pStyle w:val="TextBody"/>
        <w:spacing w:before="360" w:after="0"/>
        <w:jc w:val="left"/>
        <w:rPr>
          <w:rFonts w:ascii="Times New Roman" w:hAnsi="Times New Roman"/>
          <w:sz w:val="20"/>
        </w:rPr>
      </w:pPr>
      <w:r>
        <w:rPr>
          <w:rFonts w:ascii="Times New Roman" w:hAnsi="Times New Roman"/>
          <w:sz w:val="20"/>
        </w:rPr>
        <w:t xml:space="preserve">2.3 </w:t>
      </w:r>
      <w:r>
        <w:rPr>
          <w:rFonts w:ascii="Times New Roman" w:hAnsi="Times New Roman"/>
          <w:sz w:val="20"/>
          <w:u w:val="single"/>
        </w:rPr>
        <w:t>Shelf Registrations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2.3.1 The Holders of Registrable Securities may at any time, and from time to time, request in writing that the Company, pursuant to Rule 415 under the Securities Act (or any successor rule promulgated thereafter by the Commission), register the resale of any or all of their Registrable Securities on Form S-3 or similar short form registration statement that may be available at such time (</w:t>
      </w:r>
      <w:r>
        <w:rPr>
          <w:rFonts w:ascii="Times New Roman" w:hAnsi="Times New Roman"/>
          <w:b/>
          <w:i/>
          <w:sz w:val="20"/>
        </w:rPr>
        <w:t>Form S-3</w:t>
      </w:r>
      <w:r>
        <w:rPr>
          <w:rFonts w:ascii="Times New Roman" w:hAnsi="Times New Roman"/>
          <w:sz w:val="20"/>
        </w:rPr>
        <w:t xml:space="preserve">), or if the Company is ineligible to use Form S-3, on Form S-1; a registration statement filed pursuant to this </w:t>
      </w:r>
      <w:r>
        <w:rPr>
          <w:rFonts w:ascii="Times New Roman" w:hAnsi="Times New Roman"/>
          <w:sz w:val="20"/>
          <w:u w:val="single"/>
        </w:rPr>
        <w:t>subsection 2.3</w:t>
      </w:r>
      <w:r>
        <w:rPr>
          <w:rFonts w:ascii="Times New Roman" w:hAnsi="Times New Roman"/>
          <w:sz w:val="20"/>
        </w:rPr>
        <w:t>.1 (a </w:t>
      </w:r>
      <w:r>
        <w:rPr>
          <w:rFonts w:ascii="Times New Roman" w:hAnsi="Times New Roman"/>
          <w:b/>
          <w:i/>
          <w:sz w:val="20"/>
        </w:rPr>
        <w:t>Shelf</w:t>
      </w:r>
      <w:r>
        <w:rPr>
          <w:rFonts w:ascii="Times New Roman" w:hAnsi="Times New Roman"/>
          <w:sz w:val="20"/>
        </w:rPr>
        <w:t xml:space="preserve">) shall provide for the resale of the Registrable Securities included therein pursuant to any method or combination of methods legally available to, and requested by, any Holder. Within three (3) days of the Companys receipt of a written request from a Holder or Holders of Registrable Securities for a Registration on a Shelf, the Company shall promptly give written notice of the proposed Registration to all other Holders of Registrable Securities, and each Holder of Registrable Securities who thereafter wishes to include all or a portion of such Holders Registrable Securities in such Registration shall so notify the Company, in writing, within three (3) business days after the receipt by the Holder of the notice from the Company. As soon as practicable thereafter, but not more than ten (10) days after the Companys initial receipt of such written request for a Registration on a Shelf, the Company shall register all or such portion of such Holders Registrable Securities as are specified in such written request, together with all or such portion of Registrable Securities of any other Holder or Holders joining in such request as are specified in the written notification given by such Holder or Holders; provided, however, that the Company shall not be obligated to effect any such Registration pursuant to this </w:t>
      </w:r>
      <w:r>
        <w:rPr>
          <w:rFonts w:ascii="Times New Roman" w:hAnsi="Times New Roman"/>
          <w:sz w:val="20"/>
          <w:u w:val="single"/>
        </w:rPr>
        <w:t>subsection 2.3.1</w:t>
      </w:r>
      <w:r>
        <w:rPr>
          <w:rFonts w:ascii="Times New Roman" w:hAnsi="Times New Roman"/>
          <w:sz w:val="20"/>
        </w:rPr>
        <w:t xml:space="preserve"> if the Holders of Registrable Securities, together with the Holders of any other equity securities of the Company entitled to inclusion in such Registration, propose to sell the Registrable Securities and such other equity securities (if any) at any aggregate price to the public of less than $10,000,000. The Company shall maintain each Shelf in accordance with the terms hereof, and shall prepare and file with the SEC such amendments, including post-effective amendments, and supplements as may be necessary to keep such Shelf continuously effective, available for use and in compliance with the provisions of the Securities Act until such time as there are no longer any Registrable Securities included on such Shelf. In the event the Company files a Shelf on Form S-1, the Company shall use its commercially reasonable efforts to convert the Form S-1 to a Form S-3 as soon as practicable after the Company is eligible to use Form S-3.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2.3.2 If any Shelf ceases to be effective under the Securities Act for any reason at any time while Registrable Securities included thereon are still outstanding, the Company shall use its commercially reasonable efforts to as promptly as is reasonably practicable cause such Shelf to again become effective under the Securities Act (including obtaining the prompt withdrawal of any order suspending the effectiveness of such Shelf), and shall use its commercially reasonable efforts to as promptly as is reasonably practicable amend such Shelf in a manner reasonably expected to result in the withdrawal of any order suspending the effectiveness of such Shelf or file an additional registration statement (a </w:t>
      </w:r>
      <w:r>
        <w:rPr>
          <w:rFonts w:ascii="Times New Roman" w:hAnsi="Times New Roman"/>
          <w:b/>
          <w:i/>
          <w:sz w:val="20"/>
        </w:rPr>
        <w:t>Subsequent Shelf Registration</w:t>
      </w:r>
      <w:r>
        <w:rPr>
          <w:rFonts w:ascii="Times New Roman" w:hAnsi="Times New Roman"/>
          <w:sz w:val="20"/>
        </w:rPr>
        <w:t xml:space="preserve">) registering the resale of all Registrable Securities including on such Shelf, and pursuant to any method or combination of methods legally available to, and requested by, any Holder. If a Subsequent Shelf Registration is filed, the Company shall use its commercially reasonable efforts to (i) cause such Subsequent Shelf Registration to become effective under the Securities Act as promptly as is reasonably practicable after the filing thereof and (ii) keep such Subsequent Shelf Registration continuously effective, available for use and in compliance with the provisions of the Securities Act until such time as there are no longer any Registrable Securities included thereon. Any such Subsequent Shelf Registration shall be on Form S-3 to the extent that the Company is eligible to use such form. Otherwise, such Subsequent Shelf Registration shall be on another appropriate form. In the event that any Holder holds Registrable Securities that are not registered for resale on a delayed or continuous basis, the Company, upon request of a Holder shall promptly use its commercially reasonable efforts to cause the resale of such Registrable Securities to be covered by either, at the Companys option, a Shelf (including by means of a post-effective amendment) or a Subsequent Shelf Registration and cause the same to become effective as soon as practicable after such filing and such Shelf or Subsequent Shelf Registration shall be subject to the terms hereof;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the Company shall only be required to cause such Registrable Securities to be so covered once annually after inquiry of the Holders. </w:t>
      </w:r>
    </w:p>
    <w:p>
      <w:pPr>
        <w:pStyle w:val="TextBody"/>
        <w:spacing w:before="240" w:after="0"/>
        <w:jc w:val="left"/>
        <w:rPr>
          <w:rFonts w:ascii="Times New Roman" w:hAnsi="Times New Roman"/>
          <w:sz w:val="20"/>
        </w:rPr>
      </w:pPr>
      <w:r>
        <w:rPr>
          <w:rFonts w:ascii="Times New Roman" w:hAnsi="Times New Roman"/>
          <w:sz w:val="20"/>
        </w:rPr>
        <w:t>2.3.3 At any time and from time to time after a Shelf has been declared effective by the Commission, the Sponsor may request to sell all or any portion of its Registrable Securities in an underwritten offering that is registered pursuant to the Shelf (each, an </w:t>
      </w:r>
      <w:r>
        <w:rPr>
          <w:rFonts w:ascii="Times New Roman" w:hAnsi="Times New Roman"/>
          <w:b/>
          <w:i/>
          <w:sz w:val="20"/>
        </w:rPr>
        <w:t>Underwritten Shelf Takedown</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the Company shall only be obligated to effect an Underwritten Shelf Takedown if such offering shall include securities with a total offering price (including piggyback securities and before deduction of underwriting discounts) reasonably expected to exceed, in the aggregate, $10,000,000. All requests for Underwritten Shelf Takedowns shall be made by giving written notice to the Company at least 48 hours prior to the public announcement of such Underwritten Shelf Takedown, which shall specify the approximate number of Registrable Securities proposed to be sold in the Underwritten Shelf Takedown and the expected price range (net of underwriting discounts and commissions) of such Underwritten Shelf Takedown. The Company shall include in any Underwritten Shelf Takedown the securities requested to be included by any holder (each a </w:t>
      </w:r>
      <w:r>
        <w:rPr>
          <w:rFonts w:ascii="Times New Roman" w:hAnsi="Times New Roman"/>
          <w:b/>
          <w:i/>
          <w:sz w:val="20"/>
        </w:rPr>
        <w:t>Takedown Requesting Holder</w:t>
      </w:r>
      <w:r>
        <w:rPr>
          <w:rFonts w:ascii="Times New Roman" w:hAnsi="Times New Roman"/>
          <w:sz w:val="20"/>
        </w:rPr>
        <w:t xml:space="preserve">) at least 24 hours prior to the public announcement of such Underwritten Shelf Takedown pursuant to written contractual piggyback registration rights of such holder (including to those set forth herein). The Sponsor shall have the right to select the underwriter(s) for such offering (which shall consist of one or more reputable nationally recognized investment banks), subject to the Companys prior approval which shall not be unreasonably withheld, conditioned or delayed. For purposes of clarity, any Registration effected pursuant to this </w:t>
      </w:r>
      <w:r>
        <w:rPr>
          <w:rFonts w:ascii="Times New Roman" w:hAnsi="Times New Roman"/>
          <w:sz w:val="20"/>
          <w:u w:val="single"/>
        </w:rPr>
        <w:t>subsection 2.3.3</w:t>
      </w:r>
      <w:r>
        <w:rPr>
          <w:rFonts w:ascii="Times New Roman" w:hAnsi="Times New Roman"/>
          <w:sz w:val="20"/>
        </w:rPr>
        <w:t xml:space="preserve"> shall not be counted as a Registration pursuant to a Demand Registration effected under </w:t>
      </w:r>
      <w:r>
        <w:rPr>
          <w:rFonts w:ascii="Times New Roman" w:hAnsi="Times New Roman"/>
          <w:sz w:val="20"/>
          <w:u w:val="single"/>
        </w:rPr>
        <w:t>Section 2.1</w:t>
      </w:r>
      <w:r>
        <w:rPr>
          <w:rFonts w:ascii="Times New Roman" w:hAnsi="Times New Roman"/>
          <w:sz w:val="20"/>
        </w:rPr>
        <w:t xml:space="preserve"> hereof. </w:t>
      </w:r>
    </w:p>
    <w:p>
      <w:pPr>
        <w:pStyle w:val="TextBody"/>
        <w:spacing w:before="240" w:after="0"/>
        <w:jc w:val="left"/>
        <w:rPr>
          <w:rFonts w:ascii="Times New Roman" w:hAnsi="Times New Roman"/>
          <w:sz w:val="20"/>
        </w:rPr>
      </w:pPr>
      <w:r>
        <w:rPr>
          <w:rFonts w:ascii="Times New Roman" w:hAnsi="Times New Roman"/>
          <w:sz w:val="20"/>
        </w:rPr>
        <w:t xml:space="preserve">2.3.4 If the managing Underwriter or Underwriters in an Underwritten Shelf Takedown, in good faith, advises the Company, the Sponsor and the Takedown Requesting Holders (if any) in writing that the dollar amount or number of Registrable Securities that the Sponsor and the Takedown Requesting Holders (if any) desire to sell, taken together with all other Ordinary Shares or other equity securities that the Company desires to sell, exceeds the Maximum Number of Securities, then the Company shall include in such Underwritten Shelf Takedown, as follows: (i) first, the Registrable Securities of the Sponsor that can be sold without exceeding the Maximum Number of Securities; (ii) second, to the extent that the Maximum Number of Securities has not been reached under the foregoing clause (i), the Ordinary Shares or other equity securities that the Company desires to sell, which can be sold without exceeding the Maximum Number of Securities; and (iii) third, to the extent that the Maximum Number of Securities has not been reached under the foregoing clauses (i) and (ii), the Ordinary Shares or other equity securities of the Takedown Requesting Holders, if any, that can be sold without exceeding the Maximum Number of Securities, determined Pro Rata based on the respective number of Registrable Securities that each Takedown Requesting Holder has so requested to be included in such Underwritten Shelf Takedown. </w:t>
      </w:r>
    </w:p>
    <w:p>
      <w:pPr>
        <w:pStyle w:val="TextBody"/>
        <w:spacing w:before="240" w:after="0"/>
        <w:jc w:val="left"/>
        <w:rPr>
          <w:rFonts w:ascii="Times New Roman" w:hAnsi="Times New Roman"/>
          <w:sz w:val="20"/>
        </w:rPr>
      </w:pPr>
      <w:r>
        <w:rPr>
          <w:rFonts w:ascii="Times New Roman" w:hAnsi="Times New Roman"/>
          <w:sz w:val="20"/>
        </w:rPr>
        <w:t xml:space="preserve">2.3.5 The Sponsor shall have the right to withdraw from an Underwritten Shelf Takedown for any or no reason whatsoever upon written notification to the Company and the Underwriter or Underwriters (if any) of its intention to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withdraw from such Underwritten Shelf Takedown prior to the public announcement of such Underwritten Shelf Takedown. Notwithstanding anything to the contrary in this Agreement, the Company shall be responsible for the Registration Expenses incurred in connection with an Underwritten Shelf Takedown prior to a withdrawal under this </w:t>
      </w:r>
      <w:r>
        <w:rPr>
          <w:rFonts w:ascii="Times New Roman" w:hAnsi="Times New Roman"/>
          <w:sz w:val="20"/>
          <w:u w:val="single"/>
        </w:rPr>
        <w:t>subsection 2.3.5</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2.4 </w:t>
      </w:r>
      <w:r>
        <w:rPr>
          <w:rFonts w:ascii="Times New Roman" w:hAnsi="Times New Roman"/>
          <w:sz w:val="20"/>
          <w:u w:val="single"/>
        </w:rPr>
        <w:t>Restrictions on Registration Rights</w:t>
      </w:r>
      <w:r>
        <w:rPr>
          <w:rFonts w:ascii="Times New Roman" w:hAnsi="Times New Roman"/>
          <w:sz w:val="20"/>
        </w:rPr>
        <w:t xml:space="preserve">. If (A) during the period starting with the date sixty (60) days prior to the Companys good faith estimate of the date of the filing of, and ending on a date one hundred and twenty (120) days after the effective date of, a Company initiated Registration and provided that the Company has delivered written notice to the Holders prior to receipt of a Demand Registration pursuant to subsection 2.1.1 and it continues to actively employ, in good faith, all reasonable efforts to cause the applicable Registration Statement to become effective; (B) the Holders have requested an Underwritten Registration and the Company and the Holders are unable to obtain the commitment of underwriters to firmly underwrite the offer; or (C) in the good faith judgment of the Board such Registration would be seriously detrimental to the Company and the Board concludes as a result that it is essential to defer the filing of such Registration Statement at such time, then in each case the Company shall furnish to such Holders a certificate signed by the Chairman of the Board stating that in the good faith judgment of the Board it would be seriously detrimental to the Company for such Registration Statement to be filed in the near future and that it is therefore essential to defer the filing of such Registration Statement. In such event, the Company shall have the right to defer such filing for a period of not more than thirty (30) days; provided, however, that the Company shall not defer its obligation in this manner more than once in any 12-month period. Notwithstanding anything to the contrary contained in this Agreement, no Registration shall be effected or permitted and no Registration Statement shall become effective, with respect to any Registrable Securities held by any Holder, until after the expiration of the Founder Shares Lock-Up Period or the Private Placement Lock-Up Period, as the case may be. </w:t>
      </w:r>
    </w:p>
    <w:p>
      <w:pPr>
        <w:pStyle w:val="TextBody"/>
        <w:spacing w:before="480" w:after="0"/>
        <w:jc w:val="center"/>
        <w:rPr>
          <w:rFonts w:ascii="Times New Roman" w:hAnsi="Times New Roman"/>
          <w:b/>
          <w:sz w:val="20"/>
        </w:rPr>
      </w:pPr>
      <w:r>
        <w:rPr>
          <w:rFonts w:ascii="Times New Roman" w:hAnsi="Times New Roman"/>
          <w:b/>
          <w:sz w:val="20"/>
        </w:rPr>
        <w:t xml:space="preserve">ARTICLE 3 </w:t>
      </w:r>
    </w:p>
    <w:p>
      <w:pPr>
        <w:pStyle w:val="TextBody"/>
        <w:spacing w:before="0" w:after="0"/>
        <w:jc w:val="center"/>
        <w:rPr>
          <w:rFonts w:ascii="Times New Roman" w:hAnsi="Times New Roman"/>
          <w:b/>
          <w:sz w:val="20"/>
        </w:rPr>
      </w:pPr>
      <w:r>
        <w:rPr>
          <w:rFonts w:ascii="Times New Roman" w:hAnsi="Times New Roman"/>
          <w:b/>
          <w:sz w:val="20"/>
        </w:rPr>
        <w:t xml:space="preserve">COMPANY PROCEDURES </w:t>
      </w:r>
    </w:p>
    <w:p>
      <w:pPr>
        <w:pStyle w:val="TextBody"/>
        <w:spacing w:before="240" w:after="0"/>
        <w:jc w:val="left"/>
        <w:rPr>
          <w:rFonts w:ascii="Times New Roman" w:hAnsi="Times New Roman"/>
          <w:sz w:val="20"/>
        </w:rPr>
      </w:pPr>
      <w:r>
        <w:rPr>
          <w:rFonts w:ascii="Times New Roman" w:hAnsi="Times New Roman"/>
          <w:sz w:val="20"/>
        </w:rPr>
        <w:t xml:space="preserve">3.1 </w:t>
      </w:r>
      <w:r>
        <w:rPr>
          <w:rFonts w:ascii="Times New Roman" w:hAnsi="Times New Roman"/>
          <w:sz w:val="20"/>
          <w:u w:val="single"/>
        </w:rPr>
        <w:t>General Procedures</w:t>
      </w:r>
      <w:r>
        <w:rPr>
          <w:rFonts w:ascii="Times New Roman" w:hAnsi="Times New Roman"/>
          <w:sz w:val="20"/>
        </w:rPr>
        <w:t xml:space="preserve">. If at any time on or after the date the Company consummates a Business Combination the Company is required to effect the Registration of Registrable Securities, the Company shall use its best efforts to effect such Registration to permit the sale of such Registrable Securities in accordance with the intended plan of distribution thereof, and pursuant thereto the Company shall, as expeditiously as possible: </w:t>
      </w:r>
    </w:p>
    <w:p>
      <w:pPr>
        <w:pStyle w:val="TextBody"/>
        <w:spacing w:before="240" w:after="0"/>
        <w:jc w:val="left"/>
        <w:rPr>
          <w:rFonts w:ascii="Times New Roman" w:hAnsi="Times New Roman"/>
          <w:sz w:val="20"/>
        </w:rPr>
      </w:pPr>
      <w:r>
        <w:rPr>
          <w:rFonts w:ascii="Times New Roman" w:hAnsi="Times New Roman"/>
          <w:sz w:val="20"/>
        </w:rPr>
        <w:t xml:space="preserve">3.1.1 prepare and file with the Commission as soon as practicable a Registration Statement with respect to such Registrable Securities and use its reasonable best efforts to cause such Registration Statement to become effective and remain effective until all Registrable Securities covered by such Registration Statement have been sold; </w:t>
      </w:r>
    </w:p>
    <w:p>
      <w:pPr>
        <w:pStyle w:val="TextBody"/>
        <w:spacing w:before="240" w:after="0"/>
        <w:jc w:val="left"/>
        <w:rPr>
          <w:rFonts w:ascii="Times New Roman" w:hAnsi="Times New Roman"/>
          <w:sz w:val="20"/>
        </w:rPr>
      </w:pPr>
      <w:r>
        <w:rPr>
          <w:rFonts w:ascii="Times New Roman" w:hAnsi="Times New Roman"/>
          <w:sz w:val="20"/>
        </w:rPr>
        <w:t xml:space="preserve">3.1.2 prepare and file with the Commission such amendments and post-effective amendments to the Registration Statement, and such supplements to the Prospectus, as may be requested by the Holders or any Underwriter of Registrable Securities or as may be required by the rules, regulations or instructions applicable to the registration form used by the Company or by the Securities Act or rules and regulations thereunder to keep the Registration Statement effective until all Registrable Securities covered by such Registration Statement are sold in accordance with the intended plan of distribution set forth in such Registration Statement or supplement to the Prospectus; </w:t>
      </w:r>
    </w:p>
    <w:p>
      <w:pPr>
        <w:pStyle w:val="TextBody"/>
        <w:spacing w:before="240" w:after="0"/>
        <w:jc w:val="left"/>
        <w:rPr>
          <w:rFonts w:ascii="Times New Roman" w:hAnsi="Times New Roman"/>
          <w:sz w:val="20"/>
        </w:rPr>
      </w:pPr>
      <w:r>
        <w:rPr>
          <w:rFonts w:ascii="Times New Roman" w:hAnsi="Times New Roman"/>
          <w:sz w:val="20"/>
        </w:rPr>
        <w:t xml:space="preserve">3.1.3 prior to filing a Registration Statement or Prospectus, or any amendment or supplement thereto, furnish without charge to the Underwriters, if any, and the Holders of Registrable Securities included in such Registration, and such Holders legal counsel, copies of such Registration Statement as proposed to be filed, each amendment and supplement to such Registration Statement (in each case including all exhibits thereto and documents incorporated by reference therein), the Prospectus included in such Registration Statement (including each preliminary Prospectus), and such other documents as the Underwriters and the Holders of Registrable Securities included in such Registration or the legal counsel for any such Holders may request in order to facilitate the disposition of the Registrable Securities owned by such Holders; </w:t>
      </w:r>
    </w:p>
    <w:p>
      <w:pPr>
        <w:pStyle w:val="TextBody"/>
        <w:spacing w:before="240" w:after="0"/>
        <w:jc w:val="left"/>
        <w:rPr>
          <w:rFonts w:ascii="Times New Roman" w:hAnsi="Times New Roman"/>
          <w:sz w:val="20"/>
        </w:rPr>
      </w:pPr>
      <w:r>
        <w:rPr>
          <w:rFonts w:ascii="Times New Roman" w:hAnsi="Times New Roman"/>
          <w:sz w:val="20"/>
        </w:rPr>
        <w:t xml:space="preserve">3.1.4 prior to any public offering of Registrable Securities, use its best efforts to (i) register or qualify the Registrable Securities covered by the Registration Statement under such securities or blue sky laws of such jurisdictions in the United States as the Holders of Registrable Securities included in such Registration Statement (in light of their intended plan of distribution) may request and (ii) take such action necessary to cause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such Registrable Securities covered by the Registration Statement to be registered with or approved by such other governmental authorities as may be necessary by virtue of the business and operations of the Company and do any and all other acts and things that may be necessary or advisable to enable the Holders of Registrable Securities included in such Registration Statement to consummate the disposition of such Registrable Securities in such jurisdictions;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Company shall not be required to qualify generally to do business in any jurisdiction where it would not otherwise be required to qualify or take any action to which it would be subject to general service of process or taxation in any such jurisdiction where it is not then otherwise so subject; </w:t>
      </w:r>
    </w:p>
    <w:p>
      <w:pPr>
        <w:pStyle w:val="TextBody"/>
        <w:spacing w:before="240" w:after="0"/>
        <w:jc w:val="left"/>
        <w:rPr>
          <w:rFonts w:ascii="Times New Roman" w:hAnsi="Times New Roman"/>
          <w:sz w:val="20"/>
        </w:rPr>
      </w:pPr>
      <w:r>
        <w:rPr>
          <w:rFonts w:ascii="Times New Roman" w:hAnsi="Times New Roman"/>
          <w:sz w:val="20"/>
        </w:rPr>
        <w:t xml:space="preserve">3.1.5 cause all such Registrable Securities to be listed on each securities exchange or automated quotation system on which similar securities issued by the Company are then listed; </w:t>
      </w:r>
    </w:p>
    <w:p>
      <w:pPr>
        <w:pStyle w:val="TextBody"/>
        <w:spacing w:before="240" w:after="0"/>
        <w:jc w:val="left"/>
        <w:rPr>
          <w:rFonts w:ascii="Times New Roman" w:hAnsi="Times New Roman"/>
          <w:sz w:val="20"/>
        </w:rPr>
      </w:pPr>
      <w:r>
        <w:rPr>
          <w:rFonts w:ascii="Times New Roman" w:hAnsi="Times New Roman"/>
          <w:sz w:val="20"/>
        </w:rPr>
        <w:t xml:space="preserve">3.1.6 provide a transfer agent or warrant agent, as applicable, and registrar for all such Registrable Securities no later than the effective date of such Registration Statement; </w:t>
      </w:r>
    </w:p>
    <w:p>
      <w:pPr>
        <w:pStyle w:val="TextBody"/>
        <w:spacing w:before="240" w:after="0"/>
        <w:jc w:val="left"/>
        <w:rPr>
          <w:rFonts w:ascii="Times New Roman" w:hAnsi="Times New Roman"/>
          <w:sz w:val="20"/>
        </w:rPr>
      </w:pPr>
      <w:r>
        <w:rPr>
          <w:rFonts w:ascii="Times New Roman" w:hAnsi="Times New Roman"/>
          <w:sz w:val="20"/>
        </w:rPr>
        <w:t xml:space="preserve">3.1.7 advise each seller of such Registrable Securities, promptly after it shall receive notice or obtain knowledge thereof, of the issuance of any stop order by the Commission suspending the effectiveness of such Registration Statement or the initiation or threatening of any proceeding for such purpose and promptly use its reasonable best efforts to prevent the issuance of any stop order or to obtain its withdrawal if such stop order should be issued; </w:t>
      </w:r>
    </w:p>
    <w:p>
      <w:pPr>
        <w:pStyle w:val="TextBody"/>
        <w:spacing w:before="240" w:after="0"/>
        <w:jc w:val="left"/>
        <w:rPr>
          <w:rFonts w:ascii="Times New Roman" w:hAnsi="Times New Roman"/>
          <w:sz w:val="20"/>
        </w:rPr>
      </w:pPr>
      <w:r>
        <w:rPr>
          <w:rFonts w:ascii="Times New Roman" w:hAnsi="Times New Roman"/>
          <w:sz w:val="20"/>
        </w:rPr>
        <w:t xml:space="preserve">3.1.8 at least five (5) days prior to the filing of any Registration Statement or Prospectus or any amendment or supplement to such Registration Statement or Prospectus (other than by way of a document incorporated by reference) furnish a copy thereof to each seller of such Registrable Securities or its counsel; </w:t>
      </w:r>
    </w:p>
    <w:p>
      <w:pPr>
        <w:pStyle w:val="TextBody"/>
        <w:spacing w:before="240" w:after="0"/>
        <w:jc w:val="left"/>
        <w:rPr>
          <w:rFonts w:ascii="Times New Roman" w:hAnsi="Times New Roman"/>
          <w:sz w:val="20"/>
        </w:rPr>
      </w:pPr>
      <w:r>
        <w:rPr>
          <w:rFonts w:ascii="Times New Roman" w:hAnsi="Times New Roman"/>
          <w:sz w:val="20"/>
        </w:rPr>
        <w:t xml:space="preserve">3.1.9 notify the Holders at any time when a Prospectus relating to such Registration Statement is required to be delivered under the Securities Act, of the happening of any event as a result of which the Prospectus included in such Registration Statement, as then in effect, includes a Misstatement, and then to correct such Misstatement as set forth in </w:t>
      </w:r>
      <w:r>
        <w:rPr>
          <w:rFonts w:ascii="Times New Roman" w:hAnsi="Times New Roman"/>
          <w:sz w:val="20"/>
          <w:u w:val="single"/>
        </w:rPr>
        <w:t>Section 3.4</w:t>
      </w:r>
      <w:r>
        <w:rPr>
          <w:rFonts w:ascii="Times New Roman" w:hAnsi="Times New Roman"/>
          <w:sz w:val="20"/>
        </w:rPr>
        <w:t xml:space="preserve"> hereof; </w:t>
      </w:r>
    </w:p>
    <w:p>
      <w:pPr>
        <w:pStyle w:val="TextBody"/>
        <w:spacing w:before="240" w:after="0"/>
        <w:jc w:val="left"/>
        <w:rPr>
          <w:rFonts w:ascii="Times New Roman" w:hAnsi="Times New Roman"/>
          <w:sz w:val="20"/>
        </w:rPr>
      </w:pPr>
      <w:r>
        <w:rPr>
          <w:rFonts w:ascii="Times New Roman" w:hAnsi="Times New Roman"/>
          <w:sz w:val="20"/>
        </w:rPr>
        <w:t xml:space="preserve">3.1.10 permit a representative of the Holders, the Underwriters, if any, and any attorney or accountant retained by such Holders or Underwriter to participate, at each such persons own expense, in the preparation of the Registration Statement, and cause the Companys officers, directors and employees to supply all information reasonably requested by any such representative, Underwriter, attorney or accountant in connection with the Registration;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such representatives or Underwriters enter into a confidentiality agreement, in form and substance reasonably satisfactory to the Company, prior to the release or disclosure of any such information; </w:t>
      </w:r>
    </w:p>
    <w:p>
      <w:pPr>
        <w:pStyle w:val="TextBody"/>
        <w:spacing w:before="240" w:after="0"/>
        <w:jc w:val="left"/>
        <w:rPr>
          <w:rFonts w:ascii="Times New Roman" w:hAnsi="Times New Roman"/>
          <w:sz w:val="20"/>
        </w:rPr>
      </w:pPr>
      <w:r>
        <w:rPr>
          <w:rFonts w:ascii="Times New Roman" w:hAnsi="Times New Roman"/>
          <w:sz w:val="20"/>
        </w:rPr>
        <w:t xml:space="preserve">3.1.11 obtain a cold comfort letter from the Companys independent registered public accountants in the event of an Underwritten Registration, in customary form and covering such matters of the type customarily covered by cold comfort letters as the managing Underwriter may reasonably request, and reasonably satisfactory to a majority-in-interest of the participating Holders; </w:t>
      </w:r>
    </w:p>
    <w:p>
      <w:pPr>
        <w:pStyle w:val="TextBody"/>
        <w:spacing w:before="240" w:after="0"/>
        <w:jc w:val="left"/>
        <w:rPr>
          <w:rFonts w:ascii="Times New Roman" w:hAnsi="Times New Roman"/>
          <w:sz w:val="20"/>
        </w:rPr>
      </w:pPr>
      <w:r>
        <w:rPr>
          <w:rFonts w:ascii="Times New Roman" w:hAnsi="Times New Roman"/>
          <w:sz w:val="20"/>
        </w:rPr>
        <w:t xml:space="preserve">3.1.12 on the date the Registrable Securities are delivered for sale pursuant to such Registration, obtain an opinion, dated such date, of counsel representing the Company for the purposes of such Registration, addressed to the Holders, the placement agent or sales agent, if any, and the Underwriters, if any, covering such legal matters with respect to the Registration in respect of which such opinion is being given as the Holders, placement agent, sales agent, or Underwriter may reasonably request and as are customarily included in such opinions and negative assurance letters, and reasonably satisfactory to a majority in interest of the participating Holders; </w:t>
      </w:r>
    </w:p>
    <w:p>
      <w:pPr>
        <w:pStyle w:val="TextBody"/>
        <w:spacing w:before="240" w:after="0"/>
        <w:jc w:val="left"/>
        <w:rPr>
          <w:rFonts w:ascii="Times New Roman" w:hAnsi="Times New Roman"/>
          <w:sz w:val="20"/>
        </w:rPr>
      </w:pPr>
      <w:r>
        <w:rPr>
          <w:rFonts w:ascii="Times New Roman" w:hAnsi="Times New Roman"/>
          <w:sz w:val="20"/>
        </w:rPr>
        <w:t xml:space="preserve">3.1.13 in the event of any Underwritten Offering, enter into and perform its obligations under an underwriting agreement, in usual and customary form, with the managing Underwriter of such offering; </w:t>
      </w:r>
    </w:p>
    <w:p>
      <w:pPr>
        <w:pStyle w:val="TextBody"/>
        <w:spacing w:before="240" w:after="0"/>
        <w:jc w:val="left"/>
        <w:rPr>
          <w:rFonts w:ascii="Times New Roman" w:hAnsi="Times New Roman"/>
          <w:sz w:val="20"/>
        </w:rPr>
      </w:pPr>
      <w:r>
        <w:rPr>
          <w:rFonts w:ascii="Times New Roman" w:hAnsi="Times New Roman"/>
          <w:sz w:val="20"/>
        </w:rPr>
        <w:t xml:space="preserve">3.1.14 make available to its security holders, as soon as reasonably practicable, an earnings statement covering the period of at least twelve (12) months beginning with the first day of the Companys first full calendar quarter after the effective date of the Registration Statement which satisfies the provisions of Section 11(a) of the Securities Act and Rule 158 thereunder (or any successor rule promulgated thereafter by the Commission); </w:t>
      </w:r>
    </w:p>
    <w:p>
      <w:pPr>
        <w:pStyle w:val="TextBody"/>
        <w:spacing w:before="240" w:after="0"/>
        <w:jc w:val="left"/>
        <w:rPr>
          <w:rFonts w:ascii="Times New Roman" w:hAnsi="Times New Roman"/>
          <w:sz w:val="20"/>
        </w:rPr>
      </w:pPr>
      <w:r>
        <w:rPr>
          <w:rFonts w:ascii="Times New Roman" w:hAnsi="Times New Roman"/>
          <w:sz w:val="20"/>
        </w:rPr>
        <w:t xml:space="preserve">3.1.15 if the Registration involves the Registration of Registrable Securities involving gross proceeds in excess of $50,000,000, use its reasonable efforts to make available senior executives of the Company to participate in customary road show presentations that may be reasonably requested by the Underwriter in any Underwritten Offering; and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3.1.16 otherwise, in good faith, cooperate reasonably with, and take such customary actions as may reasonably be requested by the Holders, in connection with such Registration. </w:t>
      </w:r>
    </w:p>
    <w:p>
      <w:pPr>
        <w:pStyle w:val="TextBody"/>
        <w:spacing w:before="240" w:after="0"/>
        <w:jc w:val="left"/>
        <w:rPr>
          <w:rFonts w:ascii="Times New Roman" w:hAnsi="Times New Roman"/>
          <w:sz w:val="20"/>
        </w:rPr>
      </w:pPr>
      <w:r>
        <w:rPr>
          <w:rFonts w:ascii="Times New Roman" w:hAnsi="Times New Roman"/>
          <w:sz w:val="20"/>
        </w:rPr>
        <w:t xml:space="preserve">3.2 </w:t>
      </w:r>
      <w:r>
        <w:rPr>
          <w:rFonts w:ascii="Times New Roman" w:hAnsi="Times New Roman"/>
          <w:sz w:val="20"/>
          <w:u w:val="single"/>
        </w:rPr>
        <w:t>Registration Expenses</w:t>
      </w:r>
      <w:r>
        <w:rPr>
          <w:rFonts w:ascii="Times New Roman" w:hAnsi="Times New Roman"/>
          <w:sz w:val="20"/>
        </w:rPr>
        <w:t xml:space="preserve">. The Registration Expenses of all Registrations shall be borne by the Company. It is acknowledged by the Holders that the Holders shall bear all incremental selling expenses relating to the sale of Registrable Securities, such as Underwriters commissions and discounts, brokerage fees, Underwriter marketing costs and, other than as set forth in the definition of Registration Expenses, all reasonable fees and expenses of any legal counsel representing the Holders. </w:t>
      </w:r>
    </w:p>
    <w:p>
      <w:pPr>
        <w:pStyle w:val="TextBody"/>
        <w:spacing w:before="240" w:after="0"/>
        <w:jc w:val="left"/>
        <w:rPr>
          <w:rFonts w:ascii="Times New Roman" w:hAnsi="Times New Roman"/>
          <w:sz w:val="20"/>
        </w:rPr>
      </w:pPr>
      <w:r>
        <w:rPr>
          <w:rFonts w:ascii="Times New Roman" w:hAnsi="Times New Roman"/>
          <w:sz w:val="20"/>
        </w:rPr>
        <w:t xml:space="preserve">3.3 </w:t>
      </w:r>
      <w:r>
        <w:rPr>
          <w:rFonts w:ascii="Times New Roman" w:hAnsi="Times New Roman"/>
          <w:sz w:val="20"/>
          <w:u w:val="single"/>
        </w:rPr>
        <w:t>Requirements for Participation in Underwritten Offerings</w:t>
      </w:r>
      <w:r>
        <w:rPr>
          <w:rFonts w:ascii="Times New Roman" w:hAnsi="Times New Roman"/>
          <w:sz w:val="20"/>
        </w:rPr>
        <w:t xml:space="preserve">. No person may participate in any Underwritten Offering for equity securities of the Company pursuant to a Registration initiated by the Company hereunder unless such person (i) agrees to sell such persons securities on the basis provided in any underwriting arrangements approved by the Company and (ii) completes and executes all customary questionnaires, powers of attorney, indemnities, lock-up agreements, underwriting agreements and other customary documents as may be reasonably required under the terms of such underwriting arrangements. </w:t>
      </w:r>
    </w:p>
    <w:p>
      <w:pPr>
        <w:pStyle w:val="TextBody"/>
        <w:spacing w:before="240" w:after="0"/>
        <w:jc w:val="left"/>
        <w:rPr>
          <w:rFonts w:ascii="Times New Roman" w:hAnsi="Times New Roman"/>
          <w:sz w:val="20"/>
        </w:rPr>
      </w:pPr>
      <w:r>
        <w:rPr>
          <w:rFonts w:ascii="Times New Roman" w:hAnsi="Times New Roman"/>
          <w:sz w:val="20"/>
        </w:rPr>
        <w:t xml:space="preserve">3.4 </w:t>
      </w:r>
      <w:r>
        <w:rPr>
          <w:rFonts w:ascii="Times New Roman" w:hAnsi="Times New Roman"/>
          <w:sz w:val="20"/>
          <w:u w:val="single"/>
        </w:rPr>
        <w:t>Suspension of Sales; Adverse Disclosure</w:t>
      </w:r>
      <w:r>
        <w:rPr>
          <w:rFonts w:ascii="Times New Roman" w:hAnsi="Times New Roman"/>
          <w:sz w:val="20"/>
        </w:rPr>
        <w:t xml:space="preserve">. Upon receipt of written notice from the Company that a Registration Statement or Prospectus contains a Misstatement, each of the Holders shall forthwith discontinue disposition of Registrable Securities until it has received copies of a supplemented or amended Prospectus correcting the Misstatement (it being understood that the Company hereby covenants to prepare and file such supplement or amendment as soon as practicable after the time of such notice), or until it is advised in writing by the Company that the use of the Prospectus may be resumed. If the filing, initial effectiveness or continued use of a Registration Statement in respect of any Registration at any time would require the Company to make an Adverse Disclosure or would require the inclusion in such Registration Statement of financial statements that are unavailable to the Company for reasons beyond the Companys control, the Company may, upon giving prompt written notice of such action to the Holders, delay the filing or initial effectiveness of, or suspend use of, such Registration Statement for the shortest period of time, but in no event more than thirty (30) days, determined in good faith by the Company to be necessary for such purpose. In the event the Company exercises its rights under the preceding sentence, the Holders agree to suspend, immediately upon their receipt of the notice referred to above, their use of the Prospectus relating to any Registration in connection with any sale or offer to sell Registrable Securities. The Company shall immediately notify the Holders of the expiration of any period during which it exercised its rights under this Section 3.4. </w:t>
      </w:r>
    </w:p>
    <w:p>
      <w:pPr>
        <w:pStyle w:val="TextBody"/>
        <w:spacing w:before="240" w:after="0"/>
        <w:jc w:val="left"/>
        <w:rPr>
          <w:rFonts w:ascii="Times New Roman" w:hAnsi="Times New Roman"/>
          <w:sz w:val="20"/>
        </w:rPr>
      </w:pPr>
      <w:r>
        <w:rPr>
          <w:rFonts w:ascii="Times New Roman" w:hAnsi="Times New Roman"/>
          <w:sz w:val="20"/>
        </w:rPr>
        <w:t xml:space="preserve">3.5 </w:t>
      </w:r>
      <w:r>
        <w:rPr>
          <w:rFonts w:ascii="Times New Roman" w:hAnsi="Times New Roman"/>
          <w:sz w:val="20"/>
          <w:u w:val="single"/>
        </w:rPr>
        <w:t>Reporting Obligations</w:t>
      </w:r>
      <w:r>
        <w:rPr>
          <w:rFonts w:ascii="Times New Roman" w:hAnsi="Times New Roman"/>
          <w:sz w:val="20"/>
        </w:rPr>
        <w:t xml:space="preserve">. As long as any Holder shall own Registrable Securities, the Company, at all times while it shall be a reporting company under the Exchange Act, covenants to file timely (or obtain extensions in respect thereof and file within the applicable grace period) all reports required to be filed by the Company after the date hereof pursuant to Sections 13(a) or 15(d) of the Exchange Act and to promptly furnish the Holders with true and complete copies of all such filings. The Company further covenants that it shall take such further action as any Holder may reasonably request, all to the extent required from time to time to enable such Holder to sell Ordinary Shares held by such Holder without registration under the Securities Act within the limitation of the exemptions provided by Rule 144 promulgated under the Securities Act (or any successor rule promulgated thereafter by the Commission, to the extent that such rule or such successor rule is available to the Company), including providing any legal opinions. Upon the request of any Holder, the Company shall deliver to such Holder a written certification of a duly authorized officer as to whether it has complied with such requirements. </w:t>
      </w:r>
    </w:p>
    <w:p>
      <w:pPr>
        <w:pStyle w:val="TextBody"/>
        <w:spacing w:before="480" w:after="0"/>
        <w:jc w:val="center"/>
        <w:rPr>
          <w:rFonts w:ascii="Times New Roman" w:hAnsi="Times New Roman"/>
          <w:b/>
          <w:sz w:val="20"/>
        </w:rPr>
      </w:pPr>
      <w:r>
        <w:rPr>
          <w:rFonts w:ascii="Times New Roman" w:hAnsi="Times New Roman"/>
          <w:b/>
          <w:sz w:val="20"/>
        </w:rPr>
        <w:t xml:space="preserve">ARTICLE 4 </w:t>
      </w:r>
    </w:p>
    <w:p>
      <w:pPr>
        <w:pStyle w:val="TextBody"/>
        <w:spacing w:before="0" w:after="0"/>
        <w:jc w:val="center"/>
        <w:rPr>
          <w:rFonts w:ascii="Times New Roman" w:hAnsi="Times New Roman"/>
          <w:sz w:val="20"/>
        </w:rPr>
      </w:pPr>
      <w:r>
        <w:rPr>
          <w:rFonts w:ascii="Times New Roman" w:hAnsi="Times New Roman"/>
          <w:sz w:val="20"/>
        </w:rPr>
        <w:t xml:space="preserve">INDEMNIFICATION AND CONTRIBUTION </w:t>
      </w:r>
    </w:p>
    <w:p>
      <w:pPr>
        <w:pStyle w:val="TextBody"/>
        <w:spacing w:before="240" w:after="0"/>
        <w:jc w:val="left"/>
        <w:rPr>
          <w:rFonts w:ascii="Times New Roman" w:hAnsi="Times New Roman"/>
          <w:sz w:val="20"/>
        </w:rPr>
      </w:pPr>
      <w:r>
        <w:rPr>
          <w:rFonts w:ascii="Times New Roman" w:hAnsi="Times New Roman"/>
          <w:sz w:val="20"/>
        </w:rPr>
        <w:t xml:space="preserve">4.1 </w:t>
      </w:r>
      <w:r>
        <w:rPr>
          <w:rFonts w:ascii="Times New Roman" w:hAnsi="Times New Roman"/>
          <w:sz w:val="20"/>
          <w:u w:val="single"/>
        </w:rPr>
        <w:t>Indemnification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4.1.1 The Company agrees to indemnify, to the extent permitted by law, each Holder of Registrable Securities, its officers and directors and each person who controls such Holder (within the meaning of the Securities Act) against all losses, claims, damages, liabilities and expenses (including attorneys fees) caused by any untrue or alleged untrue statement of material fact contained in any Registration Statement, Prospectus or preliminary Prospectus or any amendment thereof or supplement thereto or any omission or alleged omission of a material fact required to be stated therein or necessary to make the statements therein not misleading, except insofar as the same are caused by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or contained in any information furnished in writing to the Company by such Holder expressly for use therein. The Company shall indemnify the Underwriters, their officers and directors and each person who controls such Underwriters (within the meaning of the Securities Act) to the same extent as provided in the foregoing with respect to the indemnification of the Holder. </w:t>
      </w:r>
    </w:p>
    <w:p>
      <w:pPr>
        <w:pStyle w:val="TextBody"/>
        <w:spacing w:before="240" w:after="0"/>
        <w:jc w:val="left"/>
        <w:rPr>
          <w:rFonts w:ascii="Times New Roman" w:hAnsi="Times New Roman"/>
          <w:sz w:val="20"/>
        </w:rPr>
      </w:pPr>
      <w:r>
        <w:rPr>
          <w:rFonts w:ascii="Times New Roman" w:hAnsi="Times New Roman"/>
          <w:sz w:val="20"/>
        </w:rPr>
        <w:t xml:space="preserve">4.1.2 In connection with any Registration Statement in which a Holder of Registrable Securities is participating, such Holder shall furnish to the Company in writing such information and affidavits as the Company reasonably requests for use in connection with any such Registration Statement or Prospectus and, to the extent permitted by law, shall indemnify the Company, its directors and officers and agents and each person who controls the Company (within the meaning of the Securities Act) against any losses, claims, damages, liabilities and expenses (including without limitation reasonable attorneys fees) resulting from any untrue statement of material fact contained in the Registration Statement, Prospectus or preliminary Prospectus or any amendment thereof or supplement thereto or any omission of a material fact required to be stated therein or necessary to make the statements therein not misleading, but only to the extent that such untrue statement or omission is contained in any information or affidavit so furnished in writing by such Holder expressly for use therein;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obligation to indemnify shall be several, not joint and several, among such Holders of Registrable Securities, and the liability of each such Holder of Registrable Securities shall be in proportion to and limited to the net proceeds received by such Holder from the sale of Registrable Securities pursuant to such Registration Statement. The Holders of Registrable Securities shall indemnify the Underwriters, their officers, directors and each person who controls such Underwriters (within the meaning of the Securities Act) to the same extent as provided in the foregoing with respect to indemnification of the Company. </w:t>
      </w:r>
    </w:p>
    <w:p>
      <w:pPr>
        <w:pStyle w:val="TextBody"/>
        <w:spacing w:before="240" w:after="0"/>
        <w:jc w:val="left"/>
        <w:rPr>
          <w:rFonts w:ascii="Times New Roman" w:hAnsi="Times New Roman"/>
          <w:sz w:val="20"/>
        </w:rPr>
      </w:pPr>
      <w:r>
        <w:rPr>
          <w:rFonts w:ascii="Times New Roman" w:hAnsi="Times New Roman"/>
          <w:sz w:val="20"/>
        </w:rPr>
        <w:t xml:space="preserve">4.1.3 Any person entitled to indemnification herein shall (i) give prompt written notice to the indemnifying party of any claim with respect to which it seeks indemnification (provided that the failure to give prompt notice shall not impair any persons right to indemnification hereunder to the extent such failure has not materially prejudiced the indemnifying party) and (ii) 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(but such consent shall not be unreasonably withheld). An indemnifying party who is not entitled to, or elects not to, assume the defense of a claim shall not be obligated to pay the fees and expenses of more than one counsel for all parties indemnified by such indemnifying party with respect to such claim, unless in the reasonable judgment of any indemnified party a conflict of interest may exist between such indemnified party and any other of such indemnified parties with respect to such claim. No indemnifying party shall, without the consent of the indemnified party, consent to the entry of any judgment or enter into any settlement which cannot be settled in all respects by the payment of money (and such money is so paid by the indemnifying party pursuant to the terms of such settlement) or which settlement does not include as an unconditional term thereof the giving by the claimant or plaintiff to such indemnified party of a release from all liability in respect to such claim or litigation. </w:t>
      </w:r>
    </w:p>
    <w:p>
      <w:pPr>
        <w:pStyle w:val="TextBody"/>
        <w:spacing w:before="240" w:after="0"/>
        <w:jc w:val="left"/>
        <w:rPr>
          <w:rFonts w:ascii="Times New Roman" w:hAnsi="Times New Roman"/>
          <w:sz w:val="20"/>
        </w:rPr>
      </w:pPr>
      <w:r>
        <w:rPr>
          <w:rFonts w:ascii="Times New Roman" w:hAnsi="Times New Roman"/>
          <w:sz w:val="20"/>
        </w:rPr>
        <w:t xml:space="preserve">4.1.4 The indemnification provided for under this Agreement shall remain in full force and effect regardless of any investigation made by or on behalf of the indemnified party or any officer, director or controlling person of such indemnified party and shall survive the transfer of securities. The Company and each Holder of Registrable Securities participating in an offering also agrees to make such provisions as are reasonably requested by any indemnified party for contribution to such party in the event the Companys or such Holders indemnification is unavailable for any reason. </w:t>
      </w:r>
    </w:p>
    <w:p>
      <w:pPr>
        <w:pStyle w:val="TextBody"/>
        <w:spacing w:before="240" w:after="0"/>
        <w:jc w:val="left"/>
        <w:rPr>
          <w:rFonts w:ascii="Times New Roman" w:hAnsi="Times New Roman"/>
          <w:sz w:val="20"/>
        </w:rPr>
      </w:pPr>
      <w:r>
        <w:rPr>
          <w:rFonts w:ascii="Times New Roman" w:hAnsi="Times New Roman"/>
          <w:sz w:val="20"/>
        </w:rPr>
        <w:t xml:space="preserve">4.1.5 If the indemnification provided under </w:t>
      </w:r>
      <w:r>
        <w:rPr>
          <w:rFonts w:ascii="Times New Roman" w:hAnsi="Times New Roman"/>
          <w:sz w:val="20"/>
          <w:u w:val="single"/>
        </w:rPr>
        <w:t>Section 4.1</w:t>
      </w:r>
      <w:r>
        <w:rPr>
          <w:rFonts w:ascii="Times New Roman" w:hAnsi="Times New Roman"/>
          <w:sz w:val="20"/>
        </w:rPr>
        <w:t xml:space="preserve"> hereof from the indemnifying party is unavailable or insufficient to hold harmless an indemnified party in respect of any losses, claims, damages, liabilities and expenses referred to herein, then the indemnifying party, in lieu of indemnifying the indemnified party, shall contribute to the amount paid or payable by the indemnified party as a result of such losses, claims, damages, liabilities and expenses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relates to information supplied by, such indemnifying party or indemnified party, and the indemnifying partys and indemnified partys relative intent, knowledge, access to information and opportunity to correct or prevent such action;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liability of any Holder under this </w:t>
      </w:r>
      <w:r>
        <w:rPr>
          <w:rFonts w:ascii="Times New Roman" w:hAnsi="Times New Roman"/>
          <w:sz w:val="20"/>
          <w:u w:val="single"/>
        </w:rPr>
        <w:t>subsection 4.1.5</w:t>
      </w:r>
      <w:r>
        <w:rPr>
          <w:rFonts w:ascii="Times New Roman" w:hAnsi="Times New Roman"/>
          <w:sz w:val="20"/>
        </w:rPr>
        <w:t xml:space="preserve"> shall be limited to the amount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of the net proceeds received by such Holder in such offering giving rise to such liability. The amount paid or payable by a party as a result of the losses or other liabilities referred to above shall be deemed to include, subject to the limitations set forth in </w:t>
      </w:r>
      <w:r>
        <w:rPr>
          <w:rFonts w:ascii="Times New Roman" w:hAnsi="Times New Roman"/>
          <w:sz w:val="20"/>
          <w:u w:val="single"/>
        </w:rPr>
        <w:t>subsections 4.1.1</w:t>
      </w:r>
      <w:r>
        <w:rPr>
          <w:rFonts w:ascii="Times New Roman" w:hAnsi="Times New Roman"/>
          <w:sz w:val="20"/>
        </w:rPr>
        <w:t xml:space="preserve">, </w:t>
      </w:r>
      <w:r>
        <w:rPr>
          <w:rFonts w:ascii="Times New Roman" w:hAnsi="Times New Roman"/>
          <w:sz w:val="20"/>
          <w:u w:val="single"/>
        </w:rPr>
        <w:t>4.1.2</w:t>
      </w:r>
      <w:r>
        <w:rPr>
          <w:rFonts w:ascii="Times New Roman" w:hAnsi="Times New Roman"/>
          <w:sz w:val="20"/>
        </w:rPr>
        <w:t xml:space="preserve"> and </w:t>
      </w:r>
      <w:r>
        <w:rPr>
          <w:rFonts w:ascii="Times New Roman" w:hAnsi="Times New Roman"/>
          <w:sz w:val="20"/>
          <w:u w:val="single"/>
        </w:rPr>
        <w:t>4.1.3</w:t>
      </w:r>
      <w:r>
        <w:rPr>
          <w:rFonts w:ascii="Times New Roman" w:hAnsi="Times New Roman"/>
          <w:sz w:val="20"/>
        </w:rPr>
        <w:t xml:space="preserve"> above, any legal or other fees, charges or expenses reasonably incurred by such party in connection with any investigation or proceeding. The parties hereto agree that it would not be just and equitable if contribution pursuant to this </w:t>
      </w:r>
      <w:r>
        <w:rPr>
          <w:rFonts w:ascii="Times New Roman" w:hAnsi="Times New Roman"/>
          <w:sz w:val="20"/>
          <w:u w:val="single"/>
        </w:rPr>
        <w:t>subsection 4.1.5</w:t>
      </w:r>
      <w:r>
        <w:rPr>
          <w:rFonts w:ascii="Times New Roman" w:hAnsi="Times New Roman"/>
          <w:sz w:val="20"/>
        </w:rPr>
        <w:t xml:space="preserve"> were determined by pro rata allocation or by any other method of allocation, which does not take account of the equitable considerations referred to in this </w:t>
      </w:r>
      <w:r>
        <w:rPr>
          <w:rFonts w:ascii="Times New Roman" w:hAnsi="Times New Roman"/>
          <w:sz w:val="20"/>
          <w:u w:val="single"/>
        </w:rPr>
        <w:t>subsection 4.1.5</w:t>
      </w:r>
      <w:r>
        <w:rPr>
          <w:rFonts w:ascii="Times New Roman" w:hAnsi="Times New Roman"/>
          <w:sz w:val="20"/>
        </w:rPr>
        <w:t xml:space="preserve">. No person guilty of fraudulent misrepresentation (within the meaning of Section 11(f) of the Securities Act) shall be entitled to contribution pursuant to this </w:t>
      </w:r>
      <w:r>
        <w:rPr>
          <w:rFonts w:ascii="Times New Roman" w:hAnsi="Times New Roman"/>
          <w:sz w:val="20"/>
          <w:u w:val="single"/>
        </w:rPr>
        <w:t>subsection 4.1.5</w:t>
      </w:r>
      <w:r>
        <w:rPr>
          <w:rFonts w:ascii="Times New Roman" w:hAnsi="Times New Roman"/>
          <w:sz w:val="20"/>
        </w:rPr>
        <w:t xml:space="preserve"> from any person who was not guilty of such fraudulent misrepresentation. </w:t>
      </w:r>
    </w:p>
    <w:p>
      <w:pPr>
        <w:pStyle w:val="TextBody"/>
        <w:spacing w:before="480" w:after="0"/>
        <w:jc w:val="center"/>
        <w:rPr>
          <w:rFonts w:ascii="Times New Roman" w:hAnsi="Times New Roman"/>
          <w:b/>
          <w:sz w:val="20"/>
        </w:rPr>
      </w:pPr>
      <w:r>
        <w:rPr>
          <w:rFonts w:ascii="Times New Roman" w:hAnsi="Times New Roman"/>
          <w:b/>
          <w:sz w:val="20"/>
        </w:rPr>
        <w:t xml:space="preserve">ARTICLE 5 </w:t>
      </w:r>
    </w:p>
    <w:p>
      <w:pPr>
        <w:pStyle w:val="TextBody"/>
        <w:spacing w:before="0" w:after="0"/>
        <w:jc w:val="center"/>
        <w:rPr>
          <w:rFonts w:ascii="Times New Roman" w:hAnsi="Times New Roman"/>
          <w:sz w:val="20"/>
        </w:rPr>
      </w:pPr>
      <w:r>
        <w:rPr>
          <w:rFonts w:ascii="Times New Roman" w:hAnsi="Times New Roman"/>
          <w:sz w:val="20"/>
        </w:rPr>
        <w:t xml:space="preserve">SHAREHOLDER RIGHTS </w:t>
      </w:r>
    </w:p>
    <w:p>
      <w:pPr>
        <w:pStyle w:val="TextBody"/>
        <w:spacing w:before="240" w:after="0"/>
        <w:jc w:val="left"/>
        <w:rPr>
          <w:rFonts w:ascii="Times New Roman" w:hAnsi="Times New Roman"/>
          <w:sz w:val="20"/>
        </w:rPr>
      </w:pPr>
      <w:r>
        <w:rPr>
          <w:rFonts w:ascii="Times New Roman" w:hAnsi="Times New Roman"/>
          <w:sz w:val="20"/>
        </w:rPr>
        <w:t xml:space="preserve">5.1 Subject to the terms and conditions of this Agreement, at any time and from time to time on or after the date that the Company consummates a Business Combination and for so long as the Sponsor holds any Registrable Securities: </w:t>
      </w:r>
    </w:p>
    <w:p>
      <w:pPr>
        <w:pStyle w:val="TextBody"/>
        <w:spacing w:before="240" w:after="0"/>
        <w:jc w:val="left"/>
        <w:rPr>
          <w:rFonts w:ascii="Times New Roman" w:hAnsi="Times New Roman"/>
          <w:sz w:val="20"/>
        </w:rPr>
      </w:pPr>
      <w:r>
        <w:rPr>
          <w:rFonts w:ascii="Times New Roman" w:hAnsi="Times New Roman"/>
          <w:sz w:val="20"/>
        </w:rPr>
        <w:t>5.1.1 The Sponsor shall have the right, but not the obligation, to designate three individuals to be appointed or nominated, as the case may be, for election to the Board (including any successor, each, a </w:t>
      </w:r>
      <w:r>
        <w:rPr>
          <w:rFonts w:ascii="Times New Roman" w:hAnsi="Times New Roman"/>
          <w:b/>
          <w:i/>
          <w:sz w:val="20"/>
        </w:rPr>
        <w:t>Nominee</w:t>
      </w:r>
      <w:r>
        <w:rPr>
          <w:rFonts w:ascii="Times New Roman" w:hAnsi="Times New Roman"/>
          <w:sz w:val="20"/>
        </w:rPr>
        <w:t xml:space="preserve">) by giving written notice to the Company on or before the time such information is reasonably requested by the Board or the Nominating Committee of the Board, as applicable, for inclusion in a proxy statement for a meeting of shareholders provided to the Sponsor. </w:t>
      </w:r>
    </w:p>
    <w:p>
      <w:pPr>
        <w:pStyle w:val="TextBody"/>
        <w:spacing w:before="240" w:after="0"/>
        <w:jc w:val="left"/>
        <w:rPr>
          <w:rFonts w:ascii="Times New Roman" w:hAnsi="Times New Roman"/>
          <w:sz w:val="20"/>
        </w:rPr>
      </w:pPr>
      <w:r>
        <w:rPr>
          <w:rFonts w:ascii="Times New Roman" w:hAnsi="Times New Roman"/>
          <w:sz w:val="20"/>
        </w:rPr>
        <w:t xml:space="preserve">5.1.2 The Company will, as promptly as practicable, use its best efforts to take all necessary and desirable actions (including, without limitation, calling special meetings of the Board and the shareholders and recommending, supporting and soliciting proxies) so that there are three Sponsor Directors serving on the Board at all times. </w:t>
      </w:r>
    </w:p>
    <w:p>
      <w:pPr>
        <w:pStyle w:val="TextBody"/>
        <w:spacing w:before="240" w:after="0"/>
        <w:jc w:val="left"/>
        <w:rPr>
          <w:rFonts w:ascii="Times New Roman" w:hAnsi="Times New Roman"/>
          <w:sz w:val="20"/>
        </w:rPr>
      </w:pPr>
      <w:r>
        <w:rPr>
          <w:rFonts w:ascii="Times New Roman" w:hAnsi="Times New Roman"/>
          <w:sz w:val="20"/>
        </w:rPr>
        <w:t xml:space="preserve">5.1.3 The Company shall, to the fullest extent permitted by applicable law, use its best efforts to take all actions necessary to ensure that: (i) each Nominee is included in the Boards slate of nominees to the shareholders of the Company for each election of Directors; and (ii) each Nominee is included in the proxy statement prepared by management of the Company in connection with soliciting proxies for every meeting of the shareholders of the Company called with respect to the election of members of the Board, and at every adjournment or postponement thereof, and on every action or approval by written consent of the shareholders of the Company or the Board with respect to the election of members of the Board. </w:t>
      </w:r>
    </w:p>
    <w:p>
      <w:pPr>
        <w:pStyle w:val="TextBody"/>
        <w:spacing w:before="240" w:after="0"/>
        <w:jc w:val="left"/>
        <w:rPr>
          <w:rFonts w:ascii="Times New Roman" w:hAnsi="Times New Roman"/>
          <w:sz w:val="20"/>
        </w:rPr>
      </w:pPr>
      <w:r>
        <w:rPr>
          <w:rFonts w:ascii="Times New Roman" w:hAnsi="Times New Roman"/>
          <w:sz w:val="20"/>
        </w:rPr>
        <w:t xml:space="preserve">5.1.4 If a vacancy occurs because of the death, disability, disqualification, resignation, or removal of a Sponsor Director or for any other reason, the Sponsor shall be entitled to designate such persons successor, and the Company will, as promptly as practicable following such designation, use its best efforts to take all necessary and desirable actions, to the fullest extent permitted by law, within its control such that such vacancy shall be filled with such successor Nominee. </w:t>
      </w:r>
    </w:p>
    <w:p>
      <w:pPr>
        <w:pStyle w:val="TextBody"/>
        <w:spacing w:before="240" w:after="0"/>
        <w:jc w:val="left"/>
        <w:rPr>
          <w:rFonts w:ascii="Times New Roman" w:hAnsi="Times New Roman"/>
          <w:sz w:val="20"/>
        </w:rPr>
      </w:pPr>
      <w:r>
        <w:rPr>
          <w:rFonts w:ascii="Times New Roman" w:hAnsi="Times New Roman"/>
          <w:sz w:val="20"/>
        </w:rPr>
        <w:t xml:space="preserve">5.1.5 If a Nominee is not elected because of such Nominees death, disability, disqualification, withdrawal as a nominee or for any other reason, the Sponsor shall be entitled to designate promptly another Nominee and the Company will take all necessary and desirable actions within its control such that the director position for which such Nominee was nominated shall not be filled pending such designation or the size of the Board shall be increased by one and such vacancy shall be filled with such successor Nominee as promptly as practicable following such designation. </w:t>
      </w:r>
    </w:p>
    <w:p>
      <w:pPr>
        <w:pStyle w:val="TextBody"/>
        <w:spacing w:before="240" w:after="0"/>
        <w:jc w:val="left"/>
        <w:rPr>
          <w:rFonts w:ascii="Times New Roman" w:hAnsi="Times New Roman"/>
          <w:sz w:val="20"/>
        </w:rPr>
      </w:pPr>
      <w:r>
        <w:rPr>
          <w:rFonts w:ascii="Times New Roman" w:hAnsi="Times New Roman"/>
          <w:sz w:val="20"/>
        </w:rPr>
        <w:t xml:space="preserve">5.1.6 As promptly as reasonably practicable following the request of any Sponsor Director, the Company shall enter into an indemnification agreement with such Sponsor Director, in the form entered into with the other members of the Board. The Company shall pay the reasonable, documented out-of-pocket expenses incurred by the Sponsor Director in connection with his or her services provided to or on behalf of the Company, including attending meetings or events attended explicitly on behalf of the Company at the Companys request. </w:t>
      </w:r>
    </w:p>
    <w:p>
      <w:pPr>
        <w:pStyle w:val="TextBody"/>
        <w:spacing w:before="240" w:after="0"/>
        <w:jc w:val="left"/>
        <w:rPr>
          <w:rFonts w:ascii="Times New Roman" w:hAnsi="Times New Roman"/>
          <w:sz w:val="20"/>
        </w:rPr>
      </w:pPr>
      <w:r>
        <w:rPr>
          <w:rFonts w:ascii="Times New Roman" w:hAnsi="Times New Roman"/>
          <w:sz w:val="20"/>
        </w:rPr>
        <w:t xml:space="preserve">5.1.7 The Company shall (i) purchase directors and officers liability insurance in an amount determined by the Board to be reasonable and customary and (ii) for so long as a Sponsor Director serves as a Director of the Company, maintain such coverage with respect to such Sponsor Director; </w:t>
      </w:r>
      <w:r>
        <w:rPr>
          <w:rFonts w:ascii="Times New Roman" w:hAnsi="Times New Roman"/>
          <w:i/>
          <w:sz w:val="20"/>
        </w:rPr>
        <w:t>provided that</w:t>
      </w:r>
      <w:r>
        <w:rPr>
          <w:rFonts w:ascii="Times New Roman" w:hAnsi="Times New Roman"/>
          <w:sz w:val="20"/>
        </w:rPr>
        <w:t xml:space="preserve"> upon removal or resignation of such Sponsor Director for any reason, the Company shall take all actions reasonably necessary to extend such directors and officers liability insurance coverage for a period of not less than six years from any such event in respect of any act or omission occurring at or prior to such event.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5.1.8 For so long as a Sponsor Director serves as a Director of the Company, the Company shall not amend, alter or repeal any right to indemnification or exculpation covering or benefiting any Director nominated pursuant to this Agreement as and to the extent consistent with applicable law, whether such right is contained in the Companys amended and restated memorandum and articles of association, each as amended, or another document (except to the extent such amendment or alteration permits the Company to provide broader indemnification or exculpation rights on a retroactive basis than permitted prior thereto). </w:t>
      </w:r>
    </w:p>
    <w:p>
      <w:pPr>
        <w:pStyle w:val="TextBody"/>
        <w:spacing w:before="240" w:after="0"/>
        <w:jc w:val="left"/>
        <w:rPr>
          <w:rFonts w:ascii="Times New Roman" w:hAnsi="Times New Roman"/>
          <w:sz w:val="20"/>
        </w:rPr>
      </w:pPr>
      <w:r>
        <w:rPr>
          <w:rFonts w:ascii="Times New Roman" w:hAnsi="Times New Roman"/>
          <w:sz w:val="20"/>
        </w:rPr>
        <w:t xml:space="preserve">5.1.9 Each Nominee may, but does not need to qualify as independent pursuant to listing standards of the New York Stock Exchange (or such other national securities exchange upon which the Companys securities are then listed). </w:t>
      </w:r>
    </w:p>
    <w:p>
      <w:pPr>
        <w:pStyle w:val="TextBody"/>
        <w:spacing w:before="240" w:after="0"/>
        <w:jc w:val="left"/>
        <w:rPr>
          <w:rFonts w:ascii="Times New Roman" w:hAnsi="Times New Roman"/>
          <w:sz w:val="20"/>
        </w:rPr>
      </w:pPr>
      <w:r>
        <w:rPr>
          <w:rFonts w:ascii="Times New Roman" w:hAnsi="Times New Roman"/>
          <w:sz w:val="20"/>
        </w:rPr>
        <w:t xml:space="preserve">5.1.10 Any Nominee will be subject to the Companys customary due diligence process, including its review of a completed questionnaire and a background check. Based on the foregoing, the Company may object to any Nominee provided (a) it does so in good faith, and (b) such objection is based upon any of the following: (i) such Nominee was convicted in a criminal proceeding or is a named subject of a pending criminal proceeding (excluding traffic violations and other minor offenses), (ii) such Nominee was the subject of any order, judgment, or decree not subsequently reversed, suspended or vacated of any court of competent jurisdiction, permanently or temporarily enjoining such proposed director from, or otherwise limiting, the following activities: (A) engaging in any type of business practice, or (B) engaging in any activity in connection with the purchase or sale of any security or in connection with any violation of federal or state securities laws, (iii) such Nominee was the subject of any order, judgment or decree, not subsequently reversed, suspended or vacated, of any federal or state authority barring, suspending or otherwise limiting for more than 60 days the right of such person to engage in any activity described in clause (ii)(B), or to be associated with persons engaged in such activity, (iv) such proposed director was found by a court of competent jurisdiction in a civil action or by the Commission to have violated any federal or state securities law, and the judgment in such civil action or finding by the Commission has not been subsequently reversed, suspended or vacated, or (v) such proposed director was the subject of, or a party to any federal or state judicial or administrative order, judgment, decree, or finding, not subsequently reversed, suspended or vacated, relating to a violation of any federal or state securities laws or regulations. In the event the Board reasonably finds the Nominee to be unsuitable based upon one or more of the foregoing clauses (i) through (v) and reasonably objects to the identified director, Sponsor shall be entitled to propose a different nominee to the Board within 30 calendar days of the Companys notice to Sponsor of its objection to the Nominee and such replacement Nominee shall be subject to the review process outlined above. </w:t>
      </w:r>
    </w:p>
    <w:p>
      <w:pPr>
        <w:pStyle w:val="TextBody"/>
        <w:spacing w:before="240" w:after="0"/>
        <w:jc w:val="left"/>
        <w:rPr>
          <w:rFonts w:ascii="Times New Roman" w:hAnsi="Times New Roman"/>
          <w:sz w:val="20"/>
        </w:rPr>
      </w:pPr>
      <w:r>
        <w:rPr>
          <w:rFonts w:ascii="Times New Roman" w:hAnsi="Times New Roman"/>
          <w:sz w:val="20"/>
        </w:rPr>
        <w:t xml:space="preserve">5.1.11 The Company shall take all necessary action to cause a Nominee chosen by the Sponsor, at the request of such Nominee to be elected to the board of directors (or similar governing body) of each material operating subsidiary of the Company. The Nominee, as applicable, shall have the right to attend (in person or remotely) any meetings of the board of directors (or similar governing body or committee thereof) of each subsidiary of the Company. </w:t>
      </w:r>
    </w:p>
    <w:p>
      <w:pPr>
        <w:pStyle w:val="TextBody"/>
        <w:spacing w:before="480" w:after="0"/>
        <w:jc w:val="center"/>
        <w:rPr>
          <w:rFonts w:ascii="Times New Roman" w:hAnsi="Times New Roman"/>
          <w:b/>
          <w:sz w:val="20"/>
        </w:rPr>
      </w:pPr>
      <w:r>
        <w:rPr>
          <w:rFonts w:ascii="Times New Roman" w:hAnsi="Times New Roman"/>
          <w:b/>
          <w:sz w:val="20"/>
        </w:rPr>
        <w:t xml:space="preserve">ARTICLE 6 </w:t>
      </w:r>
    </w:p>
    <w:p>
      <w:pPr>
        <w:pStyle w:val="TextBody"/>
        <w:spacing w:before="0" w:after="0"/>
        <w:jc w:val="center"/>
        <w:rPr>
          <w:rFonts w:ascii="Times New Roman" w:hAnsi="Times New Roman"/>
          <w:sz w:val="20"/>
        </w:rPr>
      </w:pPr>
      <w:r>
        <w:rPr>
          <w:rFonts w:ascii="Times New Roman" w:hAnsi="Times New Roman"/>
          <w:sz w:val="20"/>
        </w:rPr>
        <w:t xml:space="preserve">MISCELLANEOUS </w:t>
      </w:r>
    </w:p>
    <w:p>
      <w:pPr>
        <w:pStyle w:val="TextBody"/>
        <w:spacing w:before="240" w:after="0"/>
        <w:jc w:val="left"/>
        <w:rPr>
          <w:rFonts w:ascii="Times New Roman" w:hAnsi="Times New Roman"/>
          <w:sz w:val="20"/>
        </w:rPr>
      </w:pPr>
      <w:r>
        <w:rPr>
          <w:rFonts w:ascii="Times New Roman" w:hAnsi="Times New Roman"/>
          <w:sz w:val="20"/>
        </w:rPr>
        <w:t xml:space="preserve">6.1 </w:t>
      </w:r>
      <w:r>
        <w:rPr>
          <w:rFonts w:ascii="Times New Roman" w:hAnsi="Times New Roman"/>
          <w:sz w:val="20"/>
          <w:u w:val="single"/>
        </w:rPr>
        <w:t>Notices</w:t>
      </w:r>
      <w:r>
        <w:rPr>
          <w:rFonts w:ascii="Times New Roman" w:hAnsi="Times New Roman"/>
          <w:sz w:val="20"/>
        </w:rPr>
        <w:t xml:space="preserve">. Any notice or communication under this Agreement must be in writing and given by (i) deposit in the United States mail, addressed to the party to be notified, postage prepaid and registered or certified with return receipt requested, (ii) delivery in person or by courier service providing evidence of delivery, or (iii) transmission by hand delivery, electronic mail, telecopy, telegram or facsimile. Each notice or communication that is mailed, delivered, or transmitted in the manner described above shall be deemed sufficiently given, served, sent, and received, in the case of mailed notices, on the third business day following the date on which it is mailed and, in the case of notices delivered by courier service, hand delivery, electronic mail, telecopy, telegram or facsimile, at such time as it is delivered to the addressee (with the delivery receipt or the affidavit of messenger) or at such time as delivery is refused by the addressee upon presentation. Any notice or communication under this Agreement must be addressed, if to the Company, to: 200 Clarendon Street, 55th Floor, Boston, MA 02116, Attention: Christine Miller, with copy to: Kirkland &amp; Ellis LLP, 601 Lexington Avenue, New York, New York 10022, Attention: Christian O. Nagler and James S. Rowe, and, if to any Holder, at such Holders address or facsimile number as set forth in the Companys books and records. Any party may change its address for notice at any time and from time to time by written notice to the other parties hereto, and such change of address shall become effective thirty (30) days after delivery of such notice as provided in this Section 6.1.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6.2 </w:t>
      </w:r>
      <w:r>
        <w:rPr>
          <w:rFonts w:ascii="Times New Roman" w:hAnsi="Times New Roman"/>
          <w:sz w:val="20"/>
          <w:u w:val="single"/>
        </w:rPr>
        <w:t>Assignment; No Third Party Beneficiaries.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6.2.1 This Agreement and the rights, duties and obligations of the Company hereunder may not be assigned or delegated by the Company in whole or in part. </w:t>
      </w:r>
    </w:p>
    <w:p>
      <w:pPr>
        <w:pStyle w:val="TextBody"/>
        <w:spacing w:before="240" w:after="0"/>
        <w:jc w:val="left"/>
        <w:rPr>
          <w:rFonts w:ascii="Times New Roman" w:hAnsi="Times New Roman"/>
          <w:sz w:val="20"/>
        </w:rPr>
      </w:pPr>
      <w:r>
        <w:rPr>
          <w:rFonts w:ascii="Times New Roman" w:hAnsi="Times New Roman"/>
          <w:sz w:val="20"/>
        </w:rPr>
        <w:t xml:space="preserve">6.2.2 Prior to the expiration of the Founder Shares Lock-up Period or the Private Placement Lock-up Period, as the case may be, no Holder may assign or delegate such Holders rights, duties or obligations under this Agreement, in whole or in part, except in connection with a transfer of Registrable Securities by such Holder to a Permitted Transferee. </w:t>
      </w:r>
    </w:p>
    <w:p>
      <w:pPr>
        <w:pStyle w:val="TextBody"/>
        <w:spacing w:before="240" w:after="0"/>
        <w:jc w:val="left"/>
        <w:rPr>
          <w:rFonts w:ascii="Times New Roman" w:hAnsi="Times New Roman"/>
          <w:sz w:val="20"/>
        </w:rPr>
      </w:pPr>
      <w:r>
        <w:rPr>
          <w:rFonts w:ascii="Times New Roman" w:hAnsi="Times New Roman"/>
          <w:sz w:val="20"/>
        </w:rPr>
        <w:t xml:space="preserve">6.2.3 This Agreement and the provisions hereof shall be binding upon and shall inure to the benefit of each of the parties and its successors and the permitted assigns of the Holders, which shall include Permitted Transferees. </w:t>
      </w:r>
    </w:p>
    <w:p>
      <w:pPr>
        <w:pStyle w:val="TextBody"/>
        <w:spacing w:before="240" w:after="0"/>
        <w:jc w:val="left"/>
        <w:rPr>
          <w:rFonts w:ascii="Times New Roman" w:hAnsi="Times New Roman"/>
          <w:sz w:val="20"/>
        </w:rPr>
      </w:pPr>
      <w:r>
        <w:rPr>
          <w:rFonts w:ascii="Times New Roman" w:hAnsi="Times New Roman"/>
          <w:sz w:val="20"/>
        </w:rPr>
        <w:t xml:space="preserve">6.2.4 This Agreement shall not confer any rights or benefits on any persons that are not parties hereto, other than as expressly set forth in this Agreement and </w:t>
      </w:r>
      <w:r>
        <w:rPr>
          <w:rFonts w:ascii="Times New Roman" w:hAnsi="Times New Roman"/>
          <w:sz w:val="20"/>
          <w:u w:val="single"/>
        </w:rPr>
        <w:t>Section 6.2</w:t>
      </w:r>
      <w:r>
        <w:rPr>
          <w:rFonts w:ascii="Times New Roman" w:hAnsi="Times New Roman"/>
          <w:sz w:val="20"/>
        </w:rPr>
        <w:t xml:space="preserve"> hereof. </w:t>
      </w:r>
    </w:p>
    <w:p>
      <w:pPr>
        <w:pStyle w:val="TextBody"/>
        <w:spacing w:before="240" w:after="0"/>
        <w:jc w:val="left"/>
        <w:rPr>
          <w:rFonts w:ascii="Times New Roman" w:hAnsi="Times New Roman"/>
          <w:sz w:val="20"/>
        </w:rPr>
      </w:pPr>
      <w:r>
        <w:rPr>
          <w:rFonts w:ascii="Times New Roman" w:hAnsi="Times New Roman"/>
          <w:sz w:val="20"/>
        </w:rPr>
        <w:t xml:space="preserve">6.2.5 No assignment by any party hereto of such partys rights, duties and obligations hereunder shall be binding upon or obligate the Company unless and until the Company shall have received (i) written notice of such assignment as provided in </w:t>
      </w:r>
      <w:r>
        <w:rPr>
          <w:rFonts w:ascii="Times New Roman" w:hAnsi="Times New Roman"/>
          <w:sz w:val="20"/>
          <w:u w:val="single"/>
        </w:rPr>
        <w:t>Section 6.1</w:t>
      </w:r>
      <w:r>
        <w:rPr>
          <w:rFonts w:ascii="Times New Roman" w:hAnsi="Times New Roman"/>
          <w:sz w:val="20"/>
        </w:rPr>
        <w:t xml:space="preserve"> hereof and (ii) the written agreement of the assignee, in a form reasonably satisfactory to the Company, to be bound by the terms and provisions of this Agreement (which may be accomplished by an addendum or certificate of joinder to this Agreement). Any transfer or assignment made other than as provided in this </w:t>
      </w:r>
      <w:r>
        <w:rPr>
          <w:rFonts w:ascii="Times New Roman" w:hAnsi="Times New Roman"/>
          <w:sz w:val="20"/>
          <w:u w:val="single"/>
        </w:rPr>
        <w:t>Section 6.2</w:t>
      </w:r>
      <w:r>
        <w:rPr>
          <w:rFonts w:ascii="Times New Roman" w:hAnsi="Times New Roman"/>
          <w:sz w:val="20"/>
        </w:rPr>
        <w:t xml:space="preserve"> shall be null and void. </w:t>
      </w:r>
    </w:p>
    <w:p>
      <w:pPr>
        <w:pStyle w:val="TextBody"/>
        <w:spacing w:before="240" w:after="0"/>
        <w:jc w:val="left"/>
        <w:rPr>
          <w:rFonts w:ascii="Times New Roman" w:hAnsi="Times New Roman"/>
          <w:sz w:val="20"/>
        </w:rPr>
      </w:pPr>
      <w:r>
        <w:rPr>
          <w:rFonts w:ascii="Times New Roman" w:hAnsi="Times New Roman"/>
          <w:sz w:val="20"/>
        </w:rPr>
        <w:t xml:space="preserve">6.3 </w:t>
      </w:r>
      <w:r>
        <w:rPr>
          <w:rFonts w:ascii="Times New Roman" w:hAnsi="Times New Roman"/>
          <w:sz w:val="20"/>
          <w:u w:val="single"/>
        </w:rPr>
        <w:t>Severability</w:t>
      </w:r>
      <w:r>
        <w:rPr>
          <w:rFonts w:ascii="Times New Roman" w:hAnsi="Times New Roman"/>
          <w:sz w:val="20"/>
        </w:rPr>
        <w:t xml:space="preserve">. This Agreement shall be deemed severable, and the invalidity or unenforceability of any term or provision hereof shall not affect the validity or enforceability of this Agreement or of any other term or provision hereof. Furthermore, in lieu of any such invalid or unenforceable term or provision, the parties hereto intend that there shall be added as a part of this Agreement a provision as similar in terms to such invalid or unenforceable provision as may be possible that is valid and enforceable. </w:t>
      </w:r>
    </w:p>
    <w:p>
      <w:pPr>
        <w:pStyle w:val="TextBody"/>
        <w:spacing w:before="240" w:after="0"/>
        <w:jc w:val="left"/>
        <w:rPr>
          <w:rFonts w:ascii="Times New Roman" w:hAnsi="Times New Roman"/>
          <w:sz w:val="20"/>
        </w:rPr>
      </w:pPr>
      <w:r>
        <w:rPr>
          <w:rFonts w:ascii="Times New Roman" w:hAnsi="Times New Roman"/>
          <w:sz w:val="20"/>
        </w:rPr>
        <w:t xml:space="preserve">6.4 </w:t>
      </w:r>
      <w:r>
        <w:rPr>
          <w:rFonts w:ascii="Times New Roman" w:hAnsi="Times New Roman"/>
          <w:sz w:val="20"/>
          <w:u w:val="single"/>
        </w:rPr>
        <w:t>Counterparts</w:t>
      </w:r>
      <w:r>
        <w:rPr>
          <w:rFonts w:ascii="Times New Roman" w:hAnsi="Times New Roman"/>
          <w:sz w:val="20"/>
        </w:rPr>
        <w:t xml:space="preserve">. This Agreement may be executed in multiple counterparts (including facsimile or PDF counterparts), each of which shall be deemed an original, and all of which together shall constitute the same instrument, but only one of which need be produced. </w:t>
      </w:r>
    </w:p>
    <w:p>
      <w:pPr>
        <w:pStyle w:val="TextBody"/>
        <w:spacing w:before="240" w:after="0"/>
        <w:jc w:val="left"/>
        <w:rPr>
          <w:rFonts w:ascii="Times New Roman" w:hAnsi="Times New Roman"/>
          <w:sz w:val="20"/>
        </w:rPr>
      </w:pPr>
      <w:r>
        <w:rPr>
          <w:rFonts w:ascii="Times New Roman" w:hAnsi="Times New Roman"/>
          <w:sz w:val="20"/>
        </w:rPr>
        <w:t xml:space="preserve">6.5 </w:t>
      </w:r>
      <w:r>
        <w:rPr>
          <w:rFonts w:ascii="Times New Roman" w:hAnsi="Times New Roman"/>
          <w:sz w:val="20"/>
          <w:u w:val="single"/>
        </w:rPr>
        <w:t>Entire Agreement</w:t>
      </w:r>
      <w:r>
        <w:rPr>
          <w:rFonts w:ascii="Times New Roman" w:hAnsi="Times New Roman"/>
          <w:sz w:val="20"/>
        </w:rPr>
        <w:t xml:space="preserve">. This Agreement (including all agreements entered into pursuant hereto and all certificates and instruments delivered pursuant hereto and thereto) constitute the entire agreement of the parties with respect to the subject matter hereof and supersede all prior and contemporaneous agreements, representations, understandings, negotiations and discussions between the parties, whether oral or written. </w:t>
      </w:r>
    </w:p>
    <w:p>
      <w:pPr>
        <w:pStyle w:val="TextBody"/>
        <w:spacing w:before="240" w:after="0"/>
        <w:jc w:val="left"/>
        <w:rPr>
          <w:rFonts w:ascii="Times New Roman" w:hAnsi="Times New Roman"/>
          <w:sz w:val="20"/>
        </w:rPr>
      </w:pPr>
      <w:r>
        <w:rPr>
          <w:rFonts w:ascii="Times New Roman" w:hAnsi="Times New Roman"/>
          <w:sz w:val="20"/>
        </w:rPr>
        <w:t xml:space="preserve">6.6 </w:t>
      </w:r>
      <w:r>
        <w:rPr>
          <w:rFonts w:ascii="Times New Roman" w:hAnsi="Times New Roman"/>
          <w:sz w:val="20"/>
          <w:u w:val="single"/>
        </w:rPr>
        <w:t>Governing Law; Venue</w:t>
      </w:r>
      <w:r>
        <w:rPr>
          <w:rFonts w:ascii="Times New Roman" w:hAnsi="Times New Roman"/>
          <w:sz w:val="20"/>
        </w:rPr>
        <w:t xml:space="preserve">. NOTWITHSTANDING THE PLACE WHERE THIS AGREEMENT MAY BE EXECUTED BY ANY OF THE PARTIES HERETO, THE PARTIES EXPRESSLY AGREE THAT THIS AGREEMENT SHALL BE GOVERNED BY AND CONSTRUED UNDER THE LAWS OF THE STATE OF NEW YORK AS APPLIED TO AGREEMENTS AMONG NEW YORK RESIDENTS ENTERED INTO AND TO BE PERFORMED ENTIRELY WITHIN NEW YORK, WITHOUT REGARD TO THE CONFLICT OF LAW PROVISIONS OF SUCH JURISDICTION. </w:t>
      </w:r>
    </w:p>
    <w:p>
      <w:pPr>
        <w:pStyle w:val="TextBody"/>
        <w:spacing w:before="240" w:after="0"/>
        <w:jc w:val="left"/>
        <w:rPr>
          <w:rFonts w:ascii="Times New Roman" w:hAnsi="Times New Roman"/>
          <w:sz w:val="20"/>
        </w:rPr>
      </w:pPr>
      <w:r>
        <w:rPr>
          <w:rFonts w:ascii="Times New Roman" w:hAnsi="Times New Roman"/>
          <w:sz w:val="20"/>
        </w:rPr>
        <w:t xml:space="preserve">6.7 </w:t>
      </w:r>
      <w:r>
        <w:rPr>
          <w:rFonts w:ascii="Times New Roman" w:hAnsi="Times New Roman"/>
          <w:b/>
          <w:sz w:val="20"/>
          <w:u w:val="single"/>
        </w:rPr>
        <w:t>WAIVER OF TRIAL BY JURY</w:t>
      </w:r>
      <w:r>
        <w:rPr>
          <w:rFonts w:ascii="Times New Roman" w:hAnsi="Times New Roman"/>
          <w:b/>
          <w:sz w:val="20"/>
        </w:rPr>
        <w:t>. EACH PARTY HEREBY IRREVOCABLY AND UNCONDITIONALLY WAIVES THE RIGHT TO A TRIAL BY JURY IN ANY ACTION, SUIT, COUNTERCLAIM OR OTHER PROCEEDING (WHETHER BASED ON CONTRACT, TORT OR OTHERWISE) ARISING OUT OF, CONNECTED WITH OR RELATING TO THIS AGREEMENT, THE TRANSACTIONS CONTEMPLATED HEREBY, OR THE ACTIONS OF THE SPONSOR IN THE NEGOTIATION, ADMINISTRATION, PERFORMANCE OR ENFORCEMENT HEREOF</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6.8 </w:t>
      </w:r>
      <w:r>
        <w:rPr>
          <w:rFonts w:ascii="Times New Roman" w:hAnsi="Times New Roman"/>
          <w:sz w:val="20"/>
          <w:u w:val="single"/>
        </w:rPr>
        <w:t>Amendments and Modifications</w:t>
      </w:r>
      <w:r>
        <w:rPr>
          <w:rFonts w:ascii="Times New Roman" w:hAnsi="Times New Roman"/>
          <w:sz w:val="20"/>
        </w:rPr>
        <w:t xml:space="preserve">. Upon the written consent of the Company and the Holders of at least a majority in interest of the Registrable Securities at the time in question, compliance with any of the provisions, covenants and conditions set forth in this Agreement may be waived, or any of such provisions, covenants or conditions may be amended or modified; provided, however, that notwithstanding the foregoing, any amendment hereto or waiver hereof that adversely affects one Holder, solely in its capacity as a holder of the shares of the Company, in a manner that is materially different from the other Holders (in such capacity) shall require the consent of the Holder so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affected. No course of dealing between any Holder or the Company and any other party hereto or any failure or delay on the part of a Holder or the Company in exercising any rights or remedies under this Agreement shall operate as a waiver of any rights or remedies of any Holder or the Company. No single or partial exercise of any rights or remedies under this Agreement by a party shall operate as a waiver or preclude the exercise of any other rights or remedies hereunder or thereunder by such party. </w:t>
      </w:r>
    </w:p>
    <w:p>
      <w:pPr>
        <w:pStyle w:val="TextBody"/>
        <w:spacing w:before="240" w:after="0"/>
        <w:jc w:val="left"/>
        <w:rPr>
          <w:rFonts w:ascii="Times New Roman" w:hAnsi="Times New Roman"/>
          <w:sz w:val="20"/>
        </w:rPr>
      </w:pPr>
      <w:r>
        <w:rPr>
          <w:rFonts w:ascii="Times New Roman" w:hAnsi="Times New Roman"/>
          <w:sz w:val="20"/>
        </w:rPr>
        <w:t xml:space="preserve">6.9 </w:t>
      </w:r>
      <w:r>
        <w:rPr>
          <w:rFonts w:ascii="Times New Roman" w:hAnsi="Times New Roman"/>
          <w:sz w:val="20"/>
          <w:u w:val="single"/>
        </w:rPr>
        <w:t>Titles and Headings</w:t>
      </w:r>
      <w:r>
        <w:rPr>
          <w:rFonts w:ascii="Times New Roman" w:hAnsi="Times New Roman"/>
          <w:sz w:val="20"/>
        </w:rPr>
        <w:t xml:space="preserve">. Titles and headings of sections of this Agreement are for convenience only and shall not affect the construction of any provision of this Agreement. </w:t>
      </w:r>
    </w:p>
    <w:p>
      <w:pPr>
        <w:pStyle w:val="TextBody"/>
        <w:spacing w:before="240" w:after="0"/>
        <w:jc w:val="left"/>
        <w:rPr>
          <w:rFonts w:ascii="Times New Roman" w:hAnsi="Times New Roman"/>
          <w:sz w:val="20"/>
        </w:rPr>
      </w:pPr>
      <w:r>
        <w:rPr>
          <w:rFonts w:ascii="Times New Roman" w:hAnsi="Times New Roman"/>
          <w:sz w:val="20"/>
        </w:rPr>
        <w:t xml:space="preserve">6.10 </w:t>
      </w:r>
      <w:r>
        <w:rPr>
          <w:rFonts w:ascii="Times New Roman" w:hAnsi="Times New Roman"/>
          <w:sz w:val="20"/>
          <w:u w:val="single"/>
        </w:rPr>
        <w:t>Waivers and Extensions</w:t>
      </w:r>
      <w:r>
        <w:rPr>
          <w:rFonts w:ascii="Times New Roman" w:hAnsi="Times New Roman"/>
          <w:sz w:val="20"/>
        </w:rPr>
        <w:t xml:space="preserve">. Any party to this Agreement may waive any right, breach or default which such party has the right to waive, provided that such waiver will not be effective against the waiving party unless it is in writing, is signed by such party, and specifically refers to this Agreement. Waivers may be made in advance or after the right waived has arisen or the breach or default waived has occurred. Any waiver may be conditional. No waiver of any breach of any agreement or provision herein contained shall be deemed a waiver of any preceding or succeeding breach thereof nor of any other agreement or provision herein contained. No waiver or extension of time for performance of any obligations or acts shall be deemed a waiver or extension of the time for performance of any other obligations or acts. </w:t>
      </w:r>
    </w:p>
    <w:p>
      <w:pPr>
        <w:pStyle w:val="TextBody"/>
        <w:spacing w:before="240" w:after="0"/>
        <w:jc w:val="left"/>
        <w:rPr>
          <w:rFonts w:ascii="Times New Roman" w:hAnsi="Times New Roman"/>
          <w:sz w:val="20"/>
        </w:rPr>
      </w:pPr>
      <w:r>
        <w:rPr>
          <w:rFonts w:ascii="Times New Roman" w:hAnsi="Times New Roman"/>
          <w:sz w:val="20"/>
        </w:rPr>
        <w:t xml:space="preserve">6.11 </w:t>
      </w:r>
      <w:r>
        <w:rPr>
          <w:rFonts w:ascii="Times New Roman" w:hAnsi="Times New Roman"/>
          <w:sz w:val="20"/>
          <w:u w:val="single"/>
        </w:rPr>
        <w:t>Remedies Cumulative</w:t>
      </w:r>
      <w:r>
        <w:rPr>
          <w:rFonts w:ascii="Times New Roman" w:hAnsi="Times New Roman"/>
          <w:sz w:val="20"/>
        </w:rPr>
        <w:t xml:space="preserve">. In the event that the Company fails to observe or perform any covenant or agreement to be observed or performed under this Agreement, the Holders may proceed to protect and enforce its rights by suit in equity or action at law, whether for specific performance of any term contained in this Agreement or for an injunction against the breach of any such term or in aid of the exercise of any power granted in this Agreement or to enforce any other legal or equitable right, or to take any one or more of such actions, without being required to post a bond. None of the rights, powers or remedies conferred under this Agreement shall be mutually exclusive, and each such right, power or remedy shall be cumulative and in addition to any other right, power or remedy, whether conferred by this Agreement or now or hereafter available at law, in equity, by statute or otherwise. </w:t>
      </w:r>
    </w:p>
    <w:p>
      <w:pPr>
        <w:pStyle w:val="TextBody"/>
        <w:spacing w:before="240" w:after="0"/>
        <w:jc w:val="left"/>
        <w:rPr>
          <w:rFonts w:ascii="Times New Roman" w:hAnsi="Times New Roman"/>
          <w:sz w:val="20"/>
        </w:rPr>
      </w:pPr>
      <w:r>
        <w:rPr>
          <w:rFonts w:ascii="Times New Roman" w:hAnsi="Times New Roman"/>
          <w:sz w:val="20"/>
        </w:rPr>
        <w:t xml:space="preserve">6.12 </w:t>
      </w:r>
      <w:r>
        <w:rPr>
          <w:rFonts w:ascii="Times New Roman" w:hAnsi="Times New Roman"/>
          <w:sz w:val="20"/>
          <w:u w:val="single"/>
        </w:rPr>
        <w:t>Other Registration Rights</w:t>
      </w:r>
      <w:r>
        <w:rPr>
          <w:rFonts w:ascii="Times New Roman" w:hAnsi="Times New Roman"/>
          <w:sz w:val="20"/>
        </w:rPr>
        <w:t xml:space="preserve">. The Company represents and warrants that no person, other than a Holder of Registrable Securities, has any right to require the Company to register any securities of the Company for sale or to include such securities of the Company in any Registration filed by the Company for the sale of securities for its own account or for the account of any other person. Further, the Company represents and warrants that this Agreement supersedes any other registration rights agreement or agreement with similar terms and conditions and in the event of a conflict between any such agreement or agreements and this Agreement, the terms of this Agreement shall prevail. </w:t>
      </w:r>
    </w:p>
    <w:p>
      <w:pPr>
        <w:pStyle w:val="TextBody"/>
        <w:spacing w:before="240" w:after="0"/>
        <w:jc w:val="left"/>
        <w:rPr>
          <w:rFonts w:ascii="Times New Roman" w:hAnsi="Times New Roman"/>
          <w:sz w:val="20"/>
        </w:rPr>
      </w:pPr>
      <w:r>
        <w:rPr>
          <w:rFonts w:ascii="Times New Roman" w:hAnsi="Times New Roman"/>
          <w:sz w:val="20"/>
        </w:rPr>
        <w:t xml:space="preserve">6.13 </w:t>
      </w:r>
      <w:r>
        <w:rPr>
          <w:rFonts w:ascii="Times New Roman" w:hAnsi="Times New Roman"/>
          <w:sz w:val="20"/>
          <w:u w:val="single"/>
        </w:rPr>
        <w:t>Term</w:t>
      </w:r>
      <w:r>
        <w:rPr>
          <w:rFonts w:ascii="Times New Roman" w:hAnsi="Times New Roman"/>
          <w:sz w:val="20"/>
        </w:rPr>
        <w:t xml:space="preserve">. This Agreement shall terminate upon the earlier of (i) the tenth anniversary of the date of this Agreement and (ii) the date as of which no Registrable Securities remain outstanding. The provisions of Section 3.5 and </w:t>
      </w:r>
      <w:r>
        <w:rPr>
          <w:rFonts w:ascii="Times New Roman" w:hAnsi="Times New Roman"/>
          <w:i/>
          <w:sz w:val="20"/>
        </w:rPr>
        <w:t>Article IV</w:t>
      </w:r>
      <w:r>
        <w:rPr>
          <w:rFonts w:ascii="Times New Roman" w:hAnsi="Times New Roman"/>
          <w:sz w:val="20"/>
        </w:rPr>
        <w:t xml:space="preserve"> shall survive any termination. </w:t>
      </w:r>
    </w:p>
    <w:p>
      <w:pPr>
        <w:pStyle w:val="TextBody"/>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PAGES FOLLOW</w:t>
      </w:r>
      <w:r>
        <w:rPr>
          <w:rFonts w:ascii="Times New Roman" w:hAnsi="Times New Roman"/>
          <w:sz w:val="20"/>
        </w:rPr>
        <w:t xml:space="preserve">]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b/>
          <w:sz w:val="20"/>
        </w:rPr>
        <w:t xml:space="preserve">IN WITNESS WHEREOF, </w:t>
      </w:r>
      <w:r>
        <w:rPr>
          <w:rFonts w:ascii="Times New Roman" w:hAnsi="Times New Roman"/>
          <w:sz w:val="20"/>
        </w:rPr>
        <w:t xml:space="preserve">the undersigned have caused this Agreement to be executed as of the date first written above.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364"/>
        <w:gridCol w:w="60"/>
        <w:gridCol w:w="657"/>
        <w:gridCol w:w="60"/>
        <w:gridCol w:w="2941"/>
      </w:tblGrid>
      <w:tr>
        <w:trPr/>
        <w:tc>
          <w:tcPr>
            <w:tcW w:w="36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5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941" w:type="dxa"/>
            <w:tcBorders/>
            <w:shd w:fill="auto" w:val="clear"/>
            <w:vAlign w:val="center"/>
          </w:tcPr>
          <w:p>
            <w:pPr>
              <w:pStyle w:val="TableContents"/>
              <w:spacing w:before="0" w:after="283"/>
              <w:rPr>
                <w:sz w:val="4"/>
                <w:szCs w:val="4"/>
              </w:rPr>
            </w:pPr>
            <w:r>
              <w:rPr>
                <w:sz w:val="4"/>
                <w:szCs w:val="4"/>
              </w:rPr>
            </w:r>
          </w:p>
        </w:tc>
      </w:tr>
      <w:tr>
        <w:trPr/>
        <w:tc>
          <w:tcPr>
            <w:tcW w:w="4082" w:type="dxa"/>
            <w:gridSpan w:val="5"/>
            <w:tcBorders/>
            <w:shd w:fill="auto" w:val="clear"/>
          </w:tcPr>
          <w:p>
            <w:pPr>
              <w:pStyle w:val="TableContents"/>
              <w:spacing w:before="0" w:after="283"/>
              <w:rPr/>
            </w:pPr>
            <w:r>
              <w:rPr/>
              <w:t>COMPANY:</w:t>
            </w:r>
          </w:p>
        </w:tc>
      </w:tr>
      <w:tr>
        <w:trPr>
          <w:trHeight w:val="240" w:hRule="atLeast"/>
        </w:trPr>
        <w:tc>
          <w:tcPr>
            <w:tcW w:w="4082" w:type="dxa"/>
            <w:gridSpan w:val="5"/>
            <w:tcBorders/>
            <w:shd w:fill="auto" w:val="clear"/>
            <w:vAlign w:val="center"/>
          </w:tcPr>
          <w:p>
            <w:pPr>
              <w:pStyle w:val="TableContents"/>
              <w:spacing w:before="0" w:after="283"/>
              <w:rPr>
                <w:sz w:val="4"/>
                <w:szCs w:val="4"/>
              </w:rPr>
            </w:pPr>
            <w:r>
              <w:rPr>
                <w:sz w:val="4"/>
                <w:szCs w:val="4"/>
              </w:rPr>
            </w:r>
          </w:p>
        </w:tc>
      </w:tr>
      <w:tr>
        <w:trPr/>
        <w:tc>
          <w:tcPr>
            <w:tcW w:w="4082" w:type="dxa"/>
            <w:gridSpan w:val="5"/>
            <w:tcBorders/>
            <w:shd w:fill="auto" w:val="clear"/>
          </w:tcPr>
          <w:p>
            <w:pPr>
              <w:pStyle w:val="TableContents"/>
              <w:spacing w:before="0" w:after="283"/>
              <w:rPr>
                <w:b/>
              </w:rPr>
            </w:pPr>
            <w:r>
              <w:rPr>
                <w:b/>
              </w:rPr>
              <w:t>ARCLIGHT CLEAN TRANSITION CORP. ll</w:t>
            </w:r>
          </w:p>
        </w:tc>
      </w:tr>
      <w:tr>
        <w:trPr>
          <w:trHeight w:val="240" w:hRule="atLeast"/>
        </w:trPr>
        <w:tc>
          <w:tcPr>
            <w:tcW w:w="364" w:type="dxa"/>
            <w:tcBorders/>
            <w:shd w:fill="auto" w:val="clear"/>
            <w:vAlign w:val="center"/>
          </w:tcPr>
          <w:p>
            <w:pPr>
              <w:pStyle w:val="TableContents"/>
              <w:spacing w:before="0" w:after="283"/>
              <w:rPr>
                <w:sz w:val="4"/>
                <w:szCs w:val="4"/>
              </w:rPr>
            </w:pPr>
            <w:r>
              <w:rPr>
                <w:sz w:val="4"/>
                <w:szCs w:val="4"/>
              </w:rPr>
            </w:r>
          </w:p>
        </w:tc>
        <w:tc>
          <w:tcPr>
            <w:tcW w:w="3718" w:type="dxa"/>
            <w:gridSpan w:val="4"/>
            <w:tcBorders/>
            <w:shd w:fill="auto" w:val="clear"/>
            <w:vAlign w:val="center"/>
          </w:tcPr>
          <w:p>
            <w:pPr>
              <w:pStyle w:val="TableContents"/>
              <w:spacing w:before="0" w:after="283"/>
              <w:rPr>
                <w:sz w:val="4"/>
                <w:szCs w:val="4"/>
              </w:rPr>
            </w:pPr>
            <w:r>
              <w:rPr>
                <w:sz w:val="4"/>
                <w:szCs w:val="4"/>
              </w:rPr>
            </w:r>
          </w:p>
        </w:tc>
      </w:tr>
      <w:tr>
        <w:trPr/>
        <w:tc>
          <w:tcPr>
            <w:tcW w:w="364" w:type="dxa"/>
            <w:tcBorders/>
            <w:shd w:fill="auto" w:val="clear"/>
          </w:tcPr>
          <w:p>
            <w:pPr>
              <w:pStyle w:val="TableContents"/>
              <w:spacing w:before="0" w:after="283"/>
              <w:rPr/>
            </w:pPr>
            <w:r>
              <w:rPr/>
              <w:t>By:</w:t>
            </w:r>
          </w:p>
        </w:tc>
        <w:tc>
          <w:tcPr>
            <w:tcW w:w="60" w:type="dxa"/>
            <w:tcBorders/>
            <w:shd w:fill="auto" w:val="clear"/>
            <w:vAlign w:val="bottom"/>
          </w:tcPr>
          <w:p>
            <w:pPr>
              <w:pStyle w:val="TableContents"/>
              <w:spacing w:before="0" w:after="283"/>
              <w:rPr/>
            </w:pPr>
            <w:r>
              <w:rPr/>
              <w:t> </w:t>
            </w:r>
          </w:p>
        </w:tc>
        <w:tc>
          <w:tcPr>
            <w:tcW w:w="3658" w:type="dxa"/>
            <w:gridSpan w:val="3"/>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John F. Erhard</w:t>
            </w:r>
          </w:p>
        </w:tc>
      </w:tr>
      <w:tr>
        <w:trPr/>
        <w:tc>
          <w:tcPr>
            <w:tcW w:w="364"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57" w:type="dxa"/>
            <w:tcBorders/>
            <w:shd w:fill="auto" w:val="clear"/>
          </w:tcPr>
          <w:p>
            <w:pPr>
              <w:pStyle w:val="TableContents"/>
              <w:spacing w:before="0" w:after="283"/>
              <w:rPr/>
            </w:pPr>
            <w:r>
              <w:rPr/>
              <w:t>Name:</w:t>
            </w:r>
          </w:p>
        </w:tc>
        <w:tc>
          <w:tcPr>
            <w:tcW w:w="60" w:type="dxa"/>
            <w:tcBorders/>
            <w:shd w:fill="auto" w:val="clear"/>
            <w:vAlign w:val="bottom"/>
          </w:tcPr>
          <w:p>
            <w:pPr>
              <w:pStyle w:val="TableContents"/>
              <w:spacing w:before="0" w:after="283"/>
              <w:rPr/>
            </w:pPr>
            <w:r>
              <w:rPr/>
              <w:t> </w:t>
            </w:r>
          </w:p>
        </w:tc>
        <w:tc>
          <w:tcPr>
            <w:tcW w:w="2941" w:type="dxa"/>
            <w:tcBorders/>
            <w:shd w:fill="auto" w:val="clear"/>
          </w:tcPr>
          <w:p>
            <w:pPr>
              <w:pStyle w:val="TableContents"/>
              <w:spacing w:before="0" w:after="283"/>
              <w:rPr/>
            </w:pPr>
            <w:r>
              <w:rPr/>
              <w:t>John F. Erhard</w:t>
            </w:r>
          </w:p>
        </w:tc>
      </w:tr>
      <w:tr>
        <w:trPr/>
        <w:tc>
          <w:tcPr>
            <w:tcW w:w="364"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57" w:type="dxa"/>
            <w:tcBorders/>
            <w:shd w:fill="auto" w:val="clear"/>
          </w:tcPr>
          <w:p>
            <w:pPr>
              <w:pStyle w:val="TableContents"/>
              <w:spacing w:before="0" w:after="283"/>
              <w:rPr/>
            </w:pPr>
            <w:r>
              <w:rPr/>
              <w:t>Title:</w:t>
            </w:r>
          </w:p>
        </w:tc>
        <w:tc>
          <w:tcPr>
            <w:tcW w:w="60" w:type="dxa"/>
            <w:tcBorders/>
            <w:shd w:fill="auto" w:val="clear"/>
            <w:vAlign w:val="bottom"/>
          </w:tcPr>
          <w:p>
            <w:pPr>
              <w:pStyle w:val="TableContents"/>
              <w:spacing w:before="0" w:after="283"/>
              <w:rPr/>
            </w:pPr>
            <w:r>
              <w:rPr/>
              <w:t> </w:t>
            </w:r>
          </w:p>
        </w:tc>
        <w:tc>
          <w:tcPr>
            <w:tcW w:w="2941" w:type="dxa"/>
            <w:tcBorders/>
            <w:shd w:fill="auto" w:val="clear"/>
          </w:tcPr>
          <w:p>
            <w:pPr>
              <w:pStyle w:val="TableContents"/>
              <w:spacing w:before="0" w:after="283"/>
              <w:rPr/>
            </w:pPr>
            <w:r>
              <w:rPr/>
              <w:t>President and Chief Executive Officer</w:t>
            </w:r>
          </w:p>
        </w:tc>
      </w:tr>
    </w:tbl>
    <w:p>
      <w:pPr>
        <w:pStyle w:val="TextBody"/>
        <w:spacing w:before="36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Registration and Shareholder Rights Agreement</w:t>
      </w:r>
      <w:r>
        <w:rPr>
          <w:rFonts w:ascii="Times New Roman" w:hAnsi="Times New Roman"/>
          <w:sz w:val="20"/>
        </w:rPr>
        <w:t xml:space="preserve">] </w:t>
      </w:r>
      <w:r>
        <w:br w:type="page"/>
      </w:r>
    </w:p>
    <w:p>
      <w:pPr>
        <w:pStyle w:val="HorizontalLine"/>
        <w:pBdr>
          <w:bottom w:val="double" w:sz="6" w:space="0" w:color="808080"/>
        </w:pBdr>
        <w:rPr/>
      </w:pPr>
      <w:r>
        <w:rPr/>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665"/>
        <w:gridCol w:w="60"/>
        <w:gridCol w:w="3357"/>
      </w:tblGrid>
      <w:tr>
        <w:trPr/>
        <w:tc>
          <w:tcPr>
            <w:tcW w:w="66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357"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pPr>
            <w:r>
              <w:rPr/>
              <w:t>HOLDERS:</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0"/>
              <w:rPr>
                <w:rFonts w:ascii="Times New Roman" w:hAnsi="Times New Roman"/>
                <w:sz w:val="20"/>
              </w:rPr>
            </w:pPr>
            <w:r>
              <w:rPr>
                <w:rFonts w:ascii="Times New Roman" w:hAnsi="Times New Roman"/>
                <w:b/>
                <w:sz w:val="20"/>
              </w:rPr>
              <w:t xml:space="preserve">ARCLIGHT CTC HOLDINGS II, L.P., </w:t>
            </w:r>
            <w:r>
              <w:rPr>
                <w:rFonts w:ascii="Times New Roman" w:hAnsi="Times New Roman"/>
                <w:sz w:val="20"/>
              </w:rPr>
              <w:t>a Delaware limited partnership</w:t>
            </w:r>
          </w:p>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By: ACTC HOLDINGS GP II, LLC, its general partner</w:t>
            </w:r>
          </w:p>
          <w:p>
            <w:pPr>
              <w:pStyle w:val="TableContents"/>
              <w:spacing w:before="0" w:after="0"/>
              <w:rPr>
                <w:rFonts w:ascii="Times New Roman" w:hAnsi="Times New Roman"/>
                <w:sz w:val="20"/>
              </w:rPr>
            </w:pPr>
            <w:r>
              <w:rPr>
                <w:rFonts w:ascii="Times New Roman" w:hAnsi="Times New Roman"/>
                <w:sz w:val="20"/>
              </w:rPr>
              <w:t>By: ArcLight Capital Holdings, LLC, its Manager</w:t>
            </w:r>
          </w:p>
          <w:p>
            <w:pPr>
              <w:pStyle w:val="TableContents"/>
              <w:spacing w:before="0" w:after="0"/>
              <w:rPr>
                <w:rFonts w:ascii="Times New Roman" w:hAnsi="Times New Roman"/>
                <w:sz w:val="20"/>
              </w:rPr>
            </w:pPr>
            <w:r>
              <w:rPr>
                <w:rFonts w:ascii="Times New Roman" w:hAnsi="Times New Roman"/>
                <w:sz w:val="20"/>
              </w:rPr>
              <w:t>By: ACHP II, L.P., its Managing Member</w:t>
            </w:r>
          </w:p>
          <w:p>
            <w:pPr>
              <w:pStyle w:val="TableContents"/>
              <w:spacing w:before="0" w:after="20"/>
              <w:rPr>
                <w:rFonts w:ascii="Times New Roman" w:hAnsi="Times New Roman"/>
                <w:sz w:val="20"/>
              </w:rPr>
            </w:pPr>
            <w:r>
              <w:rPr>
                <w:rFonts w:ascii="Times New Roman" w:hAnsi="Times New Roman"/>
                <w:sz w:val="20"/>
              </w:rPr>
              <w:t>By: ACH GP, LLC, its General Partner</w:t>
            </w:r>
          </w:p>
        </w:tc>
      </w:tr>
      <w:tr>
        <w:trPr>
          <w:trHeight w:val="240" w:hRule="atLeast"/>
        </w:trPr>
        <w:tc>
          <w:tcPr>
            <w:tcW w:w="665" w:type="dxa"/>
            <w:tcBorders/>
            <w:shd w:fill="auto" w:val="clear"/>
            <w:vAlign w:val="center"/>
          </w:tcPr>
          <w:p>
            <w:pPr>
              <w:pStyle w:val="TableContents"/>
              <w:spacing w:before="0" w:after="283"/>
              <w:rPr>
                <w:sz w:val="4"/>
                <w:szCs w:val="4"/>
              </w:rPr>
            </w:pPr>
            <w:r>
              <w:rPr>
                <w:sz w:val="4"/>
                <w:szCs w:val="4"/>
              </w:rPr>
            </w:r>
          </w:p>
        </w:tc>
        <w:tc>
          <w:tcPr>
            <w:tcW w:w="3417" w:type="dxa"/>
            <w:gridSpan w:val="2"/>
            <w:tcBorders/>
            <w:shd w:fill="auto" w:val="clear"/>
            <w:vAlign w:val="center"/>
          </w:tcPr>
          <w:p>
            <w:pPr>
              <w:pStyle w:val="TableContents"/>
              <w:spacing w:before="0" w:after="283"/>
              <w:rPr>
                <w:sz w:val="4"/>
                <w:szCs w:val="4"/>
              </w:rPr>
            </w:pPr>
            <w:r>
              <w:rPr>
                <w:sz w:val="4"/>
                <w:szCs w:val="4"/>
              </w:rPr>
            </w:r>
          </w:p>
        </w:tc>
      </w:tr>
      <w:tr>
        <w:trPr/>
        <w:tc>
          <w:tcPr>
            <w:tcW w:w="665" w:type="dxa"/>
            <w:tcBorders/>
            <w:shd w:fill="auto" w:val="clear"/>
          </w:tcPr>
          <w:p>
            <w:pPr>
              <w:pStyle w:val="TableContents"/>
              <w:spacing w:before="0" w:after="283"/>
              <w:rPr/>
            </w:pPr>
            <w:r>
              <w:rPr/>
              <w:t>By:</w:t>
            </w:r>
          </w:p>
        </w:tc>
        <w:tc>
          <w:tcPr>
            <w:tcW w:w="60" w:type="dxa"/>
            <w:tcBorders/>
            <w:shd w:fill="auto" w:val="clear"/>
            <w:vAlign w:val="bottom"/>
          </w:tcPr>
          <w:p>
            <w:pPr>
              <w:pStyle w:val="TableContents"/>
              <w:spacing w:before="0" w:after="283"/>
              <w:rPr/>
            </w:pPr>
            <w:r>
              <w:rPr/>
              <w:t> </w:t>
            </w:r>
          </w:p>
        </w:tc>
        <w:tc>
          <w:tcPr>
            <w:tcW w:w="3357" w:type="dxa"/>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Daniel R. Revers</w:t>
            </w:r>
          </w:p>
        </w:tc>
      </w:tr>
      <w:tr>
        <w:trPr/>
        <w:tc>
          <w:tcPr>
            <w:tcW w:w="665" w:type="dxa"/>
            <w:tcBorders/>
            <w:shd w:fill="auto" w:val="clear"/>
          </w:tcPr>
          <w:p>
            <w:pPr>
              <w:pStyle w:val="TableContents"/>
              <w:spacing w:before="0" w:after="283"/>
              <w:rPr/>
            </w:pPr>
            <w:r>
              <w:rPr/>
              <w:t>Name:</w:t>
            </w:r>
          </w:p>
        </w:tc>
        <w:tc>
          <w:tcPr>
            <w:tcW w:w="60" w:type="dxa"/>
            <w:tcBorders/>
            <w:shd w:fill="auto" w:val="clear"/>
            <w:vAlign w:val="bottom"/>
          </w:tcPr>
          <w:p>
            <w:pPr>
              <w:pStyle w:val="TableContents"/>
              <w:spacing w:before="0" w:after="283"/>
              <w:rPr/>
            </w:pPr>
            <w:r>
              <w:rPr/>
              <w:t> </w:t>
            </w:r>
          </w:p>
        </w:tc>
        <w:tc>
          <w:tcPr>
            <w:tcW w:w="3357" w:type="dxa"/>
            <w:tcBorders/>
            <w:shd w:fill="auto" w:val="clear"/>
          </w:tcPr>
          <w:p>
            <w:pPr>
              <w:pStyle w:val="TableContents"/>
              <w:spacing w:before="0" w:after="283"/>
              <w:rPr/>
            </w:pPr>
            <w:r>
              <w:rPr/>
              <w:t>Daniel R. Revers</w:t>
            </w:r>
          </w:p>
        </w:tc>
      </w:tr>
      <w:tr>
        <w:trPr/>
        <w:tc>
          <w:tcPr>
            <w:tcW w:w="665" w:type="dxa"/>
            <w:tcBorders/>
            <w:shd w:fill="auto" w:val="clear"/>
          </w:tcPr>
          <w:p>
            <w:pPr>
              <w:pStyle w:val="TableContents"/>
              <w:spacing w:before="0" w:after="283"/>
              <w:rPr/>
            </w:pPr>
            <w:r>
              <w:rPr/>
              <w:t>Title:</w:t>
            </w:r>
          </w:p>
        </w:tc>
        <w:tc>
          <w:tcPr>
            <w:tcW w:w="60" w:type="dxa"/>
            <w:tcBorders/>
            <w:shd w:fill="auto" w:val="clear"/>
            <w:vAlign w:val="bottom"/>
          </w:tcPr>
          <w:p>
            <w:pPr>
              <w:pStyle w:val="TableContents"/>
              <w:spacing w:before="0" w:after="283"/>
              <w:rPr/>
            </w:pPr>
            <w:r>
              <w:rPr/>
              <w:t> </w:t>
            </w:r>
          </w:p>
        </w:tc>
        <w:tc>
          <w:tcPr>
            <w:tcW w:w="3357" w:type="dxa"/>
            <w:tcBorders/>
            <w:shd w:fill="auto" w:val="clear"/>
          </w:tcPr>
          <w:p>
            <w:pPr>
              <w:pStyle w:val="TableContents"/>
              <w:spacing w:before="0" w:after="283"/>
              <w:rPr/>
            </w:pPr>
            <w:r>
              <w:rPr/>
              <w:t>Manager</w:t>
            </w:r>
          </w:p>
        </w:tc>
      </w:tr>
    </w:tbl>
    <w:p>
      <w:pPr>
        <w:pStyle w:val="TextBody"/>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Registration and Shareholder Rights Agreement</w:t>
      </w:r>
      <w:r>
        <w:rPr>
          <w:rFonts w:ascii="Times New Roman" w:hAnsi="Times New Roman"/>
          <w:sz w:val="20"/>
        </w:rPr>
        <w:t xml:space="preserve">] </w:t>
      </w:r>
    </w:p>
    <w:p>
      <w:pPr>
        <w:pStyle w:val="TextBody"/>
        <w:spacing w:before="0" w:after="0"/>
        <w:jc w:val="left"/>
        <w:rPr/>
      </w:pPr>
      <w:r>
        <w:rPr/>
        <w:t> </w:t>
      </w:r>
      <w:r>
        <w:br w:type="page"/>
      </w:r>
    </w:p>
    <w:p>
      <w:pPr>
        <w:pStyle w:val="HorizontalLine"/>
        <w:pBdr>
          <w:bottom w:val="double" w:sz="6" w:space="0" w:color="808080"/>
        </w:pBdr>
        <w:rPr/>
      </w:pPr>
      <w:r>
        <w:rPr/>
      </w:r>
    </w:p>
    <w:tbl>
      <w:tblPr>
        <w:tblW w:w="2000" w:type="pct"/>
        <w:jc w:val="right"/>
        <w:tblInd w:w="0" w:type="dxa"/>
        <w:tblCellMar>
          <w:top w:w="0" w:type="dxa"/>
          <w:left w:w="0" w:type="dxa"/>
          <w:bottom w:w="0" w:type="dxa"/>
          <w:right w:w="0" w:type="dxa"/>
        </w:tblCellMar>
      </w:tblPr>
      <w:tblGrid>
        <w:gridCol w:w="379"/>
        <w:gridCol w:w="61"/>
        <w:gridCol w:w="3642"/>
      </w:tblGrid>
      <w:tr>
        <w:trPr/>
        <w:tc>
          <w:tcPr>
            <w:tcW w:w="379"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sz w:val="4"/>
                <w:szCs w:val="4"/>
              </w:rPr>
            </w:pPr>
            <w:r>
              <w:rPr>
                <w:sz w:val="4"/>
                <w:szCs w:val="4"/>
              </w:rPr>
            </w:r>
          </w:p>
        </w:tc>
        <w:tc>
          <w:tcPr>
            <w:tcW w:w="3642" w:type="dxa"/>
            <w:tcBorders/>
            <w:shd w:fill="auto" w:val="clear"/>
            <w:vAlign w:val="center"/>
          </w:tcPr>
          <w:p>
            <w:pPr>
              <w:pStyle w:val="TableContents"/>
              <w:spacing w:before="0" w:after="283"/>
              <w:rPr>
                <w:sz w:val="4"/>
                <w:szCs w:val="4"/>
              </w:rPr>
            </w:pPr>
            <w:r>
              <w:rPr>
                <w:sz w:val="4"/>
                <w:szCs w:val="4"/>
              </w:rPr>
            </w:r>
          </w:p>
        </w:tc>
      </w:tr>
      <w:tr>
        <w:trPr/>
        <w:tc>
          <w:tcPr>
            <w:tcW w:w="379" w:type="dxa"/>
            <w:tcBorders/>
            <w:shd w:fill="auto" w:val="clear"/>
          </w:tcPr>
          <w:p>
            <w:pPr>
              <w:pStyle w:val="TableContents"/>
              <w:spacing w:before="0" w:after="283"/>
              <w:rPr/>
            </w:pPr>
            <w:r>
              <w:rPr/>
              <w:t>By:</w:t>
            </w:r>
          </w:p>
        </w:tc>
        <w:tc>
          <w:tcPr>
            <w:tcW w:w="61" w:type="dxa"/>
            <w:tcBorders/>
            <w:shd w:fill="auto" w:val="clear"/>
            <w:vAlign w:val="bottom"/>
          </w:tcPr>
          <w:p>
            <w:pPr>
              <w:pStyle w:val="TableContents"/>
              <w:spacing w:before="0" w:after="283"/>
              <w:rPr/>
            </w:pPr>
            <w:r>
              <w:rPr/>
              <w:t> </w:t>
            </w:r>
          </w:p>
        </w:tc>
        <w:tc>
          <w:tcPr>
            <w:tcW w:w="3642" w:type="dxa"/>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Ja-Chin Audrey Lee</w:t>
            </w:r>
          </w:p>
        </w:tc>
      </w:tr>
      <w:tr>
        <w:trPr/>
        <w:tc>
          <w:tcPr>
            <w:tcW w:w="379" w:type="dxa"/>
            <w:tcBorders/>
            <w:shd w:fill="auto" w:val="clear"/>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pPr>
            <w:r>
              <w:rPr/>
              <w:t> </w:t>
            </w:r>
          </w:p>
        </w:tc>
        <w:tc>
          <w:tcPr>
            <w:tcW w:w="3642" w:type="dxa"/>
            <w:tcBorders/>
            <w:shd w:fill="auto" w:val="clear"/>
          </w:tcPr>
          <w:p>
            <w:pPr>
              <w:pStyle w:val="TableContents"/>
              <w:spacing w:before="0" w:after="283"/>
              <w:rPr/>
            </w:pPr>
            <w:r>
              <w:rPr/>
              <w:t>Ja-Chin Audrey Lee</w:t>
            </w:r>
          </w:p>
        </w:tc>
      </w:tr>
    </w:tbl>
    <w:p>
      <w:pPr>
        <w:pStyle w:val="TextBody"/>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Registration and Shareholder Rights Agreement</w:t>
      </w:r>
      <w:r>
        <w:rPr>
          <w:rFonts w:ascii="Times New Roman" w:hAnsi="Times New Roman"/>
          <w:sz w:val="20"/>
        </w:rPr>
        <w:t xml:space="preserve">] </w:t>
      </w:r>
      <w:r>
        <w:br w:type="page"/>
      </w:r>
    </w:p>
    <w:p>
      <w:pPr>
        <w:pStyle w:val="HorizontalLine"/>
        <w:pBdr>
          <w:bottom w:val="double" w:sz="6" w:space="0" w:color="808080"/>
        </w:pBdr>
        <w:rPr/>
      </w:pPr>
      <w:r>
        <w:rPr/>
      </w:r>
    </w:p>
    <w:tbl>
      <w:tblPr>
        <w:tblW w:w="2000" w:type="pct"/>
        <w:jc w:val="right"/>
        <w:tblInd w:w="0" w:type="dxa"/>
        <w:tblCellMar>
          <w:top w:w="0" w:type="dxa"/>
          <w:left w:w="0" w:type="dxa"/>
          <w:bottom w:w="0" w:type="dxa"/>
          <w:right w:w="0" w:type="dxa"/>
        </w:tblCellMar>
      </w:tblPr>
      <w:tblGrid>
        <w:gridCol w:w="376"/>
        <w:gridCol w:w="61"/>
        <w:gridCol w:w="3645"/>
      </w:tblGrid>
      <w:tr>
        <w:trPr/>
        <w:tc>
          <w:tcPr>
            <w:tcW w:w="376"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sz w:val="4"/>
                <w:szCs w:val="4"/>
              </w:rPr>
            </w:pPr>
            <w:r>
              <w:rPr>
                <w:sz w:val="4"/>
                <w:szCs w:val="4"/>
              </w:rPr>
            </w:r>
          </w:p>
        </w:tc>
        <w:tc>
          <w:tcPr>
            <w:tcW w:w="3645" w:type="dxa"/>
            <w:tcBorders/>
            <w:shd w:fill="auto" w:val="clear"/>
            <w:vAlign w:val="center"/>
          </w:tcPr>
          <w:p>
            <w:pPr>
              <w:pStyle w:val="TableContents"/>
              <w:spacing w:before="0" w:after="283"/>
              <w:rPr>
                <w:sz w:val="4"/>
                <w:szCs w:val="4"/>
              </w:rPr>
            </w:pPr>
            <w:r>
              <w:rPr>
                <w:sz w:val="4"/>
                <w:szCs w:val="4"/>
              </w:rPr>
            </w:r>
          </w:p>
        </w:tc>
      </w:tr>
      <w:tr>
        <w:trPr/>
        <w:tc>
          <w:tcPr>
            <w:tcW w:w="376" w:type="dxa"/>
            <w:tcBorders/>
            <w:shd w:fill="auto" w:val="clear"/>
          </w:tcPr>
          <w:p>
            <w:pPr>
              <w:pStyle w:val="TableContents"/>
              <w:spacing w:before="0" w:after="283"/>
              <w:rPr/>
            </w:pPr>
            <w:r>
              <w:rPr/>
              <w:t>By:</w:t>
            </w:r>
          </w:p>
        </w:tc>
        <w:tc>
          <w:tcPr>
            <w:tcW w:w="61" w:type="dxa"/>
            <w:tcBorders/>
            <w:shd w:fill="auto" w:val="clear"/>
            <w:vAlign w:val="bottom"/>
          </w:tcPr>
          <w:p>
            <w:pPr>
              <w:pStyle w:val="TableContents"/>
              <w:spacing w:before="0" w:after="283"/>
              <w:rPr/>
            </w:pPr>
            <w:r>
              <w:rPr/>
              <w:t> </w:t>
            </w:r>
          </w:p>
        </w:tc>
        <w:tc>
          <w:tcPr>
            <w:tcW w:w="3645" w:type="dxa"/>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Steven Berkenfeld</w:t>
            </w:r>
          </w:p>
        </w:tc>
      </w:tr>
      <w:tr>
        <w:trPr/>
        <w:tc>
          <w:tcPr>
            <w:tcW w:w="376" w:type="dxa"/>
            <w:tcBorders/>
            <w:shd w:fill="auto" w:val="clear"/>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pPr>
            <w:r>
              <w:rPr/>
              <w:t> </w:t>
            </w:r>
          </w:p>
        </w:tc>
        <w:tc>
          <w:tcPr>
            <w:tcW w:w="3645" w:type="dxa"/>
            <w:tcBorders/>
            <w:shd w:fill="auto" w:val="clear"/>
          </w:tcPr>
          <w:p>
            <w:pPr>
              <w:pStyle w:val="TableContents"/>
              <w:spacing w:before="0" w:after="283"/>
              <w:rPr/>
            </w:pPr>
            <w:r>
              <w:rPr/>
              <w:t>Steven Berkenfeld</w:t>
            </w:r>
          </w:p>
        </w:tc>
      </w:tr>
    </w:tbl>
    <w:p>
      <w:pPr>
        <w:pStyle w:val="TextBody"/>
        <w:spacing w:before="36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Registration and Shareholder Rights Agreement</w:t>
      </w:r>
      <w:r>
        <w:rPr>
          <w:rFonts w:ascii="Times New Roman" w:hAnsi="Times New Roman"/>
          <w:sz w:val="20"/>
        </w:rPr>
        <w:t xml:space="preserve">] </w:t>
      </w:r>
      <w:r>
        <w:br w:type="page"/>
      </w:r>
    </w:p>
    <w:p>
      <w:pPr>
        <w:pStyle w:val="HorizontalLine"/>
        <w:pBdr>
          <w:bottom w:val="double" w:sz="6" w:space="0" w:color="808080"/>
        </w:pBdr>
        <w:rPr/>
      </w:pPr>
      <w:r>
        <w:rPr/>
      </w:r>
    </w:p>
    <w:tbl>
      <w:tblPr>
        <w:tblW w:w="2000" w:type="pct"/>
        <w:jc w:val="right"/>
        <w:tblInd w:w="0" w:type="dxa"/>
        <w:tblCellMar>
          <w:top w:w="0" w:type="dxa"/>
          <w:left w:w="0" w:type="dxa"/>
          <w:bottom w:w="0" w:type="dxa"/>
          <w:right w:w="0" w:type="dxa"/>
        </w:tblCellMar>
      </w:tblPr>
      <w:tblGrid>
        <w:gridCol w:w="374"/>
        <w:gridCol w:w="60"/>
        <w:gridCol w:w="3648"/>
      </w:tblGrid>
      <w:tr>
        <w:trPr/>
        <w:tc>
          <w:tcPr>
            <w:tcW w:w="37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648" w:type="dxa"/>
            <w:tcBorders/>
            <w:shd w:fill="auto" w:val="clear"/>
            <w:vAlign w:val="center"/>
          </w:tcPr>
          <w:p>
            <w:pPr>
              <w:pStyle w:val="TableContents"/>
              <w:spacing w:before="0" w:after="283"/>
              <w:rPr>
                <w:sz w:val="4"/>
                <w:szCs w:val="4"/>
              </w:rPr>
            </w:pPr>
            <w:r>
              <w:rPr>
                <w:sz w:val="4"/>
                <w:szCs w:val="4"/>
              </w:rPr>
            </w:r>
          </w:p>
        </w:tc>
      </w:tr>
      <w:tr>
        <w:trPr/>
        <w:tc>
          <w:tcPr>
            <w:tcW w:w="374" w:type="dxa"/>
            <w:tcBorders/>
            <w:shd w:fill="auto" w:val="clear"/>
          </w:tcPr>
          <w:p>
            <w:pPr>
              <w:pStyle w:val="TableContents"/>
              <w:spacing w:before="0" w:after="283"/>
              <w:rPr/>
            </w:pPr>
            <w:r>
              <w:rPr/>
              <w:t>By:</w:t>
            </w:r>
          </w:p>
        </w:tc>
        <w:tc>
          <w:tcPr>
            <w:tcW w:w="60" w:type="dxa"/>
            <w:tcBorders/>
            <w:shd w:fill="auto" w:val="clear"/>
            <w:vAlign w:val="bottom"/>
          </w:tcPr>
          <w:p>
            <w:pPr>
              <w:pStyle w:val="TableContents"/>
              <w:spacing w:before="0" w:after="283"/>
              <w:rPr/>
            </w:pPr>
            <w:r>
              <w:rPr/>
              <w:t> </w:t>
            </w:r>
          </w:p>
        </w:tc>
        <w:tc>
          <w:tcPr>
            <w:tcW w:w="3648" w:type="dxa"/>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Brian Goncher</w:t>
            </w:r>
          </w:p>
        </w:tc>
      </w:tr>
      <w:tr>
        <w:trPr/>
        <w:tc>
          <w:tcPr>
            <w:tcW w:w="374"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48" w:type="dxa"/>
            <w:tcBorders/>
            <w:shd w:fill="auto" w:val="clear"/>
          </w:tcPr>
          <w:p>
            <w:pPr>
              <w:pStyle w:val="TableContents"/>
              <w:spacing w:before="0" w:after="283"/>
              <w:rPr/>
            </w:pPr>
            <w:r>
              <w:rPr/>
              <w:t>Brian Goncher</w:t>
            </w:r>
          </w:p>
        </w:tc>
      </w:tr>
    </w:tbl>
    <w:p>
      <w:pPr>
        <w:pStyle w:val="TextBody"/>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Registration and Shareholder Rights Agreement</w:t>
      </w:r>
      <w:r>
        <w:rPr>
          <w:rFonts w:ascii="Times New Roman" w:hAnsi="Times New Roman"/>
          <w:sz w:val="20"/>
        </w:rPr>
        <w:t xml:space="preserve">] </w:t>
      </w:r>
      <w:r>
        <w:br w:type="page"/>
      </w:r>
    </w:p>
    <w:p>
      <w:pPr>
        <w:pStyle w:val="HorizontalLine"/>
        <w:pBdr>
          <w:bottom w:val="double" w:sz="6" w:space="0" w:color="808080"/>
        </w:pBdr>
        <w:rPr/>
      </w:pPr>
      <w:r>
        <w:rPr/>
      </w:r>
    </w:p>
    <w:tbl>
      <w:tblPr>
        <w:tblW w:w="2000" w:type="pct"/>
        <w:jc w:val="right"/>
        <w:tblInd w:w="0" w:type="dxa"/>
        <w:tblCellMar>
          <w:top w:w="0" w:type="dxa"/>
          <w:left w:w="0" w:type="dxa"/>
          <w:bottom w:w="0" w:type="dxa"/>
          <w:right w:w="0" w:type="dxa"/>
        </w:tblCellMar>
      </w:tblPr>
      <w:tblGrid>
        <w:gridCol w:w="376"/>
        <w:gridCol w:w="60"/>
        <w:gridCol w:w="3646"/>
      </w:tblGrid>
      <w:tr>
        <w:trPr/>
        <w:tc>
          <w:tcPr>
            <w:tcW w:w="37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646" w:type="dxa"/>
            <w:tcBorders/>
            <w:shd w:fill="auto" w:val="clear"/>
            <w:vAlign w:val="center"/>
          </w:tcPr>
          <w:p>
            <w:pPr>
              <w:pStyle w:val="TableContents"/>
              <w:spacing w:before="0" w:after="283"/>
              <w:rPr>
                <w:sz w:val="4"/>
                <w:szCs w:val="4"/>
              </w:rPr>
            </w:pPr>
            <w:r>
              <w:rPr>
                <w:sz w:val="4"/>
                <w:szCs w:val="4"/>
              </w:rPr>
            </w:r>
          </w:p>
        </w:tc>
      </w:tr>
      <w:tr>
        <w:trPr/>
        <w:tc>
          <w:tcPr>
            <w:tcW w:w="376" w:type="dxa"/>
            <w:tcBorders/>
            <w:shd w:fill="auto" w:val="clear"/>
          </w:tcPr>
          <w:p>
            <w:pPr>
              <w:pStyle w:val="TableContents"/>
              <w:spacing w:before="0" w:after="283"/>
              <w:rPr/>
            </w:pPr>
            <w:r>
              <w:rPr/>
              <w:t>By:</w:t>
            </w:r>
          </w:p>
        </w:tc>
        <w:tc>
          <w:tcPr>
            <w:tcW w:w="60" w:type="dxa"/>
            <w:tcBorders/>
            <w:shd w:fill="auto" w:val="clear"/>
            <w:vAlign w:val="bottom"/>
          </w:tcPr>
          <w:p>
            <w:pPr>
              <w:pStyle w:val="TableContents"/>
              <w:spacing w:before="0" w:after="283"/>
              <w:rPr/>
            </w:pPr>
            <w:r>
              <w:rPr/>
              <w:t> </w:t>
            </w:r>
          </w:p>
        </w:tc>
        <w:tc>
          <w:tcPr>
            <w:tcW w:w="3646" w:type="dxa"/>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Arno Harris</w:t>
            </w:r>
          </w:p>
        </w:tc>
      </w:tr>
      <w:tr>
        <w:trPr/>
        <w:tc>
          <w:tcPr>
            <w:tcW w:w="376"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46" w:type="dxa"/>
            <w:tcBorders/>
            <w:shd w:fill="auto" w:val="clear"/>
          </w:tcPr>
          <w:p>
            <w:pPr>
              <w:pStyle w:val="TableContents"/>
              <w:spacing w:before="0" w:after="283"/>
              <w:rPr/>
            </w:pPr>
            <w:r>
              <w:rPr/>
              <w:t>Arno Harris</w:t>
            </w:r>
          </w:p>
        </w:tc>
      </w:tr>
    </w:tbl>
    <w:p>
      <w:pPr>
        <w:pStyle w:val="TextBody"/>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Registration and Shareholder Rights Agreement</w:t>
      </w:r>
      <w:r>
        <w:rPr>
          <w:rFonts w:ascii="Times New Roman" w:hAnsi="Times New Roman"/>
          <w:sz w:val="20"/>
        </w:rPr>
        <w:t xml:space="preserve">] </w:t>
      </w:r>
      <w:r>
        <w:br w:type="page"/>
      </w:r>
    </w:p>
    <w:p>
      <w:pPr>
        <w:pStyle w:val="TextBody"/>
        <w:spacing w:before="0" w:after="0"/>
        <w:jc w:val="right"/>
        <w:rPr>
          <w:rFonts w:ascii="Times New Roman" w:hAnsi="Times New Roman"/>
          <w:b/>
          <w:sz w:val="20"/>
        </w:rPr>
      </w:pPr>
      <w:bookmarkStart w:id="10" w:name="d167128dex102.htm"/>
      <w:bookmarkStart w:id="11" w:name="ksd167128dex102"/>
      <w:bookmarkEnd w:id="10"/>
      <w:bookmarkEnd w:id="11"/>
      <w:r>
        <w:rPr>
          <w:rFonts w:ascii="Times New Roman" w:hAnsi="Times New Roman"/>
          <w:b/>
          <w:sz w:val="20"/>
        </w:rPr>
        <w:t xml:space="preserve">Exhibit 10.2 </w:t>
      </w:r>
    </w:p>
    <w:p>
      <w:pPr>
        <w:pStyle w:val="TextBody"/>
        <w:spacing w:before="240" w:after="0"/>
        <w:jc w:val="center"/>
        <w:rPr>
          <w:rFonts w:ascii="Times New Roman" w:hAnsi="Times New Roman"/>
          <w:b/>
          <w:sz w:val="20"/>
        </w:rPr>
      </w:pPr>
      <w:r>
        <w:rPr>
          <w:rFonts w:ascii="Times New Roman" w:hAnsi="Times New Roman"/>
          <w:b/>
          <w:sz w:val="20"/>
        </w:rPr>
        <w:t xml:space="preserve">INVESTMENT MANAGEMENT TRUST AGREEMENT </w:t>
      </w:r>
    </w:p>
    <w:p>
      <w:pPr>
        <w:pStyle w:val="TextBody"/>
        <w:spacing w:before="240" w:after="0"/>
        <w:jc w:val="left"/>
        <w:rPr>
          <w:rFonts w:ascii="Times New Roman" w:hAnsi="Times New Roman"/>
          <w:sz w:val="20"/>
        </w:rPr>
      </w:pPr>
      <w:r>
        <w:rPr>
          <w:rFonts w:ascii="Times New Roman" w:hAnsi="Times New Roman"/>
          <w:sz w:val="20"/>
        </w:rPr>
        <w:t>This Investment Management Trust Agreement (this </w:t>
      </w:r>
      <w:r>
        <w:rPr>
          <w:rFonts w:ascii="Times New Roman" w:hAnsi="Times New Roman"/>
          <w:b/>
          <w:i/>
          <w:sz w:val="20"/>
        </w:rPr>
        <w:t>Agreement</w:t>
      </w:r>
      <w:r>
        <w:rPr>
          <w:rFonts w:ascii="Times New Roman" w:hAnsi="Times New Roman"/>
          <w:sz w:val="20"/>
        </w:rPr>
        <w:t>) is made effective as of March 25, 2021 by and between ArcLight Clean Transition Corp. II, a Cayman Islands exempted company (the </w:t>
      </w:r>
      <w:r>
        <w:rPr>
          <w:rFonts w:ascii="Times New Roman" w:hAnsi="Times New Roman"/>
          <w:b/>
          <w:i/>
          <w:sz w:val="20"/>
        </w:rPr>
        <w:t>Company</w:t>
      </w:r>
      <w:r>
        <w:rPr>
          <w:rFonts w:ascii="Times New Roman" w:hAnsi="Times New Roman"/>
          <w:sz w:val="20"/>
        </w:rPr>
        <w:t>), and Continental Stock Transfer &amp; Trust Company, a New York corporation (the </w:t>
      </w:r>
      <w:r>
        <w:rPr>
          <w:rFonts w:ascii="Times New Roman" w:hAnsi="Times New Roman"/>
          <w:b/>
          <w:i/>
          <w:sz w:val="20"/>
        </w:rPr>
        <w:t>Trustee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WHEREAS, the Companys registration statement on Form S-1, File No. 333-252730 (the </w:t>
      </w:r>
      <w:r>
        <w:rPr>
          <w:rFonts w:ascii="Times New Roman" w:hAnsi="Times New Roman"/>
          <w:b/>
          <w:i/>
          <w:sz w:val="20"/>
        </w:rPr>
        <w:t>Registration Statement</w:t>
      </w:r>
      <w:r>
        <w:rPr>
          <w:rFonts w:ascii="Times New Roman" w:hAnsi="Times New Roman"/>
          <w:sz w:val="20"/>
        </w:rPr>
        <w:t>) and prospectus (the </w:t>
      </w:r>
      <w:r>
        <w:rPr>
          <w:rFonts w:ascii="Times New Roman" w:hAnsi="Times New Roman"/>
          <w:b/>
          <w:i/>
          <w:sz w:val="20"/>
        </w:rPr>
        <w:t>Prospectus</w:t>
      </w:r>
      <w:r>
        <w:rPr>
          <w:rFonts w:ascii="Times New Roman" w:hAnsi="Times New Roman"/>
          <w:sz w:val="20"/>
        </w:rPr>
        <w:t>) for the initial public offering of the Companys units (the </w:t>
      </w:r>
      <w:r>
        <w:rPr>
          <w:rFonts w:ascii="Times New Roman" w:hAnsi="Times New Roman"/>
          <w:b/>
          <w:i/>
          <w:sz w:val="20"/>
        </w:rPr>
        <w:t>Units</w:t>
      </w:r>
      <w:r>
        <w:rPr>
          <w:rFonts w:ascii="Times New Roman" w:hAnsi="Times New Roman"/>
          <w:sz w:val="20"/>
        </w:rPr>
        <w:t>), each of which consists of one of the Companys Class A ordinary shares, par value $0.0001 per share (the </w:t>
      </w:r>
      <w:r>
        <w:rPr>
          <w:rFonts w:ascii="Times New Roman" w:hAnsi="Times New Roman"/>
          <w:b/>
          <w:i/>
          <w:sz w:val="20"/>
        </w:rPr>
        <w:t>Ordinary Shares</w:t>
      </w:r>
      <w:r>
        <w:rPr>
          <w:rFonts w:ascii="Times New Roman" w:hAnsi="Times New Roman"/>
          <w:sz w:val="20"/>
        </w:rPr>
        <w:t>), and one-fifth of one redeemable warrant, each whole warrant entitling the holder thereof to purchase one Ordinary Share (such initial public offering hereinafter referred to as the </w:t>
      </w:r>
      <w:r>
        <w:rPr>
          <w:rFonts w:ascii="Times New Roman" w:hAnsi="Times New Roman"/>
          <w:b/>
          <w:i/>
          <w:sz w:val="20"/>
        </w:rPr>
        <w:t>Offering</w:t>
      </w:r>
      <w:r>
        <w:rPr>
          <w:rFonts w:ascii="Times New Roman" w:hAnsi="Times New Roman"/>
          <w:sz w:val="20"/>
        </w:rPr>
        <w:t xml:space="preserve">), has been declared effective as of the date hereof by the U.S. Securities and Exchange Commission; and </w:t>
      </w:r>
    </w:p>
    <w:p>
      <w:pPr>
        <w:pStyle w:val="TextBody"/>
        <w:spacing w:before="240" w:after="0"/>
        <w:jc w:val="left"/>
        <w:rPr>
          <w:rFonts w:ascii="Times New Roman" w:hAnsi="Times New Roman"/>
          <w:sz w:val="20"/>
        </w:rPr>
      </w:pPr>
      <w:r>
        <w:rPr>
          <w:rFonts w:ascii="Times New Roman" w:hAnsi="Times New Roman"/>
          <w:sz w:val="20"/>
        </w:rPr>
        <w:t>WHEREAS, the Company has entered into an Underwriting Agreement (the </w:t>
      </w:r>
      <w:r>
        <w:rPr>
          <w:rFonts w:ascii="Times New Roman" w:hAnsi="Times New Roman"/>
          <w:b/>
          <w:i/>
          <w:sz w:val="20"/>
        </w:rPr>
        <w:t>Underwriting Agreement</w:t>
      </w:r>
      <w:r>
        <w:rPr>
          <w:rFonts w:ascii="Times New Roman" w:hAnsi="Times New Roman"/>
          <w:sz w:val="20"/>
        </w:rPr>
        <w:t>) with Citigroup Global Markets Inc. and Barclays Capital Inc. (the </w:t>
      </w:r>
      <w:r>
        <w:rPr>
          <w:rFonts w:ascii="Times New Roman" w:hAnsi="Times New Roman"/>
          <w:b/>
          <w:i/>
          <w:sz w:val="20"/>
        </w:rPr>
        <w:t>Underwriters</w:t>
      </w:r>
      <w:r>
        <w:rPr>
          <w:rFonts w:ascii="Times New Roman" w:hAnsi="Times New Roman"/>
          <w:sz w:val="20"/>
        </w:rPr>
        <w:t xml:space="preserve">); and </w:t>
      </w:r>
    </w:p>
    <w:p>
      <w:pPr>
        <w:pStyle w:val="TextBody"/>
        <w:spacing w:before="240" w:after="0"/>
        <w:jc w:val="left"/>
        <w:rPr>
          <w:rFonts w:ascii="Times New Roman" w:hAnsi="Times New Roman"/>
          <w:sz w:val="20"/>
        </w:rPr>
      </w:pPr>
      <w:r>
        <w:rPr>
          <w:rFonts w:ascii="Times New Roman" w:hAnsi="Times New Roman"/>
          <w:sz w:val="20"/>
        </w:rPr>
        <w:t>WHEREAS, as described in the Prospectus, $275,000,000 of the gross proceeds of the Offering and sale of the Private Placement Warrants (as defined in the Underwriting Agreement) (or $316,250,000 if the Underwriters option to purchase additional units is exercised in full) will be delivered to the Trustee to be deposited and held in a segregated trust account located at all times in the United States (the </w:t>
      </w:r>
      <w:r>
        <w:rPr>
          <w:rFonts w:ascii="Times New Roman" w:hAnsi="Times New Roman"/>
          <w:b/>
          <w:i/>
          <w:sz w:val="20"/>
        </w:rPr>
        <w:t>Trust Account</w:t>
      </w:r>
      <w:r>
        <w:rPr>
          <w:rFonts w:ascii="Times New Roman" w:hAnsi="Times New Roman"/>
          <w:sz w:val="20"/>
        </w:rPr>
        <w:t>) for the benefit of the Company and the holders of the Ordinary Shares included in the Units issued in the Offering as hereinafter provided (the amount to be delivered to the Trustee (and any interest subsequently earned thereon) is referred to herein as the </w:t>
      </w:r>
      <w:r>
        <w:rPr>
          <w:rFonts w:ascii="Times New Roman" w:hAnsi="Times New Roman"/>
          <w:b/>
          <w:i/>
          <w:sz w:val="20"/>
        </w:rPr>
        <w:t>Property</w:t>
      </w:r>
      <w:r>
        <w:rPr>
          <w:rFonts w:ascii="Times New Roman" w:hAnsi="Times New Roman"/>
          <w:i/>
          <w:sz w:val="20"/>
        </w:rPr>
        <w:t>,</w:t>
      </w:r>
      <w:r>
        <w:rPr>
          <w:rFonts w:ascii="Times New Roman" w:hAnsi="Times New Roman"/>
          <w:sz w:val="20"/>
        </w:rPr>
        <w:t> the shareholders for whose benefit the Trustee shall hold the Property will be referred to as the </w:t>
      </w:r>
      <w:r>
        <w:rPr>
          <w:rFonts w:ascii="Times New Roman" w:hAnsi="Times New Roman"/>
          <w:b/>
          <w:i/>
          <w:sz w:val="20"/>
        </w:rPr>
        <w:t>Public Shareholders</w:t>
      </w:r>
      <w:r>
        <w:rPr>
          <w:rFonts w:ascii="Times New Roman" w:hAnsi="Times New Roman"/>
          <w:i/>
          <w:sz w:val="20"/>
        </w:rPr>
        <w:t>,</w:t>
      </w:r>
      <w:r>
        <w:rPr>
          <w:rFonts w:ascii="Times New Roman" w:hAnsi="Times New Roman"/>
          <w:sz w:val="20"/>
        </w:rPr>
        <w:t> and the Public Shareholders and the Company will be referred to together as the </w:t>
      </w:r>
      <w:r>
        <w:rPr>
          <w:rFonts w:ascii="Times New Roman" w:hAnsi="Times New Roman"/>
          <w:b/>
          <w:i/>
          <w:sz w:val="20"/>
        </w:rPr>
        <w:t>Beneficiaries</w:t>
      </w:r>
      <w:r>
        <w:rPr>
          <w:rFonts w:ascii="Times New Roman" w:hAnsi="Times New Roman"/>
          <w:sz w:val="20"/>
        </w:rPr>
        <w:t xml:space="preserve">); and </w:t>
      </w:r>
    </w:p>
    <w:p>
      <w:pPr>
        <w:pStyle w:val="TextBody"/>
        <w:spacing w:before="240" w:after="0"/>
        <w:jc w:val="left"/>
        <w:rPr>
          <w:rFonts w:ascii="Times New Roman" w:hAnsi="Times New Roman"/>
          <w:sz w:val="20"/>
        </w:rPr>
      </w:pPr>
      <w:r>
        <w:rPr>
          <w:rFonts w:ascii="Times New Roman" w:hAnsi="Times New Roman"/>
          <w:sz w:val="20"/>
        </w:rPr>
        <w:t>WHEREAS, pursuant to the Underwriting Agreement, a portion of the Property equal to $9,625,000, or $11,068,750 if the Underwriters option to purchase additional units is exercised in full, is attributable to deferred underwriting discounts and commissions that will be payable by the Company to the Underwriters upon the consummation of the Business Combination (as defined below) (the </w:t>
      </w:r>
      <w:r>
        <w:rPr>
          <w:rFonts w:ascii="Times New Roman" w:hAnsi="Times New Roman"/>
          <w:b/>
          <w:i/>
          <w:sz w:val="20"/>
        </w:rPr>
        <w:t>Deferred Discount</w:t>
      </w:r>
      <w:r>
        <w:rPr>
          <w:rFonts w:ascii="Times New Roman" w:hAnsi="Times New Roman"/>
          <w:sz w:val="20"/>
        </w:rPr>
        <w:t xml:space="preserve">); and </w:t>
      </w:r>
    </w:p>
    <w:p>
      <w:pPr>
        <w:pStyle w:val="TextBody"/>
        <w:spacing w:before="240" w:after="0"/>
        <w:jc w:val="left"/>
        <w:rPr>
          <w:rFonts w:ascii="Times New Roman" w:hAnsi="Times New Roman"/>
          <w:sz w:val="20"/>
        </w:rPr>
      </w:pPr>
      <w:r>
        <w:rPr>
          <w:rFonts w:ascii="Times New Roman" w:hAnsi="Times New Roman"/>
          <w:sz w:val="20"/>
        </w:rPr>
        <w:t xml:space="preserve">WHEREAS, the Company and the Trustee desire to enter into this Agreement to set forth the terms and conditions pursuant to which the Trustee shall hold the Property. </w:t>
      </w:r>
    </w:p>
    <w:p>
      <w:pPr>
        <w:pStyle w:val="TextBody"/>
        <w:spacing w:before="240" w:after="0"/>
        <w:jc w:val="left"/>
        <w:rPr>
          <w:rFonts w:ascii="Times New Roman" w:hAnsi="Times New Roman"/>
          <w:sz w:val="20"/>
        </w:rPr>
      </w:pPr>
      <w:r>
        <w:rPr>
          <w:rFonts w:ascii="Times New Roman" w:hAnsi="Times New Roman"/>
          <w:sz w:val="20"/>
        </w:rPr>
        <w:t xml:space="preserve">NOW THEREFORE, IT IS AGREED: </w:t>
      </w:r>
    </w:p>
    <w:p>
      <w:pPr>
        <w:pStyle w:val="TextBody"/>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Agreements and Covenants of Trustee</w:t>
      </w:r>
      <w:r>
        <w:rPr>
          <w:rFonts w:ascii="Times New Roman" w:hAnsi="Times New Roman"/>
          <w:sz w:val="20"/>
        </w:rPr>
        <w:t xml:space="preserve">. The Trustee hereby agrees and covenants to: </w:t>
      </w:r>
    </w:p>
    <w:p>
      <w:pPr>
        <w:pStyle w:val="TextBody"/>
        <w:spacing w:before="240" w:after="0"/>
        <w:jc w:val="left"/>
        <w:rPr>
          <w:rFonts w:ascii="Times New Roman" w:hAnsi="Times New Roman"/>
          <w:sz w:val="20"/>
        </w:rPr>
      </w:pPr>
      <w:r>
        <w:rPr>
          <w:rFonts w:ascii="Times New Roman" w:hAnsi="Times New Roman"/>
          <w:sz w:val="20"/>
        </w:rPr>
        <w:t xml:space="preserve">(a) Hold the Property in trust for the Beneficiaries in accordance with the terms of this Agreement in the Trust Account established by the Trustee in the United States at J.P. Morgan Chase Bank, N.A. (or at another U.S. chartered commercial bank with consolidated assets of $100 billion or more) in the United States, maintained by Trustee and at a brokerage institution selected by the Trustee that is reasonably satisfactory to the Company; </w:t>
      </w:r>
    </w:p>
    <w:p>
      <w:pPr>
        <w:pStyle w:val="TextBody"/>
        <w:spacing w:before="240" w:after="0"/>
        <w:jc w:val="left"/>
        <w:rPr>
          <w:rFonts w:ascii="Times New Roman" w:hAnsi="Times New Roman"/>
          <w:sz w:val="20"/>
        </w:rPr>
      </w:pPr>
      <w:r>
        <w:rPr>
          <w:rFonts w:ascii="Times New Roman" w:hAnsi="Times New Roman"/>
          <w:sz w:val="20"/>
        </w:rPr>
        <w:t xml:space="preserve">(b) Manage, supervise and administer the Trust Account subject to the terms and conditions set forth herein; </w:t>
      </w:r>
    </w:p>
    <w:p>
      <w:pPr>
        <w:pStyle w:val="TextBody"/>
        <w:spacing w:before="240" w:after="0"/>
        <w:jc w:val="left"/>
        <w:rPr>
          <w:rFonts w:ascii="Times New Roman" w:hAnsi="Times New Roman"/>
          <w:sz w:val="20"/>
        </w:rPr>
      </w:pPr>
      <w:r>
        <w:rPr>
          <w:rFonts w:ascii="Times New Roman" w:hAnsi="Times New Roman"/>
          <w:sz w:val="20"/>
        </w:rPr>
        <w:t xml:space="preserve">(c) In a timely manner, upon the written instruction of the Company, invest and reinvest the Property in United States government securities within the meaning of Section 2(a)(16) of the Investment Company Act of 1940, as amended, having a maturity of 185 days or less, or in money market funds meeting the conditions of paragraphs (d)(1), (d)(2), (d)(3) and (d)(4) of Rule 2a-7 promulgated under the Investment Company Act of 1940, as amended (or any successor rule), which invest only in direct U.S. government treasury obligations, as determined by the Company; the Trustee may not invest in any other securities or assets, it being understood that the Trust Account will earn no interest while account funds are uninvested awaiting the Companys instructions hereunder and the Trustee may earn bank credits or other consideration;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(d) Collect and receive, when due, all principal, interest or other income arising from the Property, which shall become part of the </w:t>
      </w:r>
      <w:r>
        <w:rPr>
          <w:rFonts w:ascii="Times New Roman" w:hAnsi="Times New Roman"/>
          <w:b/>
          <w:i/>
          <w:sz w:val="20"/>
        </w:rPr>
        <w:t>Property,</w:t>
      </w:r>
      <w:r>
        <w:rPr>
          <w:rFonts w:ascii="Times New Roman" w:hAnsi="Times New Roman"/>
          <w:sz w:val="20"/>
        </w:rPr>
        <w:t xml:space="preserve"> as such term is used herein; </w:t>
      </w:r>
    </w:p>
    <w:p>
      <w:pPr>
        <w:pStyle w:val="TextBody"/>
        <w:spacing w:before="240" w:after="0"/>
        <w:jc w:val="left"/>
        <w:rPr>
          <w:rFonts w:ascii="Times New Roman" w:hAnsi="Times New Roman"/>
          <w:sz w:val="20"/>
        </w:rPr>
      </w:pPr>
      <w:r>
        <w:rPr>
          <w:rFonts w:ascii="Times New Roman" w:hAnsi="Times New Roman"/>
          <w:sz w:val="20"/>
        </w:rPr>
        <w:t xml:space="preserve">(e) Promptly notify the Company and the Underwriters of all communications received by the Trustee with respect to any Property requiring action by the Company; </w:t>
      </w:r>
    </w:p>
    <w:p>
      <w:pPr>
        <w:pStyle w:val="TextBody"/>
        <w:spacing w:before="240" w:after="0"/>
        <w:jc w:val="left"/>
        <w:rPr>
          <w:rFonts w:ascii="Times New Roman" w:hAnsi="Times New Roman"/>
          <w:sz w:val="20"/>
        </w:rPr>
      </w:pPr>
      <w:r>
        <w:rPr>
          <w:rFonts w:ascii="Times New Roman" w:hAnsi="Times New Roman"/>
          <w:sz w:val="20"/>
        </w:rPr>
        <w:t xml:space="preserve">(f) Supply any necessary information or documents as may be requested by the Company (or its authorized agents) in connection with the Companys preparation of the tax returns relating to assets held in the Trust Account; </w:t>
      </w:r>
    </w:p>
    <w:p>
      <w:pPr>
        <w:pStyle w:val="TextBody"/>
        <w:spacing w:before="240" w:after="0"/>
        <w:jc w:val="left"/>
        <w:rPr>
          <w:rFonts w:ascii="Times New Roman" w:hAnsi="Times New Roman"/>
          <w:sz w:val="20"/>
        </w:rPr>
      </w:pPr>
      <w:r>
        <w:rPr>
          <w:rFonts w:ascii="Times New Roman" w:hAnsi="Times New Roman"/>
          <w:sz w:val="20"/>
        </w:rPr>
        <w:t xml:space="preserve">(g) Participate in any plan or proceeding for protecting or enforcing any right or interest arising from the Property if, as and when instructed by the Company to do so; </w:t>
      </w:r>
    </w:p>
    <w:p>
      <w:pPr>
        <w:pStyle w:val="TextBody"/>
        <w:spacing w:before="240" w:after="0"/>
        <w:jc w:val="left"/>
        <w:rPr>
          <w:rFonts w:ascii="Times New Roman" w:hAnsi="Times New Roman"/>
          <w:sz w:val="20"/>
        </w:rPr>
      </w:pPr>
      <w:r>
        <w:rPr>
          <w:rFonts w:ascii="Times New Roman" w:hAnsi="Times New Roman"/>
          <w:sz w:val="20"/>
        </w:rPr>
        <w:t xml:space="preserve">(h) Render to the Company monthly written statements of the activities of, and amounts in, the Trust Account reflecting all receipts and disbursements of the Trust Account; </w:t>
      </w:r>
    </w:p>
    <w:p>
      <w:pPr>
        <w:pStyle w:val="TextBody"/>
        <w:spacing w:before="240" w:after="0"/>
        <w:jc w:val="left"/>
        <w:rPr>
          <w:rFonts w:ascii="Times New Roman" w:hAnsi="Times New Roman"/>
          <w:sz w:val="20"/>
        </w:rPr>
      </w:pPr>
      <w:r>
        <w:rPr>
          <w:rFonts w:ascii="Times New Roman" w:hAnsi="Times New Roman"/>
          <w:sz w:val="20"/>
        </w:rPr>
        <w:t>(i) Commence liquidation of the Trust Account only after and promptly after (x) receipt of, and only in accordance with, the terms of a letter from the Company (</w:t>
      </w:r>
      <w:r>
        <w:rPr>
          <w:rFonts w:ascii="Times New Roman" w:hAnsi="Times New Roman"/>
          <w:b/>
          <w:i/>
          <w:sz w:val="20"/>
        </w:rPr>
        <w:t>Termination Letter</w:t>
      </w:r>
      <w:r>
        <w:rPr>
          <w:rFonts w:ascii="Times New Roman" w:hAnsi="Times New Roman"/>
          <w:sz w:val="20"/>
        </w:rPr>
        <w:t xml:space="preserve">) in a form substantially similar to that attached hereto as either </w:t>
      </w:r>
      <w:r>
        <w:rPr>
          <w:rFonts w:ascii="Times New Roman" w:hAnsi="Times New Roman"/>
          <w:sz w:val="20"/>
          <w:u w:val="single"/>
        </w:rPr>
        <w:t>Exhibit A</w:t>
      </w:r>
      <w:r>
        <w:rPr>
          <w:rFonts w:ascii="Times New Roman" w:hAnsi="Times New Roman"/>
          <w:sz w:val="20"/>
        </w:rPr>
        <w:t xml:space="preserve"> or </w:t>
      </w:r>
      <w:r>
        <w:rPr>
          <w:rFonts w:ascii="Times New Roman" w:hAnsi="Times New Roman"/>
          <w:sz w:val="20"/>
          <w:u w:val="single"/>
        </w:rPr>
        <w:t>Exhibit B</w:t>
      </w:r>
      <w:r>
        <w:rPr>
          <w:rFonts w:ascii="Times New Roman" w:hAnsi="Times New Roman"/>
          <w:sz w:val="20"/>
        </w:rPr>
        <w:t xml:space="preserve">, as applicable, signed on behalf of the Company by its Chief Executive Officer, Chief Financial Officer or other authorized officer of the Company, and complete the liquidation of the Trust Account and distribute the Property in the Trust Account, including interest earned on the funds held in the Trust Account and not previously released to us to pay our income taxes (less up to $100,000 of interest to pay dissolution expenses), only as directed in the Termination Letter and the other documents referred to therein, or (y) upon the date which is the later of (1) 24 months after the closing of the Offering, or 30 months from the closing of the offering if if the Company has executed a letter of intent, agreement in principal or definitive agreement for an initial business combination within 24 months from the closing of the offering and (2) such later date as may be approved by the Companys shareholders in accordance with the Companys amended and restated memorandum and articles of association, if a Termination Letter has not been received by the Trustee prior to such date, in which case the Trust Account shall be liquidated in accordance with the procedures set forth in the Termination Letter attached as </w:t>
      </w:r>
      <w:r>
        <w:rPr>
          <w:rFonts w:ascii="Times New Roman" w:hAnsi="Times New Roman"/>
          <w:sz w:val="20"/>
          <w:u w:val="single"/>
        </w:rPr>
        <w:t>Exhibit B</w:t>
      </w:r>
      <w:r>
        <w:rPr>
          <w:rFonts w:ascii="Times New Roman" w:hAnsi="Times New Roman"/>
          <w:sz w:val="20"/>
        </w:rPr>
        <w:t xml:space="preserve"> and the Property in the Trust Account, including interest earned on the funds held in the Trust Account and not previously released to the Company to pay its income taxes (less up to $100,000 of interest to pay dissolution expenses), shall be distributed to the Public Shareholders of record as of such date; </w:t>
      </w:r>
    </w:p>
    <w:p>
      <w:pPr>
        <w:pStyle w:val="TextBody"/>
        <w:spacing w:before="240" w:after="0"/>
        <w:jc w:val="left"/>
        <w:rPr>
          <w:rFonts w:ascii="Times New Roman" w:hAnsi="Times New Roman"/>
          <w:sz w:val="20"/>
        </w:rPr>
      </w:pPr>
      <w:r>
        <w:rPr>
          <w:rFonts w:ascii="Times New Roman" w:hAnsi="Times New Roman"/>
          <w:sz w:val="20"/>
        </w:rPr>
        <w:t xml:space="preserve">(j) Upon written request from the Company, which may be given from time to time in a form substantially similar to that attached hereto as </w:t>
      </w:r>
      <w:r>
        <w:rPr>
          <w:rFonts w:ascii="Times New Roman" w:hAnsi="Times New Roman"/>
          <w:sz w:val="20"/>
          <w:u w:val="single"/>
        </w:rPr>
        <w:t>Exhibit C</w:t>
      </w:r>
      <w:r>
        <w:rPr>
          <w:rFonts w:ascii="Times New Roman" w:hAnsi="Times New Roman"/>
          <w:sz w:val="20"/>
        </w:rPr>
        <w:t xml:space="preserve"> (a </w:t>
      </w:r>
      <w:r>
        <w:rPr>
          <w:rFonts w:ascii="Times New Roman" w:hAnsi="Times New Roman"/>
          <w:b/>
          <w:i/>
          <w:sz w:val="20"/>
        </w:rPr>
        <w:t>Tax Payment Withdrawal Instruction</w:t>
      </w:r>
      <w:r>
        <w:rPr>
          <w:rFonts w:ascii="Times New Roman" w:hAnsi="Times New Roman"/>
          <w:sz w:val="20"/>
        </w:rPr>
        <w:t xml:space="preserve">), withdraw from the Trust Account and distribute to the Company the amount of interest earned on the Property requested by the Company to cover any tax obligation owed by the Company as a result of assets of the Company or interest or other income earned on the Property, which amount shall be delivered directly to the Company by electronic funds transfer or other method of prompt payment, and the Company shall forward such payment to the relevant taxing authority, so long as there is no reduction in the principal amount per share initially deposited in the Trust Account;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to the extent there is not sufficient cash in the Trust Account to pay such tax obligation, the Trustee shall liquidate such assets held in the Trust Account as shall be designated by the Company in writing to make such distribution (it being acknowledged and agreed that any such amount in excess of interest income earned on the Property shall not be payable from the Trust Account). The written request of the Company referenced above shall constitute presumptive evidence that the Company is entitled to said funds, and the Trustee shall have no responsibility to look beyond said request; </w:t>
      </w:r>
    </w:p>
    <w:p>
      <w:pPr>
        <w:pStyle w:val="TextBody"/>
        <w:spacing w:before="240" w:after="0"/>
        <w:jc w:val="left"/>
        <w:rPr>
          <w:rFonts w:ascii="Times New Roman" w:hAnsi="Times New Roman"/>
          <w:sz w:val="20"/>
        </w:rPr>
      </w:pPr>
      <w:r>
        <w:rPr>
          <w:rFonts w:ascii="Times New Roman" w:hAnsi="Times New Roman"/>
          <w:sz w:val="20"/>
        </w:rPr>
        <w:t xml:space="preserve">(k) Upon written request from the Company, which may be given from time to time in a form substantially similar to that attached hereto as </w:t>
      </w:r>
      <w:r>
        <w:rPr>
          <w:rFonts w:ascii="Times New Roman" w:hAnsi="Times New Roman"/>
          <w:sz w:val="20"/>
          <w:u w:val="single"/>
        </w:rPr>
        <w:t>Exhibit D</w:t>
      </w:r>
      <w:r>
        <w:rPr>
          <w:rFonts w:ascii="Times New Roman" w:hAnsi="Times New Roman"/>
          <w:sz w:val="20"/>
        </w:rPr>
        <w:t xml:space="preserve"> (a </w:t>
      </w:r>
      <w:r>
        <w:rPr>
          <w:rFonts w:ascii="Times New Roman" w:hAnsi="Times New Roman"/>
          <w:b/>
          <w:i/>
          <w:sz w:val="20"/>
        </w:rPr>
        <w:t>Shareholder Redemption Withdrawal Instruction</w:t>
      </w:r>
      <w:r>
        <w:rPr>
          <w:rFonts w:ascii="Times New Roman" w:hAnsi="Times New Roman"/>
          <w:sz w:val="20"/>
        </w:rPr>
        <w:t xml:space="preserve">), the Trustee shall distribute to the remitting brokers on behalf of Public Shareholders redeeming Ordinary Shares the amount required to pay redeemed Ordinary Shares from Public Shareholders pursuant to the Companys amended and restated memorandum and articles of association; and </w:t>
      </w:r>
    </w:p>
    <w:p>
      <w:pPr>
        <w:pStyle w:val="TextBody"/>
        <w:spacing w:before="240" w:after="0"/>
        <w:jc w:val="left"/>
        <w:rPr>
          <w:rFonts w:ascii="Times New Roman" w:hAnsi="Times New Roman"/>
          <w:sz w:val="20"/>
        </w:rPr>
      </w:pPr>
      <w:r>
        <w:rPr>
          <w:rFonts w:ascii="Times New Roman" w:hAnsi="Times New Roman"/>
          <w:sz w:val="20"/>
        </w:rPr>
        <w:t xml:space="preserve">(l) Not make any withdrawals or distributions from the Trust Account other than pursuant to </w:t>
      </w:r>
      <w:r>
        <w:rPr>
          <w:rFonts w:ascii="Times New Roman" w:hAnsi="Times New Roman"/>
          <w:sz w:val="20"/>
          <w:u w:val="single"/>
        </w:rPr>
        <w:t>Section 1(i)</w:t>
      </w:r>
      <w:r>
        <w:rPr>
          <w:rFonts w:ascii="Times New Roman" w:hAnsi="Times New Roman"/>
          <w:sz w:val="20"/>
        </w:rPr>
        <w:t xml:space="preserve">, </w:t>
      </w:r>
      <w:r>
        <w:rPr>
          <w:rFonts w:ascii="Times New Roman" w:hAnsi="Times New Roman"/>
          <w:sz w:val="20"/>
          <w:u w:val="single"/>
        </w:rPr>
        <w:t>(j)</w:t>
      </w:r>
      <w:r>
        <w:rPr>
          <w:rFonts w:ascii="Times New Roman" w:hAnsi="Times New Roman"/>
          <w:sz w:val="20"/>
        </w:rPr>
        <w:t xml:space="preserve"> or </w:t>
      </w:r>
      <w:r>
        <w:rPr>
          <w:rFonts w:ascii="Times New Roman" w:hAnsi="Times New Roman"/>
          <w:sz w:val="20"/>
          <w:u w:val="single"/>
        </w:rPr>
        <w:t>(k)</w:t>
      </w:r>
      <w:r>
        <w:rPr>
          <w:rFonts w:ascii="Times New Roman" w:hAnsi="Times New Roman"/>
          <w:sz w:val="20"/>
        </w:rPr>
        <w:t xml:space="preserve"> above. </w:t>
      </w:r>
    </w:p>
    <w:p>
      <w:pPr>
        <w:pStyle w:val="TextBody"/>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Agreements and Covenants of the Company</w:t>
      </w:r>
      <w:r>
        <w:rPr>
          <w:rFonts w:ascii="Times New Roman" w:hAnsi="Times New Roman"/>
          <w:sz w:val="20"/>
        </w:rPr>
        <w:t xml:space="preserve">. The Company hereby agrees and covenants to: </w:t>
      </w:r>
    </w:p>
    <w:p>
      <w:pPr>
        <w:pStyle w:val="TextBody"/>
        <w:spacing w:before="240" w:after="0"/>
        <w:jc w:val="left"/>
        <w:rPr>
          <w:rFonts w:ascii="Times New Roman" w:hAnsi="Times New Roman"/>
          <w:sz w:val="20"/>
        </w:rPr>
      </w:pPr>
      <w:r>
        <w:rPr>
          <w:rFonts w:ascii="Times New Roman" w:hAnsi="Times New Roman"/>
          <w:sz w:val="20"/>
        </w:rPr>
        <w:t xml:space="preserve">(a) Give all instructions to the Trustee hereunder in writing, signed by the Companys Chief Executive Officer, Chief Financial Officer or other authorized officer of the Company. In addition, except with respect to its duties under </w:t>
      </w:r>
      <w:r>
        <w:rPr>
          <w:rFonts w:ascii="Times New Roman" w:hAnsi="Times New Roman"/>
          <w:sz w:val="20"/>
          <w:u w:val="single"/>
        </w:rPr>
        <w:t>Sections 1(i),</w:t>
      </w:r>
      <w:r>
        <w:rPr>
          <w:rFonts w:ascii="Times New Roman" w:hAnsi="Times New Roman"/>
          <w:sz w:val="20"/>
        </w:rPr>
        <w:t xml:space="preserve"> </w:t>
      </w:r>
      <w:r>
        <w:rPr>
          <w:rFonts w:ascii="Times New Roman" w:hAnsi="Times New Roman"/>
          <w:sz w:val="20"/>
          <w:u w:val="single"/>
        </w:rPr>
        <w:t>(j)</w:t>
      </w:r>
      <w:r>
        <w:rPr>
          <w:rFonts w:ascii="Times New Roman" w:hAnsi="Times New Roman"/>
          <w:sz w:val="20"/>
        </w:rPr>
        <w:t xml:space="preserve"> or </w:t>
      </w:r>
      <w:r>
        <w:rPr>
          <w:rFonts w:ascii="Times New Roman" w:hAnsi="Times New Roman"/>
          <w:sz w:val="20"/>
          <w:u w:val="single"/>
        </w:rPr>
        <w:t>(k)</w:t>
      </w:r>
      <w:r>
        <w:rPr>
          <w:rFonts w:ascii="Times New Roman" w:hAnsi="Times New Roman"/>
          <w:sz w:val="20"/>
        </w:rPr>
        <w:t xml:space="preserve"> hereof, the Trustee shall be entitled to rely on, and shall be protected in relying on, any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verbal or telephonic advice or instruction which it, in good faith and with reasonable care, believes to be given by any one of the persons authorized above to give written instructions, provided that the Company shall promptly confirm such instructions in writing; </w:t>
      </w:r>
    </w:p>
    <w:p>
      <w:pPr>
        <w:pStyle w:val="TextBody"/>
        <w:spacing w:before="240" w:after="0"/>
        <w:jc w:val="left"/>
        <w:rPr>
          <w:rFonts w:ascii="Times New Roman" w:hAnsi="Times New Roman"/>
          <w:sz w:val="20"/>
        </w:rPr>
      </w:pPr>
      <w:r>
        <w:rPr>
          <w:rFonts w:ascii="Times New Roman" w:hAnsi="Times New Roman"/>
          <w:sz w:val="20"/>
        </w:rPr>
        <w:t xml:space="preserve">(b) Subject to </w:t>
      </w:r>
      <w:r>
        <w:rPr>
          <w:rFonts w:ascii="Times New Roman" w:hAnsi="Times New Roman"/>
          <w:sz w:val="20"/>
          <w:u w:val="single"/>
        </w:rPr>
        <w:t>Section 4</w:t>
      </w:r>
      <w:r>
        <w:rPr>
          <w:rFonts w:ascii="Times New Roman" w:hAnsi="Times New Roman"/>
          <w:sz w:val="20"/>
        </w:rPr>
        <w:t xml:space="preserve"> hereof, hold the Trustee harmless and indemnify the Trustee from and against any and all expenses, including reasonable counsel fees and disbursements, or losses suffered by the Trustee in connection with any action taken by it hereunder and in connection with any action, suit or other proceeding brought against the Trustee involving any claim, or in connection with any claim or demand, which in any way arises out of or relates to this Agreement, the services of the Trustee hereunder, or the Property or any interest earned on the Property, except for expenses and losses resulting from the Trustees gross negligence, fraud or willful misconduct. Promptly after the receipt by the Trustee of notice of demand or claim or the commencement of any action, suit or proceeding, pursuant to which the Trustee intends to seek indemnification under this </w:t>
      </w:r>
      <w:r>
        <w:rPr>
          <w:rFonts w:ascii="Times New Roman" w:hAnsi="Times New Roman"/>
          <w:sz w:val="20"/>
          <w:u w:val="single"/>
        </w:rPr>
        <w:t>Section 2(b)</w:t>
      </w:r>
      <w:r>
        <w:rPr>
          <w:rFonts w:ascii="Times New Roman" w:hAnsi="Times New Roman"/>
          <w:sz w:val="20"/>
        </w:rPr>
        <w:t>, it shall notify the Company in writing of such claim (hereinafter referred to as the </w:t>
      </w:r>
      <w:r>
        <w:rPr>
          <w:rFonts w:ascii="Times New Roman" w:hAnsi="Times New Roman"/>
          <w:b/>
          <w:i/>
          <w:sz w:val="20"/>
        </w:rPr>
        <w:t>Indemnified Claim</w:t>
      </w:r>
      <w:r>
        <w:rPr>
          <w:rFonts w:ascii="Times New Roman" w:hAnsi="Times New Roman"/>
          <w:sz w:val="20"/>
        </w:rPr>
        <w:t xml:space="preserve">). The Trustee shall have the right to conduct and manage the defense against such Indemnified Claim; </w:t>
      </w:r>
      <w:r>
        <w:rPr>
          <w:rFonts w:ascii="Times New Roman" w:hAnsi="Times New Roman"/>
          <w:sz w:val="20"/>
          <w:u w:val="single"/>
        </w:rPr>
        <w:t>provided</w:t>
      </w:r>
      <w:r>
        <w:rPr>
          <w:rFonts w:ascii="Times New Roman" w:hAnsi="Times New Roman"/>
          <w:sz w:val="20"/>
        </w:rPr>
        <w:t xml:space="preserve"> that the Trustee shall obtain the consent of the Company with respect to the selection of counsel, which consent shall not be unreasonably withheld. The Trustee may not agree to settle any Indemnified Claim without the prior written consent of the Company, which such consent shall not be unreasonably withheld. The Company may participate in such action with its own counsel; </w:t>
      </w:r>
    </w:p>
    <w:p>
      <w:pPr>
        <w:pStyle w:val="TextBody"/>
        <w:spacing w:before="240" w:after="0"/>
        <w:jc w:val="left"/>
        <w:rPr>
          <w:rFonts w:ascii="Times New Roman" w:hAnsi="Times New Roman"/>
          <w:sz w:val="20"/>
        </w:rPr>
      </w:pPr>
      <w:r>
        <w:rPr>
          <w:rFonts w:ascii="Times New Roman" w:hAnsi="Times New Roman"/>
          <w:sz w:val="20"/>
        </w:rPr>
        <w:t xml:space="preserve">(c) Pay the Trustee the fees set forth on </w:t>
      </w:r>
      <w:r>
        <w:rPr>
          <w:rFonts w:ascii="Times New Roman" w:hAnsi="Times New Roman"/>
          <w:sz w:val="20"/>
          <w:u w:val="single"/>
        </w:rPr>
        <w:t>Schedule A</w:t>
      </w:r>
      <w:r>
        <w:rPr>
          <w:rFonts w:ascii="Times New Roman" w:hAnsi="Times New Roman"/>
          <w:sz w:val="20"/>
        </w:rPr>
        <w:t xml:space="preserve"> hereto, including an initial acceptance fee, annual administration fee, and transaction processing fee which fees shall be subject to modification by the parties from time to time. It is expressly understood that the Property shall not be used to pay such fees unless and until it is distributed to the Company pursuant to </w:t>
      </w:r>
      <w:r>
        <w:rPr>
          <w:rFonts w:ascii="Times New Roman" w:hAnsi="Times New Roman"/>
          <w:sz w:val="20"/>
          <w:u w:val="single"/>
        </w:rPr>
        <w:t>Sections 1(i)</w:t>
      </w:r>
      <w:r>
        <w:rPr>
          <w:rFonts w:ascii="Times New Roman" w:hAnsi="Times New Roman"/>
          <w:sz w:val="20"/>
        </w:rPr>
        <w:t xml:space="preserve"> through </w:t>
      </w:r>
      <w:r>
        <w:rPr>
          <w:rFonts w:ascii="Times New Roman" w:hAnsi="Times New Roman"/>
          <w:sz w:val="20"/>
          <w:u w:val="single"/>
        </w:rPr>
        <w:t>1(k)</w:t>
      </w:r>
      <w:r>
        <w:rPr>
          <w:rFonts w:ascii="Times New Roman" w:hAnsi="Times New Roman"/>
          <w:sz w:val="20"/>
        </w:rPr>
        <w:t xml:space="preserve"> hereof. The Company shall pay the Trustee the initial acceptance fee and the first annual administration fee at the consummation of the Offering. The Company shall not be responsible for any other fees or charges of the Trustee except as set forth in this </w:t>
      </w:r>
      <w:r>
        <w:rPr>
          <w:rFonts w:ascii="Times New Roman" w:hAnsi="Times New Roman"/>
          <w:sz w:val="20"/>
          <w:u w:val="single"/>
        </w:rPr>
        <w:t>Section 2(c)</w:t>
      </w:r>
      <w:r>
        <w:rPr>
          <w:rFonts w:ascii="Times New Roman" w:hAnsi="Times New Roman"/>
          <w:sz w:val="20"/>
        </w:rPr>
        <w:t xml:space="preserve"> and as may be provided in </w:t>
      </w:r>
      <w:r>
        <w:rPr>
          <w:rFonts w:ascii="Times New Roman" w:hAnsi="Times New Roman"/>
          <w:sz w:val="20"/>
          <w:u w:val="single"/>
        </w:rPr>
        <w:t>Section 2(b)</w:t>
      </w:r>
      <w:r>
        <w:rPr>
          <w:rFonts w:ascii="Times New Roman" w:hAnsi="Times New Roman"/>
          <w:sz w:val="20"/>
        </w:rPr>
        <w:t xml:space="preserve"> hereof; </w:t>
      </w:r>
    </w:p>
    <w:p>
      <w:pPr>
        <w:pStyle w:val="TextBody"/>
        <w:spacing w:before="240" w:after="0"/>
        <w:jc w:val="left"/>
        <w:rPr>
          <w:rFonts w:ascii="Times New Roman" w:hAnsi="Times New Roman"/>
          <w:sz w:val="20"/>
        </w:rPr>
      </w:pPr>
      <w:r>
        <w:rPr>
          <w:rFonts w:ascii="Times New Roman" w:hAnsi="Times New Roman"/>
          <w:sz w:val="20"/>
        </w:rPr>
        <w:t>(d) In connection with any vote of the Companys shareholders regarding a merger, share exchange, asset acquisition, share purchase, reorganization or similar business combination involving the Company and one or more businesses (the </w:t>
      </w:r>
      <w:r>
        <w:rPr>
          <w:rFonts w:ascii="Times New Roman" w:hAnsi="Times New Roman"/>
          <w:b/>
          <w:i/>
          <w:sz w:val="20"/>
        </w:rPr>
        <w:t>Business Combination</w:t>
      </w:r>
      <w:r>
        <w:rPr>
          <w:rFonts w:ascii="Times New Roman" w:hAnsi="Times New Roman"/>
          <w:sz w:val="20"/>
        </w:rPr>
        <w:t xml:space="preserve">), provide to the Trustee an affidavit or certificate of the inspector of elections for the shareholder meeting verifying the vote of such shareholders regarding such Business Combination; </w:t>
      </w:r>
    </w:p>
    <w:p>
      <w:pPr>
        <w:pStyle w:val="TextBody"/>
        <w:spacing w:before="240" w:after="0"/>
        <w:jc w:val="left"/>
        <w:rPr>
          <w:rFonts w:ascii="Times New Roman" w:hAnsi="Times New Roman"/>
          <w:sz w:val="20"/>
        </w:rPr>
      </w:pPr>
      <w:r>
        <w:rPr>
          <w:rFonts w:ascii="Times New Roman" w:hAnsi="Times New Roman"/>
          <w:sz w:val="20"/>
        </w:rPr>
        <w:t xml:space="preserve">(e) Provide the Underwriters with a copy of any Termination Letter(s) and/or any other correspondence that is sent to the Trustee with respect to any proposed withdrawal from the Trust Account promptly after it issues the same; </w:t>
      </w:r>
    </w:p>
    <w:p>
      <w:pPr>
        <w:pStyle w:val="TextBody"/>
        <w:spacing w:before="240" w:after="0"/>
        <w:jc w:val="left"/>
        <w:rPr>
          <w:rFonts w:ascii="Times New Roman" w:hAnsi="Times New Roman"/>
          <w:sz w:val="20"/>
        </w:rPr>
      </w:pPr>
      <w:r>
        <w:rPr>
          <w:rFonts w:ascii="Times New Roman" w:hAnsi="Times New Roman"/>
          <w:sz w:val="20"/>
        </w:rPr>
        <w:t xml:space="preserve">(f) Unless otherwise agreed between the Company and the Underwriters, ensure that any Instruction Letter (as defined in </w:t>
      </w:r>
      <w:r>
        <w:rPr>
          <w:rFonts w:ascii="Times New Roman" w:hAnsi="Times New Roman"/>
          <w:sz w:val="20"/>
          <w:u w:val="single"/>
        </w:rPr>
        <w:t>Exhibit A</w:t>
      </w:r>
      <w:r>
        <w:rPr>
          <w:rFonts w:ascii="Times New Roman" w:hAnsi="Times New Roman"/>
          <w:sz w:val="20"/>
        </w:rPr>
        <w:t xml:space="preserve">) delivered in connection with a Termination Letter in the form of </w:t>
      </w:r>
      <w:r>
        <w:rPr>
          <w:rFonts w:ascii="Times New Roman" w:hAnsi="Times New Roman"/>
          <w:sz w:val="20"/>
          <w:u w:val="single"/>
        </w:rPr>
        <w:t>Exhibit A</w:t>
      </w:r>
      <w:r>
        <w:rPr>
          <w:rFonts w:ascii="Times New Roman" w:hAnsi="Times New Roman"/>
          <w:sz w:val="20"/>
        </w:rPr>
        <w:t xml:space="preserve"> expressly provides that the Deferred Discount is paid directly to the account or accounts directed by the Underwriters prior to any transfer of the funds held in the Trust Account to the Company or any other person; </w:t>
      </w:r>
    </w:p>
    <w:p>
      <w:pPr>
        <w:pStyle w:val="TextBody"/>
        <w:spacing w:before="240" w:after="0"/>
        <w:jc w:val="left"/>
        <w:rPr>
          <w:rFonts w:ascii="Times New Roman" w:hAnsi="Times New Roman"/>
          <w:sz w:val="20"/>
        </w:rPr>
      </w:pPr>
      <w:r>
        <w:rPr>
          <w:rFonts w:ascii="Times New Roman" w:hAnsi="Times New Roman"/>
          <w:sz w:val="20"/>
        </w:rPr>
        <w:t xml:space="preserve">(g) Instruct the Trustee to make only those distributions that are permitted under this Agreement, and refrain from instructing the Trustee to make any distributions that are not permitted under this Agreement; </w:t>
      </w:r>
    </w:p>
    <w:p>
      <w:pPr>
        <w:pStyle w:val="TextBody"/>
        <w:spacing w:before="240" w:after="0"/>
        <w:jc w:val="left"/>
        <w:rPr>
          <w:rFonts w:ascii="Times New Roman" w:hAnsi="Times New Roman"/>
          <w:sz w:val="20"/>
        </w:rPr>
      </w:pPr>
      <w:r>
        <w:rPr>
          <w:rFonts w:ascii="Times New Roman" w:hAnsi="Times New Roman"/>
          <w:sz w:val="20"/>
        </w:rPr>
        <w:t>(h) If the Company seeks to amend any provisions of its amended and restated memorandum and articles of association (A) to modify the substance or timing of the Companys obligation to provide holders of the Ordinary Shares the right to have their shares redeemed in connection with the Companys initial Business Combination or to redeem 100% of the Ordinary Shares if the Company does not complete its initial Business Combination within the time period set forth therein or (B) with respect to any other provision relating to the rights of holders of the Ordinary Shares (in each case, an </w:t>
      </w:r>
      <w:r>
        <w:rPr>
          <w:rFonts w:ascii="Times New Roman" w:hAnsi="Times New Roman"/>
          <w:b/>
          <w:i/>
          <w:sz w:val="20"/>
        </w:rPr>
        <w:t>Amendment</w:t>
      </w:r>
      <w:r>
        <w:rPr>
          <w:rFonts w:ascii="Times New Roman" w:hAnsi="Times New Roman"/>
          <w:sz w:val="20"/>
        </w:rPr>
        <w:t>), the Company will provide the Trustee with a letter (an </w:t>
      </w:r>
      <w:r>
        <w:rPr>
          <w:rFonts w:ascii="Times New Roman" w:hAnsi="Times New Roman"/>
          <w:b/>
          <w:i/>
          <w:sz w:val="20"/>
        </w:rPr>
        <w:t>Amendment Notification Letter</w:t>
      </w:r>
      <w:r>
        <w:rPr>
          <w:rFonts w:ascii="Times New Roman" w:hAnsi="Times New Roman"/>
          <w:sz w:val="20"/>
        </w:rPr>
        <w:t xml:space="preserve">) in the form of </w:t>
      </w:r>
      <w:r>
        <w:rPr>
          <w:rFonts w:ascii="Times New Roman" w:hAnsi="Times New Roman"/>
          <w:sz w:val="20"/>
          <w:u w:val="single"/>
        </w:rPr>
        <w:t>Exhibit D</w:t>
      </w:r>
      <w:r>
        <w:rPr>
          <w:rFonts w:ascii="Times New Roman" w:hAnsi="Times New Roman"/>
          <w:sz w:val="20"/>
        </w:rPr>
        <w:t xml:space="preserve"> providing instructions for the distribution of funds to Public Shareholders who exercise their redemption option in connection with such Amendment; and </w:t>
      </w:r>
    </w:p>
    <w:p>
      <w:pPr>
        <w:pStyle w:val="TextBody"/>
        <w:spacing w:before="240" w:after="0"/>
        <w:jc w:val="left"/>
        <w:rPr>
          <w:rFonts w:ascii="Times New Roman" w:hAnsi="Times New Roman"/>
          <w:sz w:val="20"/>
        </w:rPr>
      </w:pPr>
      <w:r>
        <w:rPr>
          <w:rFonts w:ascii="Times New Roman" w:hAnsi="Times New Roman"/>
          <w:sz w:val="20"/>
        </w:rPr>
        <w:t xml:space="preserve">(i) Within five (5) business days after the Underwriters exercise their option to purchase additional units (or any unexercised portion thereof) or such option to purchase additional units expires, provide the Trustee with a notice in writing of the total amount of the Deferred Discount. </w:t>
      </w:r>
    </w:p>
    <w:p>
      <w:pPr>
        <w:pStyle w:val="TextBody"/>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Limitations of Liability</w:t>
      </w:r>
      <w:r>
        <w:rPr>
          <w:rFonts w:ascii="Times New Roman" w:hAnsi="Times New Roman"/>
          <w:sz w:val="20"/>
        </w:rPr>
        <w:t xml:space="preserve">. The Trustee shall have no responsibility or liability to: </w:t>
      </w:r>
    </w:p>
    <w:p>
      <w:pPr>
        <w:pStyle w:val="TextBody"/>
        <w:spacing w:before="240" w:after="0"/>
        <w:jc w:val="left"/>
        <w:rPr>
          <w:rFonts w:ascii="Times New Roman" w:hAnsi="Times New Roman"/>
          <w:sz w:val="20"/>
        </w:rPr>
      </w:pPr>
      <w:r>
        <w:rPr>
          <w:rFonts w:ascii="Times New Roman" w:hAnsi="Times New Roman"/>
          <w:sz w:val="20"/>
        </w:rPr>
        <w:t xml:space="preserve">(a) Imply obligations, perform duties, inquire or otherwise be subject to the provisions of any agreement or document other than this Agreement and that which is expressly set forth herein;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(b) Take any action with respect to the Property, other than as directed in </w:t>
      </w:r>
      <w:r>
        <w:rPr>
          <w:rFonts w:ascii="Times New Roman" w:hAnsi="Times New Roman"/>
          <w:sz w:val="20"/>
          <w:u w:val="single"/>
        </w:rPr>
        <w:t>Section 1</w:t>
      </w:r>
      <w:r>
        <w:rPr>
          <w:rFonts w:ascii="Times New Roman" w:hAnsi="Times New Roman"/>
          <w:sz w:val="20"/>
        </w:rPr>
        <w:t xml:space="preserve"> hereof, and the Trustee shall have no liability to any third party except for liability arising out of the Trustees gross negligence, fraud or willful misconduct; </w:t>
      </w:r>
    </w:p>
    <w:p>
      <w:pPr>
        <w:pStyle w:val="TextBody"/>
        <w:spacing w:before="240" w:after="0"/>
        <w:jc w:val="left"/>
        <w:rPr>
          <w:rFonts w:ascii="Times New Roman" w:hAnsi="Times New Roman"/>
          <w:sz w:val="20"/>
        </w:rPr>
      </w:pPr>
      <w:r>
        <w:rPr>
          <w:rFonts w:ascii="Times New Roman" w:hAnsi="Times New Roman"/>
          <w:sz w:val="20"/>
        </w:rPr>
        <w:t xml:space="preserve">(c) Institute any proceeding for the collection of any principal and income arising from, or institute, appear in or defend any proceeding of any kind with respect to, any of the Property unless and until it shall have received written instructions from the Company given as provided herein to do so and the Company shall have advanced or guaranteed to it funds sufficient to pay any expenses incident thereto; </w:t>
      </w:r>
    </w:p>
    <w:p>
      <w:pPr>
        <w:pStyle w:val="TextBody"/>
        <w:spacing w:before="240" w:after="0"/>
        <w:jc w:val="left"/>
        <w:rPr>
          <w:rFonts w:ascii="Times New Roman" w:hAnsi="Times New Roman"/>
          <w:sz w:val="20"/>
        </w:rPr>
      </w:pPr>
      <w:r>
        <w:rPr>
          <w:rFonts w:ascii="Times New Roman" w:hAnsi="Times New Roman"/>
          <w:sz w:val="20"/>
        </w:rPr>
        <w:t xml:space="preserve">(d) Change the investment of any Property, other than in compliance with </w:t>
      </w:r>
      <w:r>
        <w:rPr>
          <w:rFonts w:ascii="Times New Roman" w:hAnsi="Times New Roman"/>
          <w:sz w:val="20"/>
          <w:u w:val="single"/>
        </w:rPr>
        <w:t>Section 1</w:t>
      </w:r>
      <w:r>
        <w:rPr>
          <w:rFonts w:ascii="Times New Roman" w:hAnsi="Times New Roman"/>
          <w:sz w:val="20"/>
        </w:rPr>
        <w:t xml:space="preserve"> hereof; </w:t>
      </w:r>
    </w:p>
    <w:p>
      <w:pPr>
        <w:pStyle w:val="TextBody"/>
        <w:spacing w:before="240" w:after="0"/>
        <w:jc w:val="left"/>
        <w:rPr>
          <w:rFonts w:ascii="Times New Roman" w:hAnsi="Times New Roman"/>
          <w:sz w:val="20"/>
        </w:rPr>
      </w:pPr>
      <w:r>
        <w:rPr>
          <w:rFonts w:ascii="Times New Roman" w:hAnsi="Times New Roman"/>
          <w:sz w:val="20"/>
        </w:rPr>
        <w:t xml:space="preserve">(e) Refund any depreciation in principal of any Property; </w:t>
      </w:r>
    </w:p>
    <w:p>
      <w:pPr>
        <w:pStyle w:val="TextBody"/>
        <w:spacing w:before="240" w:after="0"/>
        <w:jc w:val="left"/>
        <w:rPr>
          <w:rFonts w:ascii="Times New Roman" w:hAnsi="Times New Roman"/>
          <w:sz w:val="20"/>
        </w:rPr>
      </w:pPr>
      <w:r>
        <w:rPr>
          <w:rFonts w:ascii="Times New Roman" w:hAnsi="Times New Roman"/>
          <w:sz w:val="20"/>
        </w:rPr>
        <w:t xml:space="preserve">(f) Assume that the authority of any person designated by the Company to give instructions hereunder shall not be continuing unless provided otherwise in such designation, or unless the Company shall have delivered a written revocation of such authority to the Trustee; </w:t>
      </w:r>
    </w:p>
    <w:p>
      <w:pPr>
        <w:pStyle w:val="TextBody"/>
        <w:spacing w:before="240" w:after="0"/>
        <w:jc w:val="left"/>
        <w:rPr>
          <w:rFonts w:ascii="Times New Roman" w:hAnsi="Times New Roman"/>
          <w:sz w:val="20"/>
        </w:rPr>
      </w:pPr>
      <w:r>
        <w:rPr>
          <w:rFonts w:ascii="Times New Roman" w:hAnsi="Times New Roman"/>
          <w:sz w:val="20"/>
        </w:rPr>
        <w:t xml:space="preserve">(g) The other parties hereto or to anyone else for any action taken or omitted by it, or any action suffered by it to be taken or omitted, in good faith and in the Trustees best judgment, except for the Trustees gross negligence, fraud or willful misconduct. The Trustee may rely conclusively and shall be protected in acting upon any order, notice, demand, certificate, opinion or advice of counsel (including counsel chosen by the Trustee, which counsel may be the Companys counsel), statement, instrument, report or other paper or document (not only as to its due execution and the validity and effectiveness of its provisions, but also as to the truth and acceptability of any information therein contained) which the Trustee believes, in good faith and with reasonable care, to be genuine and to be signed or presented by the proper person or persons. The Trustee shall not be bound by any notice or demand, or any waiver, modification, termination or rescission of this Agreement or any of the terms hereof, unless evidenced by a written instrument delivered to the Trustee, signed by the proper party or parties and, if the duties or rights of the Trustee are affected, unless it shall give its prior written consent thereto; </w:t>
      </w:r>
    </w:p>
    <w:p>
      <w:pPr>
        <w:pStyle w:val="TextBody"/>
        <w:spacing w:before="240" w:after="0"/>
        <w:jc w:val="left"/>
        <w:rPr>
          <w:rFonts w:ascii="Times New Roman" w:hAnsi="Times New Roman"/>
          <w:sz w:val="20"/>
        </w:rPr>
      </w:pPr>
      <w:r>
        <w:rPr>
          <w:rFonts w:ascii="Times New Roman" w:hAnsi="Times New Roman"/>
          <w:sz w:val="20"/>
        </w:rPr>
        <w:t xml:space="preserve">(h) Verify the accuracy of the information contained in the Registration Statement; </w:t>
      </w:r>
    </w:p>
    <w:p>
      <w:pPr>
        <w:pStyle w:val="TextBody"/>
        <w:spacing w:before="240" w:after="0"/>
        <w:jc w:val="left"/>
        <w:rPr>
          <w:rFonts w:ascii="Times New Roman" w:hAnsi="Times New Roman"/>
          <w:sz w:val="20"/>
        </w:rPr>
      </w:pPr>
      <w:r>
        <w:rPr>
          <w:rFonts w:ascii="Times New Roman" w:hAnsi="Times New Roman"/>
          <w:sz w:val="20"/>
        </w:rPr>
        <w:t xml:space="preserve">(i) Provide any assurance that any Business Combination entered into by the Company or any other action taken by the Company is as contemplated by the Registration Statement; </w:t>
      </w:r>
    </w:p>
    <w:p>
      <w:pPr>
        <w:pStyle w:val="TextBody"/>
        <w:spacing w:before="240" w:after="0"/>
        <w:jc w:val="left"/>
        <w:rPr>
          <w:rFonts w:ascii="Times New Roman" w:hAnsi="Times New Roman"/>
          <w:sz w:val="20"/>
        </w:rPr>
      </w:pPr>
      <w:r>
        <w:rPr>
          <w:rFonts w:ascii="Times New Roman" w:hAnsi="Times New Roman"/>
          <w:sz w:val="20"/>
        </w:rPr>
        <w:t xml:space="preserve">(j) File information returns with respect to the Trust Account with any local, state or federal taxing authority or provide periodic written statements to the Company documenting the taxes payable by the Company, if any, relating to any interest income earned on the Property; </w:t>
      </w:r>
    </w:p>
    <w:p>
      <w:pPr>
        <w:pStyle w:val="TextBody"/>
        <w:spacing w:before="240" w:after="0"/>
        <w:jc w:val="left"/>
        <w:rPr>
          <w:rFonts w:ascii="Times New Roman" w:hAnsi="Times New Roman"/>
          <w:sz w:val="20"/>
        </w:rPr>
      </w:pPr>
      <w:r>
        <w:rPr>
          <w:rFonts w:ascii="Times New Roman" w:hAnsi="Times New Roman"/>
          <w:sz w:val="20"/>
        </w:rPr>
        <w:t xml:space="preserve">(k) Prepare, execute and file tax reports, income or other tax returns and pay any taxes with respect to any income generated by, and activities relating to, the Trust Account, regardless of whether such tax is payable by the Trust Account or the Company, including, but not limited to, income tax obligations, except pursuant to </w:t>
      </w:r>
      <w:r>
        <w:rPr>
          <w:rFonts w:ascii="Times New Roman" w:hAnsi="Times New Roman"/>
          <w:sz w:val="20"/>
          <w:u w:val="single"/>
        </w:rPr>
        <w:t>Section 1(j)</w:t>
      </w:r>
      <w:r>
        <w:rPr>
          <w:rFonts w:ascii="Times New Roman" w:hAnsi="Times New Roman"/>
          <w:sz w:val="20"/>
        </w:rPr>
        <w:t xml:space="preserve"> hereof; or </w:t>
      </w:r>
    </w:p>
    <w:p>
      <w:pPr>
        <w:pStyle w:val="TextBody"/>
        <w:spacing w:before="240" w:after="0"/>
        <w:jc w:val="left"/>
        <w:rPr>
          <w:rFonts w:ascii="Times New Roman" w:hAnsi="Times New Roman"/>
          <w:sz w:val="20"/>
        </w:rPr>
      </w:pPr>
      <w:r>
        <w:rPr>
          <w:rFonts w:ascii="Times New Roman" w:hAnsi="Times New Roman"/>
          <w:sz w:val="20"/>
        </w:rPr>
        <w:t xml:space="preserve">(l) Verify calculations, qualify or otherwise approve the Companys written requests for distributions pursuant to </w:t>
      </w:r>
      <w:r>
        <w:rPr>
          <w:rFonts w:ascii="Times New Roman" w:hAnsi="Times New Roman"/>
          <w:sz w:val="20"/>
          <w:u w:val="single"/>
        </w:rPr>
        <w:t>Sections 1(i)</w:t>
      </w:r>
      <w:r>
        <w:rPr>
          <w:rFonts w:ascii="Times New Roman" w:hAnsi="Times New Roman"/>
          <w:sz w:val="20"/>
        </w:rPr>
        <w:t xml:space="preserve">, </w:t>
      </w:r>
      <w:r>
        <w:rPr>
          <w:rFonts w:ascii="Times New Roman" w:hAnsi="Times New Roman"/>
          <w:sz w:val="20"/>
          <w:u w:val="single"/>
        </w:rPr>
        <w:t xml:space="preserve">1(j) </w:t>
      </w:r>
      <w:r>
        <w:rPr>
          <w:rFonts w:ascii="Times New Roman" w:hAnsi="Times New Roman"/>
          <w:sz w:val="20"/>
        </w:rPr>
        <w:t xml:space="preserve">or </w:t>
      </w:r>
      <w:r>
        <w:rPr>
          <w:rFonts w:ascii="Times New Roman" w:hAnsi="Times New Roman"/>
          <w:sz w:val="20"/>
          <w:u w:val="single"/>
        </w:rPr>
        <w:t>1(k)</w:t>
      </w:r>
      <w:r>
        <w:rPr>
          <w:rFonts w:ascii="Times New Roman" w:hAnsi="Times New Roman"/>
          <w:sz w:val="20"/>
        </w:rPr>
        <w:t xml:space="preserve"> hereof. </w:t>
      </w:r>
    </w:p>
    <w:p>
      <w:pPr>
        <w:pStyle w:val="TextBody"/>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Trust Account Waiver</w:t>
      </w:r>
      <w:r>
        <w:rPr>
          <w:rFonts w:ascii="Times New Roman" w:hAnsi="Times New Roman"/>
          <w:sz w:val="20"/>
        </w:rPr>
        <w:t>. The Trustee has no right of set-off or any right, title, interest or claim of any kind (</w:t>
      </w:r>
      <w:r>
        <w:rPr>
          <w:rFonts w:ascii="Times New Roman" w:hAnsi="Times New Roman"/>
          <w:b/>
          <w:i/>
          <w:sz w:val="20"/>
        </w:rPr>
        <w:t>Claim</w:t>
      </w:r>
      <w:r>
        <w:rPr>
          <w:rFonts w:ascii="Times New Roman" w:hAnsi="Times New Roman"/>
          <w:sz w:val="20"/>
        </w:rPr>
        <w:t xml:space="preserve">) to, or to any monies in, the Trust Account, and hereby irrevocably waives any Claim to, or to any monies in, the Trust Account that it may have now or in the future. In the event the Trustee has any Claim against the Company under this Agreement, including, without limitation, under </w:t>
      </w:r>
      <w:r>
        <w:rPr>
          <w:rFonts w:ascii="Times New Roman" w:hAnsi="Times New Roman"/>
          <w:sz w:val="20"/>
          <w:u w:val="single"/>
        </w:rPr>
        <w:t>Section 2(b)</w:t>
      </w:r>
      <w:r>
        <w:rPr>
          <w:rFonts w:ascii="Times New Roman" w:hAnsi="Times New Roman"/>
          <w:sz w:val="20"/>
        </w:rPr>
        <w:t xml:space="preserve"> or </w:t>
      </w:r>
      <w:r>
        <w:rPr>
          <w:rFonts w:ascii="Times New Roman" w:hAnsi="Times New Roman"/>
          <w:sz w:val="20"/>
          <w:u w:val="single"/>
        </w:rPr>
        <w:t>Section 2(c)</w:t>
      </w:r>
      <w:r>
        <w:rPr>
          <w:rFonts w:ascii="Times New Roman" w:hAnsi="Times New Roman"/>
          <w:sz w:val="20"/>
        </w:rPr>
        <w:t xml:space="preserve"> hereof, the Trustee shall pursue such Claim solely against the Company and its assets outside the Trust Account and not against the Property or any monies in the Trust Account. </w:t>
      </w:r>
    </w:p>
    <w:p>
      <w:pPr>
        <w:pStyle w:val="TextBody"/>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Termination</w:t>
      </w:r>
      <w:r>
        <w:rPr>
          <w:rFonts w:ascii="Times New Roman" w:hAnsi="Times New Roman"/>
          <w:sz w:val="20"/>
        </w:rPr>
        <w:t xml:space="preserve">. This Agreement shall terminate as follows: </w:t>
      </w:r>
    </w:p>
    <w:p>
      <w:pPr>
        <w:pStyle w:val="TextBody"/>
        <w:spacing w:before="240" w:after="0"/>
        <w:jc w:val="left"/>
        <w:rPr>
          <w:rFonts w:ascii="Times New Roman" w:hAnsi="Times New Roman"/>
          <w:sz w:val="20"/>
        </w:rPr>
      </w:pPr>
      <w:r>
        <w:rPr>
          <w:rFonts w:ascii="Times New Roman" w:hAnsi="Times New Roman"/>
          <w:sz w:val="20"/>
        </w:rPr>
        <w:t xml:space="preserve">(a) If the Trustee gives written notice to the Company that it desires to resign under this Agreement, the Company shall use its reasonable efforts to locate a successor trustee, pending which the Trustee shall continue to act in accordance with this Agreement. At such time that the Company notifies the Trustee that a successor trustee has been appointed by the Company and has agreed to become subject to the terms of this Agreement, the Trustee shall transfer the management of the Trust Account to the successor trustee, including but not limited to the transfer of copies of the reports and statements relating to the Trust Account, whereupon this Agreement shall terminate;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the event that the Company does not locate a successor trustee within ninety (90) days of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receipt of the resignation notice from the Trustee, the Trustee may submit an application to have the Property deposited with any court in the State of New York or with the United States District Court for the Southern District of New York and upon such deposit, the Trustee shall be immune from any liability whatsoever; or </w:t>
      </w:r>
    </w:p>
    <w:p>
      <w:pPr>
        <w:pStyle w:val="TextBody"/>
        <w:spacing w:before="240" w:after="0"/>
        <w:jc w:val="left"/>
        <w:rPr>
          <w:rFonts w:ascii="Times New Roman" w:hAnsi="Times New Roman"/>
          <w:sz w:val="20"/>
        </w:rPr>
      </w:pPr>
      <w:r>
        <w:rPr>
          <w:rFonts w:ascii="Times New Roman" w:hAnsi="Times New Roman"/>
          <w:sz w:val="20"/>
        </w:rPr>
        <w:t xml:space="preserve">(b) At such time that the Trustee has completed the liquidation of the Trust Account and its obligations in accordance with the provisions of </w:t>
      </w:r>
      <w:r>
        <w:rPr>
          <w:rFonts w:ascii="Times New Roman" w:hAnsi="Times New Roman"/>
          <w:sz w:val="20"/>
          <w:u w:val="single"/>
        </w:rPr>
        <w:t>Section 1(i)</w:t>
      </w:r>
      <w:r>
        <w:rPr>
          <w:rFonts w:ascii="Times New Roman" w:hAnsi="Times New Roman"/>
          <w:sz w:val="20"/>
        </w:rPr>
        <w:t xml:space="preserve"> hereof and distributed the Property in accordance with the provisions of the Termination Letter, this Agreement shall terminate except with respect to </w:t>
      </w:r>
      <w:r>
        <w:rPr>
          <w:rFonts w:ascii="Times New Roman" w:hAnsi="Times New Roman"/>
          <w:sz w:val="20"/>
          <w:u w:val="single"/>
        </w:rPr>
        <w:t>Section 2(b)</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Miscellaneous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(a) The Company and the Trustee each acknowledge that the Trustee will follow the security procedures set forth below with respect to funds transferred from the Trust Account. The Company and the Trustee will each restrict access to confidential information relating to such security procedures to authorized persons. Each party must notify the other party immediately if it has reason to believe unauthorized persons may have obtained access to such confidential information, or of any change in its authorized personnel. In executing funds transfers, the Trustee shall rely upon all information supplied to it by the Company, including, account names, account numbers, and all other identifying information relating to a Beneficiary, Beneficiarys bank or intermediary bank. Except for any liability arising out of the Trustees gross negligence, fraud or willful misconduct, the Trustee shall not be liable for any loss, liability or expense resulting from any error in the information or transmission of the funds. </w:t>
      </w:r>
    </w:p>
    <w:p>
      <w:pPr>
        <w:pStyle w:val="TextBody"/>
        <w:spacing w:before="240" w:after="0"/>
        <w:jc w:val="left"/>
        <w:rPr>
          <w:rFonts w:ascii="Times New Roman" w:hAnsi="Times New Roman"/>
          <w:sz w:val="20"/>
        </w:rPr>
      </w:pPr>
      <w:r>
        <w:rPr>
          <w:rFonts w:ascii="Times New Roman" w:hAnsi="Times New Roman"/>
          <w:sz w:val="20"/>
        </w:rPr>
        <w:t xml:space="preserve">(b) This Agreement shall be governed by and construed and enforced in accordance with the laws of the State of New York, without giving effect to conflicts of law principles that would result in the application of the substantive laws of another jurisdiction. This Agreement may be executed in several original or facsimile counterparts, each one of which shall constitute an original, and together shall constitute but one instrument. </w:t>
      </w:r>
    </w:p>
    <w:p>
      <w:pPr>
        <w:pStyle w:val="TextBody"/>
        <w:spacing w:before="240" w:after="0"/>
        <w:jc w:val="left"/>
        <w:rPr>
          <w:rFonts w:ascii="Times New Roman" w:hAnsi="Times New Roman"/>
          <w:sz w:val="20"/>
        </w:rPr>
      </w:pPr>
      <w:r>
        <w:rPr>
          <w:rFonts w:ascii="Times New Roman" w:hAnsi="Times New Roman"/>
          <w:sz w:val="20"/>
        </w:rPr>
        <w:t xml:space="preserve">(c) This Agreement contains the entire agreement and understanding of the parties hereto with respect to the subject matter hereof. Except for </w:t>
      </w:r>
      <w:r>
        <w:rPr>
          <w:rFonts w:ascii="Times New Roman" w:hAnsi="Times New Roman"/>
          <w:sz w:val="20"/>
          <w:u w:val="single"/>
        </w:rPr>
        <w:t>Section 1(i)</w:t>
      </w:r>
      <w:r>
        <w:rPr>
          <w:rFonts w:ascii="Times New Roman" w:hAnsi="Times New Roman"/>
          <w:sz w:val="20"/>
        </w:rPr>
        <w:t xml:space="preserve">, </w:t>
      </w:r>
      <w:r>
        <w:rPr>
          <w:rFonts w:ascii="Times New Roman" w:hAnsi="Times New Roman"/>
          <w:sz w:val="20"/>
          <w:u w:val="single"/>
        </w:rPr>
        <w:t>1(j)</w:t>
      </w:r>
      <w:r>
        <w:rPr>
          <w:rFonts w:ascii="Times New Roman" w:hAnsi="Times New Roman"/>
          <w:sz w:val="20"/>
        </w:rPr>
        <w:t xml:space="preserve"> and </w:t>
      </w:r>
      <w:r>
        <w:rPr>
          <w:rFonts w:ascii="Times New Roman" w:hAnsi="Times New Roman"/>
          <w:sz w:val="20"/>
          <w:u w:val="single"/>
        </w:rPr>
        <w:t>1(k)</w:t>
      </w:r>
      <w:r>
        <w:rPr>
          <w:rFonts w:ascii="Times New Roman" w:hAnsi="Times New Roman"/>
          <w:sz w:val="20"/>
        </w:rPr>
        <w:t xml:space="preserve"> hereof (which sections may not be modified, amended or deleted without the affirmative vote of sixty-five percent (65%) of the then outstanding Ordinary Shares and Class B ordinary shares, par value $0.0001 per share, of the Company, voting together as a single class; </w:t>
      </w:r>
      <w:r>
        <w:rPr>
          <w:rFonts w:ascii="Times New Roman" w:hAnsi="Times New Roman"/>
          <w:sz w:val="20"/>
          <w:u w:val="single"/>
        </w:rPr>
        <w:t>provided that</w:t>
      </w:r>
      <w:r>
        <w:rPr>
          <w:rFonts w:ascii="Times New Roman" w:hAnsi="Times New Roman"/>
          <w:sz w:val="20"/>
        </w:rPr>
        <w:t xml:space="preserve"> no such amendment will affect any Public Shareholder who has properly elected to redeem his or her Ordinary Shares in connection with a shareholder vote to amend this Agreement to modify the substance or timing of the Companys obligation to provide for the redemption of the Public Shares in connection with an initial Business Combination or an Amendment or to redeem 100% of its Ordinary Shares if the Company does not complete its initial Business Combination within the time frame specified in the Companys amended and restated memorandum and articles of association), this Agreement or any provision hereof may only be changed, amended or modified (other than to correct a typographical error) by a writing signed by each of the parties hereto. </w:t>
      </w:r>
    </w:p>
    <w:p>
      <w:pPr>
        <w:pStyle w:val="TextBody"/>
        <w:spacing w:before="240" w:after="0"/>
        <w:jc w:val="left"/>
        <w:rPr>
          <w:rFonts w:ascii="Times New Roman" w:hAnsi="Times New Roman"/>
          <w:sz w:val="20"/>
        </w:rPr>
      </w:pPr>
      <w:r>
        <w:rPr>
          <w:rFonts w:ascii="Times New Roman" w:hAnsi="Times New Roman"/>
          <w:sz w:val="20"/>
        </w:rPr>
        <w:t xml:space="preserve">(d) The parties hereto consent to the jurisdiction and venue of any state or federal court located in the City of New York, State of New York, for purposes of resolving any disputes hereunder. AS TO ANY CLAIM, CROSS-CLAIM OR COUNTERCLAIM IN ANY WAY RELATING TO THIS AGREEMENT, EACH PARTY WAIVES THE RIGHT TO TRIAL BY JURY. </w:t>
      </w:r>
    </w:p>
    <w:p>
      <w:pPr>
        <w:pStyle w:val="TextBody"/>
        <w:spacing w:before="240" w:after="0"/>
        <w:jc w:val="left"/>
        <w:rPr>
          <w:rFonts w:ascii="Times New Roman" w:hAnsi="Times New Roman"/>
          <w:sz w:val="20"/>
        </w:rPr>
      </w:pPr>
      <w:r>
        <w:rPr>
          <w:rFonts w:ascii="Times New Roman" w:hAnsi="Times New Roman"/>
          <w:sz w:val="20"/>
        </w:rPr>
        <w:t xml:space="preserve">(e) Any notice, consent or request to be given in connection with any of the terms or provisions of this Agreement shall be in writing and shall be sent by express mail or similar private courier service, by certified mail (return receipt requested), by hand delivery or by electronic mail: </w:t>
      </w:r>
    </w:p>
    <w:p>
      <w:pPr>
        <w:pStyle w:val="TextBody"/>
        <w:spacing w:before="240" w:after="0"/>
        <w:jc w:val="left"/>
        <w:rPr>
          <w:rFonts w:ascii="Times New Roman" w:hAnsi="Times New Roman"/>
          <w:sz w:val="20"/>
        </w:rPr>
      </w:pPr>
      <w:r>
        <w:rPr>
          <w:rFonts w:ascii="Times New Roman" w:hAnsi="Times New Roman"/>
          <w:sz w:val="20"/>
        </w:rPr>
        <w:t xml:space="preserve">if to the Trustee, to: </w:t>
      </w:r>
    </w:p>
    <w:p>
      <w:pPr>
        <w:pStyle w:val="TextBody"/>
        <w:spacing w:before="240" w:after="0"/>
        <w:jc w:val="left"/>
        <w:rPr>
          <w:rFonts w:ascii="Times New Roman" w:hAnsi="Times New Roman"/>
          <w:sz w:val="20"/>
        </w:rPr>
      </w:pPr>
      <w:r>
        <w:rPr>
          <w:rFonts w:ascii="Times New Roman" w:hAnsi="Times New Roman"/>
          <w:sz w:val="20"/>
        </w:rPr>
        <w:t xml:space="preserve">Continental Stock Transfer &amp; Trust Company </w:t>
      </w:r>
    </w:p>
    <w:p>
      <w:pPr>
        <w:pStyle w:val="TextBody"/>
        <w:spacing w:before="0" w:after="0"/>
        <w:jc w:val="left"/>
        <w:rPr>
          <w:rFonts w:ascii="Times New Roman" w:hAnsi="Times New Roman"/>
          <w:sz w:val="20"/>
        </w:rPr>
      </w:pPr>
      <w:r>
        <w:rPr>
          <w:rFonts w:ascii="Times New Roman" w:hAnsi="Times New Roman"/>
          <w:sz w:val="20"/>
        </w:rPr>
        <w:t xml:space="preserve">1 State Street, 30th Floor </w:t>
      </w:r>
    </w:p>
    <w:p>
      <w:pPr>
        <w:pStyle w:val="TextBody"/>
        <w:spacing w:before="0" w:after="0"/>
        <w:jc w:val="left"/>
        <w:rPr>
          <w:rFonts w:ascii="Times New Roman" w:hAnsi="Times New Roman"/>
          <w:sz w:val="20"/>
        </w:rPr>
      </w:pPr>
      <w:r>
        <w:rPr>
          <w:rFonts w:ascii="Times New Roman" w:hAnsi="Times New Roman"/>
          <w:sz w:val="20"/>
        </w:rPr>
        <w:t xml:space="preserve">New York, New York 10004 </w:t>
      </w:r>
    </w:p>
    <w:p>
      <w:pPr>
        <w:pStyle w:val="TextBody"/>
        <w:spacing w:before="0" w:after="0"/>
        <w:jc w:val="left"/>
        <w:rPr>
          <w:rFonts w:ascii="Times New Roman" w:hAnsi="Times New Roman"/>
          <w:sz w:val="20"/>
        </w:rPr>
      </w:pPr>
      <w:r>
        <w:rPr>
          <w:rFonts w:ascii="Times New Roman" w:hAnsi="Times New Roman"/>
          <w:sz w:val="20"/>
        </w:rPr>
        <w:t xml:space="preserve">Attn: Francis E. Wolf, Jr. &amp; Celeste Gonzalez </w:t>
      </w:r>
    </w:p>
    <w:p>
      <w:pPr>
        <w:pStyle w:val="TextBody"/>
        <w:spacing w:before="0" w:after="0"/>
        <w:jc w:val="left"/>
        <w:rPr>
          <w:rFonts w:ascii="Times New Roman" w:hAnsi="Times New Roman"/>
          <w:sz w:val="20"/>
        </w:rPr>
      </w:pPr>
      <w:r>
        <w:rPr>
          <w:rFonts w:ascii="Times New Roman" w:hAnsi="Times New Roman"/>
          <w:sz w:val="20"/>
        </w:rPr>
        <w:t xml:space="preserve">Email: </w:t>
      </w:r>
      <w:r>
        <w:rPr>
          <w:rFonts w:ascii="Times New Roman" w:hAnsi="Times New Roman"/>
          <w:sz w:val="20"/>
          <w:u w:val="single"/>
        </w:rPr>
        <w:t>fwolf@continentalstock.com</w:t>
      </w:r>
      <w:r>
        <w:rPr>
          <w:rFonts w:ascii="Times New Roman" w:hAnsi="Times New Roman"/>
          <w:sz w:val="20"/>
        </w:rPr>
        <w:t xml:space="preserve"> </w:t>
      </w:r>
    </w:p>
    <w:p>
      <w:pPr>
        <w:pStyle w:val="TextBody"/>
        <w:spacing w:before="0" w:after="0"/>
        <w:jc w:val="left"/>
        <w:rPr>
          <w:rFonts w:ascii="Times New Roman" w:hAnsi="Times New Roman"/>
          <w:sz w:val="20"/>
        </w:rPr>
      </w:pPr>
      <w:r>
        <w:rPr>
          <w:rFonts w:ascii="Times New Roman" w:hAnsi="Times New Roman"/>
          <w:sz w:val="20"/>
        </w:rPr>
        <w:t xml:space="preserve">cgonzalez@continentalstock.com </w:t>
      </w:r>
    </w:p>
    <w:p>
      <w:pPr>
        <w:pStyle w:val="TextBody"/>
        <w:spacing w:before="240" w:after="0"/>
        <w:jc w:val="left"/>
        <w:rPr>
          <w:rFonts w:ascii="Times New Roman" w:hAnsi="Times New Roman"/>
          <w:sz w:val="20"/>
        </w:rPr>
      </w:pPr>
      <w:r>
        <w:rPr>
          <w:rFonts w:ascii="Times New Roman" w:hAnsi="Times New Roman"/>
          <w:sz w:val="20"/>
        </w:rPr>
        <w:t xml:space="preserve">if to the Company, to: </w:t>
      </w:r>
    </w:p>
    <w:p>
      <w:pPr>
        <w:pStyle w:val="TextBody"/>
        <w:spacing w:before="240" w:after="0"/>
        <w:jc w:val="left"/>
        <w:rPr>
          <w:rFonts w:ascii="Times New Roman" w:hAnsi="Times New Roman"/>
          <w:sz w:val="20"/>
        </w:rPr>
      </w:pPr>
      <w:r>
        <w:rPr>
          <w:rFonts w:ascii="Times New Roman" w:hAnsi="Times New Roman"/>
          <w:sz w:val="20"/>
        </w:rPr>
        <w:t xml:space="preserve">ArcLight Clean Transition Corp. II </w:t>
      </w:r>
    </w:p>
    <w:p>
      <w:pPr>
        <w:pStyle w:val="TextBody"/>
        <w:spacing w:before="0" w:after="0"/>
        <w:jc w:val="left"/>
        <w:rPr>
          <w:rFonts w:ascii="Times New Roman" w:hAnsi="Times New Roman"/>
          <w:sz w:val="20"/>
        </w:rPr>
      </w:pPr>
      <w:r>
        <w:rPr>
          <w:rFonts w:ascii="Times New Roman" w:hAnsi="Times New Roman"/>
          <w:sz w:val="20"/>
        </w:rPr>
        <w:t xml:space="preserve">200 Clarendon Street, 55th Floor </w:t>
      </w:r>
    </w:p>
    <w:p>
      <w:pPr>
        <w:pStyle w:val="TextBody"/>
        <w:spacing w:before="0" w:after="0"/>
        <w:jc w:val="left"/>
        <w:rPr>
          <w:rFonts w:ascii="Times New Roman" w:hAnsi="Times New Roman"/>
          <w:sz w:val="20"/>
        </w:rPr>
      </w:pPr>
      <w:r>
        <w:rPr>
          <w:rFonts w:ascii="Times New Roman" w:hAnsi="Times New Roman"/>
          <w:sz w:val="20"/>
        </w:rPr>
        <w:t xml:space="preserve">Boston, MA 02116 </w:t>
      </w:r>
    </w:p>
    <w:p>
      <w:pPr>
        <w:pStyle w:val="TextBody"/>
        <w:spacing w:before="0" w:after="0"/>
        <w:jc w:val="left"/>
        <w:rPr>
          <w:rFonts w:ascii="Times New Roman" w:hAnsi="Times New Roman"/>
          <w:sz w:val="20"/>
        </w:rPr>
      </w:pPr>
      <w:r>
        <w:rPr>
          <w:rFonts w:ascii="Times New Roman" w:hAnsi="Times New Roman"/>
          <w:sz w:val="20"/>
        </w:rPr>
        <w:t xml:space="preserve">Attn: Jake Erhard </w:t>
      </w:r>
    </w:p>
    <w:p>
      <w:pPr>
        <w:pStyle w:val="TextBody"/>
        <w:spacing w:before="0" w:after="0"/>
        <w:jc w:val="left"/>
        <w:rPr>
          <w:rFonts w:ascii="Times New Roman" w:hAnsi="Times New Roman"/>
          <w:sz w:val="20"/>
        </w:rPr>
      </w:pPr>
      <w:r>
        <w:rPr>
          <w:rFonts w:ascii="Times New Roman" w:hAnsi="Times New Roman"/>
          <w:sz w:val="20"/>
        </w:rPr>
        <w:t xml:space="preserve">Email: jerhard@arclightcapital.com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in each case, with copies to: </w:t>
      </w:r>
    </w:p>
    <w:p>
      <w:pPr>
        <w:pStyle w:val="TextBody"/>
        <w:spacing w:before="240" w:after="0"/>
        <w:jc w:val="left"/>
        <w:rPr>
          <w:rFonts w:ascii="Times New Roman" w:hAnsi="Times New Roman"/>
          <w:sz w:val="20"/>
        </w:rPr>
      </w:pPr>
      <w:r>
        <w:rPr>
          <w:rFonts w:ascii="Times New Roman" w:hAnsi="Times New Roman"/>
          <w:sz w:val="20"/>
        </w:rPr>
        <w:t xml:space="preserve">Kirkland &amp; Ellis LLP </w:t>
      </w:r>
    </w:p>
    <w:p>
      <w:pPr>
        <w:pStyle w:val="TextBody"/>
        <w:spacing w:before="0" w:after="0"/>
        <w:jc w:val="left"/>
        <w:rPr>
          <w:rFonts w:ascii="Times New Roman" w:hAnsi="Times New Roman"/>
          <w:sz w:val="20"/>
        </w:rPr>
      </w:pPr>
      <w:r>
        <w:rPr>
          <w:rFonts w:ascii="Times New Roman" w:hAnsi="Times New Roman"/>
          <w:sz w:val="20"/>
        </w:rPr>
        <w:t xml:space="preserve">601 Lexington Avenue </w:t>
      </w:r>
    </w:p>
    <w:p>
      <w:pPr>
        <w:pStyle w:val="TextBody"/>
        <w:spacing w:before="0" w:after="0"/>
        <w:jc w:val="left"/>
        <w:rPr>
          <w:rFonts w:ascii="Times New Roman" w:hAnsi="Times New Roman"/>
          <w:sz w:val="20"/>
        </w:rPr>
      </w:pPr>
      <w:r>
        <w:rPr>
          <w:rFonts w:ascii="Times New Roman" w:hAnsi="Times New Roman"/>
          <w:sz w:val="20"/>
        </w:rPr>
        <w:t xml:space="preserve">New York, New York 10022 </w:t>
      </w:r>
    </w:p>
    <w:p>
      <w:pPr>
        <w:pStyle w:val="TextBody"/>
        <w:spacing w:before="0" w:after="0"/>
        <w:jc w:val="left"/>
        <w:rPr>
          <w:rFonts w:ascii="Times New Roman" w:hAnsi="Times New Roman"/>
          <w:sz w:val="20"/>
        </w:rPr>
      </w:pPr>
      <w:r>
        <w:rPr>
          <w:rFonts w:ascii="Times New Roman" w:hAnsi="Times New Roman"/>
          <w:sz w:val="20"/>
        </w:rPr>
        <w:t xml:space="preserve">Attn: Christian O. Nagler </w:t>
      </w:r>
    </w:p>
    <w:p>
      <w:pPr>
        <w:pStyle w:val="TextBody"/>
        <w:spacing w:before="0" w:after="0"/>
        <w:jc w:val="left"/>
        <w:rPr>
          <w:rFonts w:ascii="Times New Roman" w:hAnsi="Times New Roman"/>
          <w:sz w:val="20"/>
        </w:rPr>
      </w:pPr>
      <w:r>
        <w:rPr>
          <w:rFonts w:ascii="Times New Roman" w:hAnsi="Times New Roman"/>
          <w:sz w:val="20"/>
        </w:rPr>
        <w:t xml:space="preserve">James S. Rowe </w:t>
      </w:r>
    </w:p>
    <w:p>
      <w:pPr>
        <w:pStyle w:val="TextBody"/>
        <w:spacing w:before="0" w:after="0"/>
        <w:jc w:val="left"/>
        <w:rPr>
          <w:rFonts w:ascii="Times New Roman" w:hAnsi="Times New Roman"/>
          <w:sz w:val="20"/>
        </w:rPr>
      </w:pPr>
      <w:r>
        <w:rPr>
          <w:rFonts w:ascii="Times New Roman" w:hAnsi="Times New Roman"/>
          <w:sz w:val="20"/>
        </w:rPr>
        <w:t xml:space="preserve">E-mail: cnagler@kirkland.com </w:t>
      </w:r>
    </w:p>
    <w:p>
      <w:pPr>
        <w:pStyle w:val="TextBody"/>
        <w:spacing w:before="0" w:after="0"/>
        <w:jc w:val="left"/>
        <w:rPr>
          <w:rFonts w:ascii="Times New Roman" w:hAnsi="Times New Roman"/>
          <w:sz w:val="20"/>
        </w:rPr>
      </w:pPr>
      <w:r>
        <w:rPr>
          <w:rFonts w:ascii="Times New Roman" w:hAnsi="Times New Roman"/>
          <w:sz w:val="20"/>
        </w:rPr>
        <w:t xml:space="preserve">james.rowe@kirkland.com </w:t>
      </w:r>
    </w:p>
    <w:p>
      <w:pPr>
        <w:pStyle w:val="TextBody"/>
        <w:spacing w:before="240" w:after="0"/>
        <w:jc w:val="left"/>
        <w:rPr>
          <w:rFonts w:ascii="Times New Roman" w:hAnsi="Times New Roman"/>
          <w:sz w:val="20"/>
        </w:rPr>
      </w:pPr>
      <w:r>
        <w:rPr>
          <w:rFonts w:ascii="Times New Roman" w:hAnsi="Times New Roman"/>
          <w:sz w:val="20"/>
        </w:rPr>
        <w:t xml:space="preserve">and </w:t>
      </w:r>
    </w:p>
    <w:p>
      <w:pPr>
        <w:pStyle w:val="TextBody"/>
        <w:spacing w:before="240" w:after="0"/>
        <w:jc w:val="left"/>
        <w:rPr>
          <w:rFonts w:ascii="Times New Roman" w:hAnsi="Times New Roman"/>
          <w:sz w:val="20"/>
        </w:rPr>
      </w:pPr>
      <w:r>
        <w:rPr>
          <w:rFonts w:ascii="Times New Roman" w:hAnsi="Times New Roman"/>
          <w:sz w:val="20"/>
        </w:rPr>
        <w:t xml:space="preserve">Citigroup Global Markets Inc. </w:t>
      </w:r>
    </w:p>
    <w:p>
      <w:pPr>
        <w:pStyle w:val="TextBody"/>
        <w:spacing w:before="0" w:after="0"/>
        <w:jc w:val="left"/>
        <w:rPr>
          <w:rFonts w:ascii="Times New Roman" w:hAnsi="Times New Roman"/>
          <w:sz w:val="20"/>
        </w:rPr>
      </w:pPr>
      <w:r>
        <w:rPr>
          <w:rFonts w:ascii="Times New Roman" w:hAnsi="Times New Roman"/>
          <w:sz w:val="20"/>
        </w:rPr>
        <w:t xml:space="preserve">388 Greenwich Street </w:t>
      </w:r>
    </w:p>
    <w:p>
      <w:pPr>
        <w:pStyle w:val="TextBody"/>
        <w:spacing w:before="0" w:after="0"/>
        <w:jc w:val="left"/>
        <w:rPr>
          <w:rFonts w:ascii="Times New Roman" w:hAnsi="Times New Roman"/>
          <w:sz w:val="20"/>
        </w:rPr>
      </w:pPr>
      <w:r>
        <w:rPr>
          <w:rFonts w:ascii="Times New Roman" w:hAnsi="Times New Roman"/>
          <w:sz w:val="20"/>
        </w:rPr>
        <w:t xml:space="preserve">New York, NY 10013 </w:t>
      </w:r>
    </w:p>
    <w:p>
      <w:pPr>
        <w:pStyle w:val="TextBody"/>
        <w:spacing w:before="0" w:after="0"/>
        <w:jc w:val="left"/>
        <w:rPr>
          <w:rFonts w:ascii="Times New Roman" w:hAnsi="Times New Roman"/>
          <w:sz w:val="20"/>
        </w:rPr>
      </w:pPr>
      <w:r>
        <w:rPr>
          <w:rFonts w:ascii="Times New Roman" w:hAnsi="Times New Roman"/>
          <w:sz w:val="20"/>
        </w:rPr>
        <w:t xml:space="preserve">Attn: Aaron Bloch </w:t>
      </w:r>
    </w:p>
    <w:p>
      <w:pPr>
        <w:pStyle w:val="TextBody"/>
        <w:spacing w:before="0" w:after="0"/>
        <w:jc w:val="left"/>
        <w:rPr>
          <w:rFonts w:ascii="Times New Roman" w:hAnsi="Times New Roman"/>
          <w:sz w:val="20"/>
        </w:rPr>
      </w:pPr>
      <w:r>
        <w:rPr>
          <w:rFonts w:ascii="Times New Roman" w:hAnsi="Times New Roman"/>
          <w:sz w:val="20"/>
        </w:rPr>
        <w:t xml:space="preserve">E-mail: aaron.bloch@citi.com </w:t>
      </w:r>
    </w:p>
    <w:p>
      <w:pPr>
        <w:pStyle w:val="TextBody"/>
        <w:spacing w:before="240" w:after="0"/>
        <w:jc w:val="left"/>
        <w:rPr>
          <w:rFonts w:ascii="Times New Roman" w:hAnsi="Times New Roman"/>
          <w:sz w:val="20"/>
        </w:rPr>
      </w:pPr>
      <w:r>
        <w:rPr>
          <w:rFonts w:ascii="Times New Roman" w:hAnsi="Times New Roman"/>
          <w:sz w:val="20"/>
        </w:rPr>
        <w:t xml:space="preserve">and </w:t>
      </w:r>
    </w:p>
    <w:p>
      <w:pPr>
        <w:pStyle w:val="TextBody"/>
        <w:spacing w:before="240" w:after="0"/>
        <w:jc w:val="left"/>
        <w:rPr>
          <w:rFonts w:ascii="Times New Roman" w:hAnsi="Times New Roman"/>
          <w:sz w:val="20"/>
        </w:rPr>
      </w:pPr>
      <w:r>
        <w:rPr>
          <w:rFonts w:ascii="Times New Roman" w:hAnsi="Times New Roman"/>
          <w:sz w:val="20"/>
        </w:rPr>
        <w:t xml:space="preserve">Barclays Capital Inc. </w:t>
      </w:r>
    </w:p>
    <w:p>
      <w:pPr>
        <w:pStyle w:val="TextBody"/>
        <w:spacing w:before="0" w:after="0"/>
        <w:jc w:val="left"/>
        <w:rPr>
          <w:rFonts w:ascii="Times New Roman" w:hAnsi="Times New Roman"/>
          <w:sz w:val="20"/>
        </w:rPr>
      </w:pPr>
      <w:r>
        <w:rPr>
          <w:rFonts w:ascii="Times New Roman" w:hAnsi="Times New Roman"/>
          <w:sz w:val="20"/>
        </w:rPr>
        <w:t xml:space="preserve">745 7th Avenue </w:t>
      </w:r>
    </w:p>
    <w:p>
      <w:pPr>
        <w:pStyle w:val="TextBody"/>
        <w:spacing w:before="0" w:after="0"/>
        <w:jc w:val="left"/>
        <w:rPr>
          <w:rFonts w:ascii="Times New Roman" w:hAnsi="Times New Roman"/>
          <w:sz w:val="20"/>
        </w:rPr>
      </w:pPr>
      <w:r>
        <w:rPr>
          <w:rFonts w:ascii="Times New Roman" w:hAnsi="Times New Roman"/>
          <w:sz w:val="20"/>
        </w:rPr>
        <w:t xml:space="preserve">New York, NY 10019 </w:t>
      </w:r>
    </w:p>
    <w:p>
      <w:pPr>
        <w:pStyle w:val="TextBody"/>
        <w:spacing w:before="0" w:after="0"/>
        <w:jc w:val="left"/>
        <w:rPr>
          <w:rFonts w:ascii="Times New Roman" w:hAnsi="Times New Roman"/>
          <w:sz w:val="20"/>
        </w:rPr>
      </w:pPr>
      <w:r>
        <w:rPr>
          <w:rFonts w:ascii="Times New Roman" w:hAnsi="Times New Roman"/>
          <w:sz w:val="20"/>
        </w:rPr>
        <w:t xml:space="preserve">Attn: Emily Markham </w:t>
      </w:r>
    </w:p>
    <w:p>
      <w:pPr>
        <w:pStyle w:val="TextBody"/>
        <w:spacing w:before="0" w:after="0"/>
        <w:jc w:val="left"/>
        <w:rPr>
          <w:rFonts w:ascii="Times New Roman" w:hAnsi="Times New Roman"/>
          <w:sz w:val="20"/>
        </w:rPr>
      </w:pPr>
      <w:r>
        <w:rPr>
          <w:rFonts w:ascii="Times New Roman" w:hAnsi="Times New Roman"/>
          <w:sz w:val="20"/>
        </w:rPr>
        <w:t xml:space="preserve">E-mail: Emily. markham@barclays.com </w:t>
      </w:r>
    </w:p>
    <w:p>
      <w:pPr>
        <w:pStyle w:val="TextBody"/>
        <w:spacing w:before="240" w:after="0"/>
        <w:jc w:val="left"/>
        <w:rPr>
          <w:rFonts w:ascii="Times New Roman" w:hAnsi="Times New Roman"/>
          <w:sz w:val="20"/>
        </w:rPr>
      </w:pPr>
      <w:r>
        <w:rPr>
          <w:rFonts w:ascii="Times New Roman" w:hAnsi="Times New Roman"/>
          <w:sz w:val="20"/>
        </w:rPr>
        <w:t xml:space="preserve">and </w:t>
      </w:r>
    </w:p>
    <w:p>
      <w:pPr>
        <w:pStyle w:val="TextBody"/>
        <w:spacing w:before="240" w:after="0"/>
        <w:jc w:val="left"/>
        <w:rPr>
          <w:rFonts w:ascii="Times New Roman" w:hAnsi="Times New Roman"/>
          <w:sz w:val="20"/>
        </w:rPr>
      </w:pPr>
      <w:r>
        <w:rPr>
          <w:rFonts w:ascii="Times New Roman" w:hAnsi="Times New Roman"/>
          <w:sz w:val="20"/>
        </w:rPr>
        <w:t xml:space="preserve">White &amp; Case LLP </w:t>
      </w:r>
    </w:p>
    <w:p>
      <w:pPr>
        <w:pStyle w:val="TextBody"/>
        <w:spacing w:before="0" w:after="0"/>
        <w:jc w:val="left"/>
        <w:rPr>
          <w:rFonts w:ascii="Times New Roman" w:hAnsi="Times New Roman"/>
          <w:sz w:val="20"/>
        </w:rPr>
      </w:pPr>
      <w:r>
        <w:rPr>
          <w:rFonts w:ascii="Times New Roman" w:hAnsi="Times New Roman"/>
          <w:sz w:val="20"/>
        </w:rPr>
        <w:t xml:space="preserve">1221 Avenue of the Americas </w:t>
      </w:r>
    </w:p>
    <w:p>
      <w:pPr>
        <w:pStyle w:val="TextBody"/>
        <w:spacing w:before="0" w:after="0"/>
        <w:jc w:val="left"/>
        <w:rPr>
          <w:rFonts w:ascii="Times New Roman" w:hAnsi="Times New Roman"/>
          <w:sz w:val="20"/>
        </w:rPr>
      </w:pPr>
      <w:r>
        <w:rPr>
          <w:rFonts w:ascii="Times New Roman" w:hAnsi="Times New Roman"/>
          <w:sz w:val="20"/>
        </w:rPr>
        <w:t xml:space="preserve">New York, NY 10020 </w:t>
      </w:r>
    </w:p>
    <w:p>
      <w:pPr>
        <w:pStyle w:val="TextBody"/>
        <w:spacing w:before="0" w:after="0"/>
        <w:jc w:val="left"/>
        <w:rPr>
          <w:rFonts w:ascii="Times New Roman" w:hAnsi="Times New Roman"/>
          <w:sz w:val="20"/>
        </w:rPr>
      </w:pPr>
      <w:r>
        <w:rPr>
          <w:rFonts w:ascii="Times New Roman" w:hAnsi="Times New Roman"/>
          <w:sz w:val="20"/>
        </w:rPr>
        <w:t xml:space="preserve">Attn.: Joel L. Rubinstein </w:t>
      </w:r>
    </w:p>
    <w:p>
      <w:pPr>
        <w:pStyle w:val="TextBody"/>
        <w:spacing w:before="0" w:after="0"/>
        <w:jc w:val="left"/>
        <w:rPr>
          <w:rFonts w:ascii="Times New Roman" w:hAnsi="Times New Roman"/>
          <w:sz w:val="20"/>
        </w:rPr>
      </w:pPr>
      <w:r>
        <w:rPr>
          <w:rFonts w:ascii="Times New Roman" w:hAnsi="Times New Roman"/>
          <w:sz w:val="20"/>
        </w:rPr>
        <w:t xml:space="preserve">Email: joel.rubinstein@whitecase.com </w:t>
      </w:r>
    </w:p>
    <w:p>
      <w:pPr>
        <w:pStyle w:val="TextBody"/>
        <w:spacing w:before="240" w:after="0"/>
        <w:jc w:val="left"/>
        <w:rPr>
          <w:rFonts w:ascii="Times New Roman" w:hAnsi="Times New Roman"/>
          <w:sz w:val="20"/>
        </w:rPr>
      </w:pPr>
      <w:r>
        <w:rPr>
          <w:rFonts w:ascii="Times New Roman" w:hAnsi="Times New Roman"/>
          <w:sz w:val="20"/>
        </w:rPr>
        <w:t xml:space="preserve">(f) Each of the Company and the Trustee hereby represents that it has the full right and power and has been duly authorized to enter into this Agreement and to perform its respective obligations as contemplated hereunder. The Trustee acknowledges and agrees that it shall not make any claims or proceed against the Trust Account, including by way of set-off, and shall not be entitled to any funds in the Trust Account under any circumstance. </w:t>
      </w:r>
    </w:p>
    <w:p>
      <w:pPr>
        <w:pStyle w:val="TextBody"/>
        <w:spacing w:before="240" w:after="0"/>
        <w:jc w:val="left"/>
        <w:rPr>
          <w:rFonts w:ascii="Times New Roman" w:hAnsi="Times New Roman"/>
          <w:sz w:val="20"/>
        </w:rPr>
      </w:pPr>
      <w:r>
        <w:rPr>
          <w:rFonts w:ascii="Times New Roman" w:hAnsi="Times New Roman"/>
          <w:sz w:val="20"/>
        </w:rPr>
        <w:t xml:space="preserve">(g) This Agreement is the joint product of the Trustee and the Company and each provision hereof has been subject to the mutual consultation, negotiation and agreement of such parties and shall not be construed for or against any party hereto. </w:t>
      </w:r>
    </w:p>
    <w:p>
      <w:pPr>
        <w:pStyle w:val="TextBody"/>
        <w:spacing w:before="240" w:after="0"/>
        <w:jc w:val="left"/>
        <w:rPr>
          <w:rFonts w:ascii="Times New Roman" w:hAnsi="Times New Roman"/>
          <w:sz w:val="20"/>
        </w:rPr>
      </w:pPr>
      <w:r>
        <w:rPr>
          <w:rFonts w:ascii="Times New Roman" w:hAnsi="Times New Roman"/>
          <w:sz w:val="20"/>
        </w:rPr>
        <w:t xml:space="preserve">(h) This Agreement may be executed in any number of counterparts, each of which shall be deemed to be an original, but all such counterparts shall together constitute one and the same instrument. Delivery of a signed counterpart of this Agreement by facsimile or electronic transmission shall constitute valid and sufficient delivery thereof. </w:t>
      </w:r>
    </w:p>
    <w:p>
      <w:pPr>
        <w:pStyle w:val="TextBody"/>
        <w:spacing w:before="240" w:after="0"/>
        <w:jc w:val="left"/>
        <w:rPr>
          <w:rFonts w:ascii="Times New Roman" w:hAnsi="Times New Roman"/>
          <w:sz w:val="20"/>
        </w:rPr>
      </w:pPr>
      <w:r>
        <w:rPr>
          <w:rFonts w:ascii="Times New Roman" w:hAnsi="Times New Roman"/>
          <w:sz w:val="20"/>
        </w:rPr>
        <w:t xml:space="preserve">(i) Each of the Company and the Trustee hereby acknowledges and agrees that the Underwriters on behalf of the Underwriters is a third-party beneficiary of this Agreement. </w:t>
      </w:r>
    </w:p>
    <w:p>
      <w:pPr>
        <w:pStyle w:val="TextBody"/>
        <w:spacing w:before="240" w:after="0"/>
        <w:jc w:val="left"/>
        <w:rPr>
          <w:rFonts w:ascii="Times New Roman" w:hAnsi="Times New Roman"/>
          <w:sz w:val="20"/>
        </w:rPr>
      </w:pPr>
      <w:r>
        <w:rPr>
          <w:rFonts w:ascii="Times New Roman" w:hAnsi="Times New Roman"/>
          <w:sz w:val="20"/>
        </w:rPr>
        <w:t xml:space="preserve">(j) Except as specified herein, no party to this Agreement may assign its rights or delegate its obligations hereunder to any other person or entity. </w:t>
      </w:r>
    </w:p>
    <w:p>
      <w:pPr>
        <w:pStyle w:val="TextBody"/>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Follows</w:t>
      </w:r>
      <w:r>
        <w:rPr>
          <w:rFonts w:ascii="Times New Roman" w:hAnsi="Times New Roman"/>
          <w:sz w:val="20"/>
        </w:rPr>
        <w:t xml:space="preserve">]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have duly executed this Investment Management Trust Agreement as of the date first written above.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684"/>
        <w:gridCol w:w="60"/>
        <w:gridCol w:w="3338"/>
      </w:tblGrid>
      <w:tr>
        <w:trPr/>
        <w:tc>
          <w:tcPr>
            <w:tcW w:w="68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338"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pPr>
            <w:r>
              <w:rPr>
                <w:b/>
              </w:rPr>
              <w:t xml:space="preserve">CONTINENTAL STOCK TRANSFER &amp; TRUST COMPANY, </w:t>
            </w:r>
            <w:r>
              <w:rPr/>
              <w:t>as Trustee</w:t>
            </w:r>
          </w:p>
        </w:tc>
      </w:tr>
      <w:tr>
        <w:trPr>
          <w:trHeight w:val="240" w:hRule="atLeast"/>
        </w:trPr>
        <w:tc>
          <w:tcPr>
            <w:tcW w:w="684" w:type="dxa"/>
            <w:tcBorders/>
            <w:shd w:fill="auto" w:val="clear"/>
            <w:vAlign w:val="center"/>
          </w:tcPr>
          <w:p>
            <w:pPr>
              <w:pStyle w:val="TableContents"/>
              <w:spacing w:before="0" w:after="283"/>
              <w:rPr>
                <w:sz w:val="4"/>
                <w:szCs w:val="4"/>
              </w:rPr>
            </w:pPr>
            <w:r>
              <w:rPr>
                <w:sz w:val="4"/>
                <w:szCs w:val="4"/>
              </w:rPr>
            </w:r>
          </w:p>
        </w:tc>
        <w:tc>
          <w:tcPr>
            <w:tcW w:w="3398" w:type="dxa"/>
            <w:gridSpan w:val="2"/>
            <w:tcBorders/>
            <w:shd w:fill="auto" w:val="clear"/>
            <w:vAlign w:val="center"/>
          </w:tcPr>
          <w:p>
            <w:pPr>
              <w:pStyle w:val="TableContents"/>
              <w:spacing w:before="0" w:after="283"/>
              <w:rPr>
                <w:sz w:val="4"/>
                <w:szCs w:val="4"/>
              </w:rPr>
            </w:pPr>
            <w:r>
              <w:rPr>
                <w:sz w:val="4"/>
                <w:szCs w:val="4"/>
              </w:rPr>
            </w:r>
          </w:p>
        </w:tc>
      </w:tr>
      <w:tr>
        <w:trPr/>
        <w:tc>
          <w:tcPr>
            <w:tcW w:w="684" w:type="dxa"/>
            <w:tcBorders/>
            <w:shd w:fill="auto" w:val="clear"/>
          </w:tcPr>
          <w:p>
            <w:pPr>
              <w:pStyle w:val="TableContents"/>
              <w:spacing w:before="0" w:after="283"/>
              <w:rPr/>
            </w:pPr>
            <w:r>
              <w:rPr/>
              <w:t>By:</w:t>
            </w:r>
          </w:p>
        </w:tc>
        <w:tc>
          <w:tcPr>
            <w:tcW w:w="60" w:type="dxa"/>
            <w:tcBorders/>
            <w:shd w:fill="auto" w:val="clear"/>
            <w:vAlign w:val="bottom"/>
          </w:tcPr>
          <w:p>
            <w:pPr>
              <w:pStyle w:val="TableContents"/>
              <w:spacing w:before="0" w:after="283"/>
              <w:rPr/>
            </w:pPr>
            <w:r>
              <w:rPr/>
              <w:t> </w:t>
            </w:r>
          </w:p>
        </w:tc>
        <w:tc>
          <w:tcPr>
            <w:tcW w:w="3338" w:type="dxa"/>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Francis Wolf</w:t>
            </w:r>
          </w:p>
        </w:tc>
      </w:tr>
      <w:tr>
        <w:trPr/>
        <w:tc>
          <w:tcPr>
            <w:tcW w:w="684" w:type="dxa"/>
            <w:tcBorders/>
            <w:shd w:fill="auto" w:val="clear"/>
          </w:tcPr>
          <w:p>
            <w:pPr>
              <w:pStyle w:val="TableContents"/>
              <w:spacing w:before="0" w:after="283"/>
              <w:rPr/>
            </w:pPr>
            <w:r>
              <w:rPr/>
              <w:t>Name:</w:t>
            </w:r>
          </w:p>
        </w:tc>
        <w:tc>
          <w:tcPr>
            <w:tcW w:w="60" w:type="dxa"/>
            <w:tcBorders/>
            <w:shd w:fill="auto" w:val="clear"/>
            <w:vAlign w:val="bottom"/>
          </w:tcPr>
          <w:p>
            <w:pPr>
              <w:pStyle w:val="TableContents"/>
              <w:spacing w:before="0" w:after="283"/>
              <w:rPr/>
            </w:pPr>
            <w:r>
              <w:rPr/>
              <w:t> </w:t>
            </w:r>
          </w:p>
        </w:tc>
        <w:tc>
          <w:tcPr>
            <w:tcW w:w="3338" w:type="dxa"/>
            <w:tcBorders/>
            <w:shd w:fill="auto" w:val="clear"/>
          </w:tcPr>
          <w:p>
            <w:pPr>
              <w:pStyle w:val="TableContents"/>
              <w:spacing w:before="0" w:after="283"/>
              <w:rPr/>
            </w:pPr>
            <w:r>
              <w:rPr/>
              <w:t>Francis Wolf</w:t>
            </w:r>
          </w:p>
        </w:tc>
      </w:tr>
      <w:tr>
        <w:trPr/>
        <w:tc>
          <w:tcPr>
            <w:tcW w:w="684" w:type="dxa"/>
            <w:tcBorders/>
            <w:shd w:fill="auto" w:val="clear"/>
          </w:tcPr>
          <w:p>
            <w:pPr>
              <w:pStyle w:val="TableContents"/>
              <w:spacing w:before="0" w:after="283"/>
              <w:rPr/>
            </w:pPr>
            <w:r>
              <w:rPr/>
              <w:t>Title:</w:t>
            </w:r>
          </w:p>
        </w:tc>
        <w:tc>
          <w:tcPr>
            <w:tcW w:w="60" w:type="dxa"/>
            <w:tcBorders/>
            <w:shd w:fill="auto" w:val="clear"/>
            <w:vAlign w:val="bottom"/>
          </w:tcPr>
          <w:p>
            <w:pPr>
              <w:pStyle w:val="TableContents"/>
              <w:spacing w:before="0" w:after="283"/>
              <w:rPr/>
            </w:pPr>
            <w:r>
              <w:rPr/>
              <w:t> </w:t>
            </w:r>
          </w:p>
        </w:tc>
        <w:tc>
          <w:tcPr>
            <w:tcW w:w="3338" w:type="dxa"/>
            <w:tcBorders/>
            <w:shd w:fill="auto" w:val="clear"/>
          </w:tcPr>
          <w:p>
            <w:pPr>
              <w:pStyle w:val="TableContents"/>
              <w:spacing w:before="0" w:after="283"/>
              <w:rPr/>
            </w:pPr>
            <w:r>
              <w:rPr/>
              <w:t>Vice President</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b/>
              </w:rPr>
            </w:pPr>
            <w:r>
              <w:rPr>
                <w:b/>
              </w:rPr>
              <w:t>ARCLIGHT CLEAN TRANSITION CORP. II</w:t>
            </w:r>
          </w:p>
        </w:tc>
      </w:tr>
      <w:tr>
        <w:trPr>
          <w:trHeight w:val="240" w:hRule="atLeast"/>
        </w:trPr>
        <w:tc>
          <w:tcPr>
            <w:tcW w:w="684" w:type="dxa"/>
            <w:tcBorders/>
            <w:shd w:fill="auto" w:val="clear"/>
            <w:vAlign w:val="center"/>
          </w:tcPr>
          <w:p>
            <w:pPr>
              <w:pStyle w:val="TableContents"/>
              <w:spacing w:before="0" w:after="283"/>
              <w:rPr>
                <w:sz w:val="4"/>
                <w:szCs w:val="4"/>
              </w:rPr>
            </w:pPr>
            <w:r>
              <w:rPr>
                <w:sz w:val="4"/>
                <w:szCs w:val="4"/>
              </w:rPr>
            </w:r>
          </w:p>
        </w:tc>
        <w:tc>
          <w:tcPr>
            <w:tcW w:w="3398" w:type="dxa"/>
            <w:gridSpan w:val="2"/>
            <w:tcBorders/>
            <w:shd w:fill="auto" w:val="clear"/>
            <w:vAlign w:val="center"/>
          </w:tcPr>
          <w:p>
            <w:pPr>
              <w:pStyle w:val="TableContents"/>
              <w:spacing w:before="0" w:after="283"/>
              <w:rPr>
                <w:sz w:val="4"/>
                <w:szCs w:val="4"/>
              </w:rPr>
            </w:pPr>
            <w:r>
              <w:rPr>
                <w:sz w:val="4"/>
                <w:szCs w:val="4"/>
              </w:rPr>
            </w:r>
          </w:p>
        </w:tc>
      </w:tr>
      <w:tr>
        <w:trPr/>
        <w:tc>
          <w:tcPr>
            <w:tcW w:w="684" w:type="dxa"/>
            <w:tcBorders/>
            <w:shd w:fill="auto" w:val="clear"/>
          </w:tcPr>
          <w:p>
            <w:pPr>
              <w:pStyle w:val="TableContents"/>
              <w:spacing w:before="0" w:after="283"/>
              <w:rPr/>
            </w:pPr>
            <w:r>
              <w:rPr/>
              <w:t>By:</w:t>
            </w:r>
          </w:p>
        </w:tc>
        <w:tc>
          <w:tcPr>
            <w:tcW w:w="60" w:type="dxa"/>
            <w:tcBorders/>
            <w:shd w:fill="auto" w:val="clear"/>
            <w:vAlign w:val="bottom"/>
          </w:tcPr>
          <w:p>
            <w:pPr>
              <w:pStyle w:val="TableContents"/>
              <w:spacing w:before="0" w:after="283"/>
              <w:rPr/>
            </w:pPr>
            <w:r>
              <w:rPr/>
              <w:t> </w:t>
            </w:r>
          </w:p>
        </w:tc>
        <w:tc>
          <w:tcPr>
            <w:tcW w:w="3338" w:type="dxa"/>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John F. Erhard</w:t>
            </w:r>
          </w:p>
        </w:tc>
      </w:tr>
      <w:tr>
        <w:trPr/>
        <w:tc>
          <w:tcPr>
            <w:tcW w:w="684" w:type="dxa"/>
            <w:tcBorders/>
            <w:shd w:fill="auto" w:val="clear"/>
          </w:tcPr>
          <w:p>
            <w:pPr>
              <w:pStyle w:val="TableContents"/>
              <w:spacing w:before="0" w:after="283"/>
              <w:rPr/>
            </w:pPr>
            <w:r>
              <w:rPr/>
              <w:t>Name:</w:t>
            </w:r>
          </w:p>
        </w:tc>
        <w:tc>
          <w:tcPr>
            <w:tcW w:w="60" w:type="dxa"/>
            <w:tcBorders/>
            <w:shd w:fill="auto" w:val="clear"/>
            <w:vAlign w:val="bottom"/>
          </w:tcPr>
          <w:p>
            <w:pPr>
              <w:pStyle w:val="TableContents"/>
              <w:spacing w:before="0" w:after="283"/>
              <w:rPr/>
            </w:pPr>
            <w:r>
              <w:rPr/>
              <w:t> </w:t>
            </w:r>
          </w:p>
        </w:tc>
        <w:tc>
          <w:tcPr>
            <w:tcW w:w="3338" w:type="dxa"/>
            <w:tcBorders/>
            <w:shd w:fill="auto" w:val="clear"/>
          </w:tcPr>
          <w:p>
            <w:pPr>
              <w:pStyle w:val="TableContents"/>
              <w:spacing w:before="0" w:after="283"/>
              <w:rPr/>
            </w:pPr>
            <w:r>
              <w:rPr/>
              <w:t>John F. Erhard</w:t>
            </w:r>
          </w:p>
        </w:tc>
      </w:tr>
      <w:tr>
        <w:trPr/>
        <w:tc>
          <w:tcPr>
            <w:tcW w:w="684" w:type="dxa"/>
            <w:tcBorders/>
            <w:shd w:fill="auto" w:val="clear"/>
          </w:tcPr>
          <w:p>
            <w:pPr>
              <w:pStyle w:val="TableContents"/>
              <w:spacing w:before="0" w:after="283"/>
              <w:rPr/>
            </w:pPr>
            <w:r>
              <w:rPr/>
              <w:t>Title:</w:t>
            </w:r>
          </w:p>
        </w:tc>
        <w:tc>
          <w:tcPr>
            <w:tcW w:w="60" w:type="dxa"/>
            <w:tcBorders/>
            <w:shd w:fill="auto" w:val="clear"/>
            <w:vAlign w:val="bottom"/>
          </w:tcPr>
          <w:p>
            <w:pPr>
              <w:pStyle w:val="TableContents"/>
              <w:spacing w:before="0" w:after="283"/>
              <w:rPr/>
            </w:pPr>
            <w:r>
              <w:rPr/>
              <w:t> </w:t>
            </w:r>
          </w:p>
        </w:tc>
        <w:tc>
          <w:tcPr>
            <w:tcW w:w="3338" w:type="dxa"/>
            <w:tcBorders/>
            <w:shd w:fill="auto" w:val="clear"/>
          </w:tcPr>
          <w:p>
            <w:pPr>
              <w:pStyle w:val="TableContents"/>
              <w:spacing w:before="0" w:after="283"/>
              <w:rPr/>
            </w:pPr>
            <w:r>
              <w:rPr/>
              <w:t>President and Chief Executive Officer</w:t>
            </w:r>
          </w:p>
        </w:tc>
      </w:tr>
    </w:tbl>
    <w:p>
      <w:pPr>
        <w:pStyle w:val="TextBody"/>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Investment Management Trust Agreement</w:t>
      </w:r>
      <w:r>
        <w:rPr>
          <w:rFonts w:ascii="Times New Roman" w:hAnsi="Times New Roman"/>
          <w:sz w:val="20"/>
        </w:rPr>
        <w:t xml:space="preserve">]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SCHEDULE A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4519"/>
        <w:gridCol w:w="134"/>
        <w:gridCol w:w="3992"/>
        <w:gridCol w:w="220"/>
        <w:gridCol w:w="142"/>
        <w:gridCol w:w="996"/>
        <w:gridCol w:w="202"/>
      </w:tblGrid>
      <w:tr>
        <w:trPr/>
        <w:tc>
          <w:tcPr>
            <w:tcW w:w="451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bottom"/>
          </w:tcPr>
          <w:p>
            <w:pPr>
              <w:pStyle w:val="TableContents"/>
              <w:spacing w:before="0" w:after="283"/>
              <w:rPr>
                <w:sz w:val="4"/>
                <w:szCs w:val="4"/>
              </w:rPr>
            </w:pPr>
            <w:r>
              <w:rPr>
                <w:sz w:val="4"/>
                <w:szCs w:val="4"/>
              </w:rPr>
            </w:r>
          </w:p>
        </w:tc>
        <w:tc>
          <w:tcPr>
            <w:tcW w:w="3992"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bottom"/>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996"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bottom"/>
          </w:tcPr>
          <w:p>
            <w:pPr>
              <w:pStyle w:val="TableContents"/>
              <w:spacing w:before="0" w:after="283"/>
              <w:rPr>
                <w:sz w:val="4"/>
                <w:szCs w:val="4"/>
              </w:rPr>
            </w:pPr>
            <w:r>
              <w:rPr>
                <w:sz w:val="4"/>
                <w:szCs w:val="4"/>
              </w:rPr>
            </w:r>
          </w:p>
        </w:tc>
      </w:tr>
      <w:tr>
        <w:trPr/>
        <w:tc>
          <w:tcPr>
            <w:tcW w:w="4519" w:type="dxa"/>
            <w:tcBorders/>
            <w:shd w:fill="auto" w:val="clear"/>
            <w:vAlign w:val="bottom"/>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Fee Item</w:t>
            </w:r>
          </w:p>
        </w:tc>
        <w:tc>
          <w:tcPr>
            <w:tcW w:w="134" w:type="dxa"/>
            <w:tcBorders/>
            <w:shd w:fill="auto" w:val="clear"/>
            <w:vAlign w:val="bottom"/>
          </w:tcPr>
          <w:p>
            <w:pPr>
              <w:pStyle w:val="TableContents"/>
              <w:spacing w:before="0" w:after="283"/>
              <w:rPr/>
            </w:pPr>
            <w:r>
              <w:rPr/>
              <w:t>  </w:t>
            </w:r>
          </w:p>
        </w:tc>
        <w:tc>
          <w:tcPr>
            <w:tcW w:w="3992"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Time and method of payment</w:t>
            </w:r>
          </w:p>
        </w:tc>
        <w:tc>
          <w:tcPr>
            <w:tcW w:w="220" w:type="dxa"/>
            <w:tcBorders/>
            <w:shd w:fill="auto" w:val="clear"/>
            <w:vAlign w:val="bottom"/>
          </w:tcPr>
          <w:p>
            <w:pPr>
              <w:pStyle w:val="TableContents"/>
              <w:spacing w:before="0" w:after="283"/>
              <w:rPr/>
            </w:pPr>
            <w:r>
              <w:rPr/>
              <w:t>  </w:t>
            </w:r>
          </w:p>
        </w:tc>
        <w:tc>
          <w:tcPr>
            <w:tcW w:w="113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Amount</w:t>
            </w:r>
          </w:p>
        </w:tc>
        <w:tc>
          <w:tcPr>
            <w:tcW w:w="202" w:type="dxa"/>
            <w:tcBorders/>
            <w:shd w:fill="auto" w:val="clear"/>
            <w:vAlign w:val="bottom"/>
          </w:tcPr>
          <w:p>
            <w:pPr>
              <w:pStyle w:val="TableContents"/>
              <w:spacing w:before="0" w:after="283"/>
              <w:rPr/>
            </w:pPr>
            <w:r>
              <w:rPr/>
              <w:t> </w:t>
            </w:r>
          </w:p>
        </w:tc>
      </w:tr>
      <w:tr>
        <w:trPr/>
        <w:tc>
          <w:tcPr>
            <w:tcW w:w="4519" w:type="dxa"/>
            <w:tcBorders/>
            <w:shd w:fill="CCEEFF" w:val="clear"/>
          </w:tcPr>
          <w:p>
            <w:pPr>
              <w:pStyle w:val="TableContents"/>
              <w:spacing w:before="0" w:after="283"/>
              <w:rPr/>
            </w:pPr>
            <w:r>
              <w:rPr/>
              <w:t>Initial acceptance fee</w:t>
            </w:r>
          </w:p>
        </w:tc>
        <w:tc>
          <w:tcPr>
            <w:tcW w:w="134" w:type="dxa"/>
            <w:tcBorders/>
            <w:shd w:fill="CCEEFF" w:val="clear"/>
            <w:vAlign w:val="bottom"/>
          </w:tcPr>
          <w:p>
            <w:pPr>
              <w:pStyle w:val="TableContents"/>
              <w:spacing w:before="0" w:after="283"/>
              <w:rPr/>
            </w:pPr>
            <w:r>
              <w:rPr/>
              <w:t>  </w:t>
            </w:r>
          </w:p>
        </w:tc>
        <w:tc>
          <w:tcPr>
            <w:tcW w:w="3992" w:type="dxa"/>
            <w:tcBorders/>
            <w:shd w:fill="CCEEFF" w:val="clear"/>
          </w:tcPr>
          <w:p>
            <w:pPr>
              <w:pStyle w:val="TableContents"/>
              <w:spacing w:before="0" w:after="283"/>
              <w:rPr/>
            </w:pPr>
            <w:r>
              <w:rPr/>
              <w:t>Initial closing of IPO by wire transfer</w:t>
            </w:r>
          </w:p>
        </w:tc>
        <w:tc>
          <w:tcPr>
            <w:tcW w:w="220" w:type="dxa"/>
            <w:tcBorders/>
            <w:shd w:fill="CCEEFF" w:val="clear"/>
            <w:vAlign w:val="bottom"/>
          </w:tcPr>
          <w:p>
            <w:pPr>
              <w:pStyle w:val="TableContents"/>
              <w:spacing w:before="0" w:after="283"/>
              <w:rPr/>
            </w:pPr>
            <w:r>
              <w:rPr/>
              <w:t>  </w:t>
            </w:r>
          </w:p>
        </w:tc>
        <w:tc>
          <w:tcPr>
            <w:tcW w:w="142" w:type="dxa"/>
            <w:tcBorders/>
            <w:shd w:fill="CCEEFF" w:val="clear"/>
          </w:tcPr>
          <w:p>
            <w:pPr>
              <w:pStyle w:val="TableContents"/>
              <w:spacing w:before="0" w:after="283"/>
              <w:rPr/>
            </w:pPr>
            <w:r>
              <w:rPr/>
              <w:t>$</w:t>
            </w:r>
          </w:p>
        </w:tc>
        <w:tc>
          <w:tcPr>
            <w:tcW w:w="996" w:type="dxa"/>
            <w:tcBorders/>
            <w:shd w:fill="CCEEFF" w:val="clear"/>
          </w:tcPr>
          <w:p>
            <w:pPr>
              <w:pStyle w:val="TableContents"/>
              <w:spacing w:before="0" w:after="283"/>
              <w:jc w:val="right"/>
              <w:rPr/>
            </w:pPr>
            <w:r>
              <w:rPr/>
              <w:t>3,500.00</w:t>
            </w:r>
          </w:p>
        </w:tc>
        <w:tc>
          <w:tcPr>
            <w:tcW w:w="202" w:type="dxa"/>
            <w:tcBorders/>
            <w:shd w:fill="CCEEFF" w:val="clear"/>
          </w:tcPr>
          <w:p>
            <w:pPr>
              <w:pStyle w:val="TableContents"/>
              <w:spacing w:before="0" w:after="283"/>
              <w:rPr/>
            </w:pPr>
            <w:r>
              <w:rPr/>
              <w:t> </w:t>
            </w:r>
          </w:p>
        </w:tc>
      </w:tr>
      <w:tr>
        <w:trPr/>
        <w:tc>
          <w:tcPr>
            <w:tcW w:w="4519" w:type="dxa"/>
            <w:tcBorders/>
            <w:shd w:fill="auto" w:val="clear"/>
          </w:tcPr>
          <w:p>
            <w:pPr>
              <w:pStyle w:val="TableContents"/>
              <w:spacing w:before="0" w:after="283"/>
              <w:rPr/>
            </w:pPr>
            <w:r>
              <w:rPr/>
              <w:t>Annual fee</w:t>
            </w:r>
          </w:p>
        </w:tc>
        <w:tc>
          <w:tcPr>
            <w:tcW w:w="134" w:type="dxa"/>
            <w:tcBorders/>
            <w:shd w:fill="auto" w:val="clear"/>
            <w:vAlign w:val="bottom"/>
          </w:tcPr>
          <w:p>
            <w:pPr>
              <w:pStyle w:val="TableContents"/>
              <w:spacing w:before="0" w:after="283"/>
              <w:rPr/>
            </w:pPr>
            <w:r>
              <w:rPr/>
              <w:t>  </w:t>
            </w:r>
          </w:p>
        </w:tc>
        <w:tc>
          <w:tcPr>
            <w:tcW w:w="3992" w:type="dxa"/>
            <w:tcBorders/>
            <w:shd w:fill="auto" w:val="clear"/>
          </w:tcPr>
          <w:p>
            <w:pPr>
              <w:pStyle w:val="TableContents"/>
              <w:spacing w:before="0" w:after="283"/>
              <w:rPr/>
            </w:pPr>
            <w:r>
              <w:rPr/>
              <w:t>First year, initial closing of IPO by wire transfer; thereafter on the anniversary of the effective date of the IPO by wire transfer or check</w:t>
            </w:r>
          </w:p>
        </w:tc>
        <w:tc>
          <w:tcPr>
            <w:tcW w:w="220" w:type="dxa"/>
            <w:tcBorders/>
            <w:shd w:fill="auto" w:val="clear"/>
            <w:vAlign w:val="bottom"/>
          </w:tcPr>
          <w:p>
            <w:pPr>
              <w:pStyle w:val="TableContents"/>
              <w:spacing w:before="0" w:after="283"/>
              <w:rPr/>
            </w:pPr>
            <w:r>
              <w:rPr/>
              <w:t>  </w:t>
            </w:r>
          </w:p>
        </w:tc>
        <w:tc>
          <w:tcPr>
            <w:tcW w:w="142" w:type="dxa"/>
            <w:tcBorders/>
            <w:shd w:fill="auto" w:val="clear"/>
          </w:tcPr>
          <w:p>
            <w:pPr>
              <w:pStyle w:val="TableContents"/>
              <w:spacing w:before="0" w:after="283"/>
              <w:rPr/>
            </w:pPr>
            <w:r>
              <w:rPr/>
              <w:t>$</w:t>
            </w:r>
          </w:p>
        </w:tc>
        <w:tc>
          <w:tcPr>
            <w:tcW w:w="996" w:type="dxa"/>
            <w:tcBorders/>
            <w:shd w:fill="auto" w:val="clear"/>
          </w:tcPr>
          <w:p>
            <w:pPr>
              <w:pStyle w:val="TableContents"/>
              <w:spacing w:before="0" w:after="283"/>
              <w:jc w:val="right"/>
              <w:rPr/>
            </w:pPr>
            <w:r>
              <w:rPr/>
              <w:t>10,000.00</w:t>
            </w:r>
          </w:p>
        </w:tc>
        <w:tc>
          <w:tcPr>
            <w:tcW w:w="202" w:type="dxa"/>
            <w:tcBorders/>
            <w:shd w:fill="auto" w:val="clear"/>
          </w:tcPr>
          <w:p>
            <w:pPr>
              <w:pStyle w:val="TableContents"/>
              <w:spacing w:before="0" w:after="283"/>
              <w:rPr/>
            </w:pPr>
            <w:r>
              <w:rPr/>
              <w:t> </w:t>
            </w:r>
          </w:p>
        </w:tc>
      </w:tr>
      <w:tr>
        <w:trPr/>
        <w:tc>
          <w:tcPr>
            <w:tcW w:w="4519" w:type="dxa"/>
            <w:tcBorders/>
            <w:shd w:fill="CCEEFF" w:val="clear"/>
          </w:tcPr>
          <w:p>
            <w:pPr>
              <w:pStyle w:val="TableContents"/>
              <w:spacing w:before="0" w:after="283"/>
              <w:rPr/>
            </w:pPr>
            <w:r>
              <w:rPr/>
              <w:t>Transaction processing fee for disbursements to Company under Sections 1(i), (j), and (k)</w:t>
            </w:r>
          </w:p>
        </w:tc>
        <w:tc>
          <w:tcPr>
            <w:tcW w:w="134" w:type="dxa"/>
            <w:tcBorders/>
            <w:shd w:fill="CCEEFF" w:val="clear"/>
            <w:vAlign w:val="bottom"/>
          </w:tcPr>
          <w:p>
            <w:pPr>
              <w:pStyle w:val="TableContents"/>
              <w:spacing w:before="0" w:after="283"/>
              <w:rPr/>
            </w:pPr>
            <w:r>
              <w:rPr/>
              <w:t>  </w:t>
            </w:r>
          </w:p>
        </w:tc>
        <w:tc>
          <w:tcPr>
            <w:tcW w:w="3992" w:type="dxa"/>
            <w:tcBorders/>
            <w:shd w:fill="CCEEFF" w:val="clear"/>
          </w:tcPr>
          <w:p>
            <w:pPr>
              <w:pStyle w:val="TableContents"/>
              <w:spacing w:before="0" w:after="283"/>
              <w:rPr/>
            </w:pPr>
            <w:r>
              <w:rPr/>
              <w:t>Billed by Trustee to Company under Section 1</w:t>
            </w:r>
          </w:p>
        </w:tc>
        <w:tc>
          <w:tcPr>
            <w:tcW w:w="220" w:type="dxa"/>
            <w:tcBorders/>
            <w:shd w:fill="CCEEFF" w:val="clear"/>
            <w:vAlign w:val="bottom"/>
          </w:tcPr>
          <w:p>
            <w:pPr>
              <w:pStyle w:val="TableContents"/>
              <w:spacing w:before="0" w:after="283"/>
              <w:rPr/>
            </w:pPr>
            <w:r>
              <w:rPr/>
              <w:t>  </w:t>
            </w:r>
          </w:p>
        </w:tc>
        <w:tc>
          <w:tcPr>
            <w:tcW w:w="142" w:type="dxa"/>
            <w:tcBorders/>
            <w:shd w:fill="CCEEFF" w:val="clear"/>
          </w:tcPr>
          <w:p>
            <w:pPr>
              <w:pStyle w:val="TableContents"/>
              <w:spacing w:before="0" w:after="283"/>
              <w:rPr/>
            </w:pPr>
            <w:r>
              <w:rPr/>
              <w:t>$</w:t>
            </w:r>
          </w:p>
        </w:tc>
        <w:tc>
          <w:tcPr>
            <w:tcW w:w="996" w:type="dxa"/>
            <w:tcBorders/>
            <w:shd w:fill="CCEEFF" w:val="clear"/>
          </w:tcPr>
          <w:p>
            <w:pPr>
              <w:pStyle w:val="TableContents"/>
              <w:spacing w:before="0" w:after="283"/>
              <w:jc w:val="right"/>
              <w:rPr/>
            </w:pPr>
            <w:r>
              <w:rPr/>
              <w:t>250.00</w:t>
            </w:r>
          </w:p>
        </w:tc>
        <w:tc>
          <w:tcPr>
            <w:tcW w:w="202" w:type="dxa"/>
            <w:tcBorders/>
            <w:shd w:fill="CCEEFF" w:val="clear"/>
          </w:tcPr>
          <w:p>
            <w:pPr>
              <w:pStyle w:val="TableContents"/>
              <w:spacing w:before="0" w:after="283"/>
              <w:rPr/>
            </w:pPr>
            <w:r>
              <w:rPr/>
              <w:t> </w:t>
            </w:r>
          </w:p>
        </w:tc>
      </w:tr>
      <w:tr>
        <w:trPr/>
        <w:tc>
          <w:tcPr>
            <w:tcW w:w="4519" w:type="dxa"/>
            <w:tcBorders/>
            <w:shd w:fill="auto" w:val="clear"/>
          </w:tcPr>
          <w:p>
            <w:pPr>
              <w:pStyle w:val="TableContents"/>
              <w:spacing w:before="0" w:after="283"/>
              <w:rPr/>
            </w:pPr>
            <w:r>
              <w:rPr/>
              <w:t>Paying Agent services as required pursuant to Section 1(i) and 1(k)</w:t>
            </w:r>
          </w:p>
        </w:tc>
        <w:tc>
          <w:tcPr>
            <w:tcW w:w="134" w:type="dxa"/>
            <w:tcBorders/>
            <w:shd w:fill="auto" w:val="clear"/>
            <w:vAlign w:val="bottom"/>
          </w:tcPr>
          <w:p>
            <w:pPr>
              <w:pStyle w:val="TableContents"/>
              <w:spacing w:before="0" w:after="283"/>
              <w:rPr/>
            </w:pPr>
            <w:r>
              <w:rPr/>
              <w:t>  </w:t>
            </w:r>
          </w:p>
        </w:tc>
        <w:tc>
          <w:tcPr>
            <w:tcW w:w="3992" w:type="dxa"/>
            <w:tcBorders/>
            <w:shd w:fill="auto" w:val="clear"/>
          </w:tcPr>
          <w:p>
            <w:pPr>
              <w:pStyle w:val="TableContents"/>
              <w:spacing w:before="0" w:after="283"/>
              <w:rPr/>
            </w:pPr>
            <w:r>
              <w:rPr/>
              <w:t>Billed to Company upon delivery of service pursuant to Section 1(i) and 1(k)</w:t>
            </w:r>
          </w:p>
        </w:tc>
        <w:tc>
          <w:tcPr>
            <w:tcW w:w="220" w:type="dxa"/>
            <w:tcBorders/>
            <w:shd w:fill="auto" w:val="clear"/>
            <w:vAlign w:val="bottom"/>
          </w:tcPr>
          <w:p>
            <w:pPr>
              <w:pStyle w:val="TableContents"/>
              <w:spacing w:before="0" w:after="283"/>
              <w:rPr/>
            </w:pPr>
            <w:r>
              <w:rPr/>
              <w:t>  </w:t>
            </w:r>
          </w:p>
        </w:tc>
        <w:tc>
          <w:tcPr>
            <w:tcW w:w="142" w:type="dxa"/>
            <w:tcBorders/>
            <w:shd w:fill="auto" w:val="clear"/>
          </w:tcPr>
          <w:p>
            <w:pPr>
              <w:pStyle w:val="TableContents"/>
              <w:spacing w:before="0" w:after="283"/>
              <w:rPr/>
            </w:pPr>
            <w:r>
              <w:rPr/>
              <w:t> </w:t>
            </w:r>
          </w:p>
        </w:tc>
        <w:tc>
          <w:tcPr>
            <w:tcW w:w="996" w:type="dxa"/>
            <w:tcBorders/>
            <w:shd w:fill="auto" w:val="clear"/>
          </w:tcPr>
          <w:p>
            <w:pPr>
              <w:pStyle w:val="TableContents"/>
              <w:spacing w:before="0" w:after="283"/>
              <w:jc w:val="center"/>
              <w:rPr/>
            </w:pPr>
            <w:r>
              <w:rPr/>
              <w:t>Prevailing</w:t>
              <w:br/>
              <w:t>rates</w:t>
            </w:r>
          </w:p>
        </w:tc>
        <w:tc>
          <w:tcPr>
            <w:tcW w:w="202" w:type="dxa"/>
            <w:tcBorders/>
            <w:shd w:fill="auto" w:val="clear"/>
          </w:tcPr>
          <w:p>
            <w:pPr>
              <w:pStyle w:val="TableContents"/>
              <w:spacing w:before="0" w:after="283"/>
              <w:rPr/>
            </w:pPr>
            <w:r>
              <w:rPr/>
              <w:t> </w:t>
            </w:r>
            <w:r>
              <w:rPr/>
              <w:br/>
              <w:t> </w:t>
            </w:r>
          </w:p>
        </w:tc>
      </w:tr>
    </w:tbl>
    <w:p>
      <w:pPr>
        <w:pStyle w:val="HorizontalLine"/>
        <w:pBdr>
          <w:bottom w:val="double" w:sz="6" w:space="0" w:color="808080"/>
        </w:pBdr>
        <w:rPr/>
      </w:pPr>
      <w:r>
        <w:br w:type="page"/>
      </w:r>
      <w:r>
        <w:rPr/>
      </w:r>
    </w:p>
    <w:p>
      <w:pPr>
        <w:pStyle w:val="TextBody"/>
        <w:spacing w:before="0" w:after="0"/>
        <w:jc w:val="center"/>
        <w:rPr>
          <w:rFonts w:ascii="Times New Roman" w:hAnsi="Times New Roman"/>
          <w:b/>
          <w:sz w:val="20"/>
        </w:rPr>
      </w:pPr>
      <w:r>
        <w:rPr>
          <w:rFonts w:ascii="Times New Roman" w:hAnsi="Times New Roman"/>
          <w:b/>
          <w:sz w:val="20"/>
        </w:rPr>
        <w:t xml:space="preserve">EXHIBIT A </w:t>
      </w:r>
    </w:p>
    <w:p>
      <w:pPr>
        <w:pStyle w:val="TextBody"/>
        <w:spacing w:before="240" w:after="0"/>
        <w:jc w:val="center"/>
        <w:rPr>
          <w:rFonts w:ascii="Times New Roman" w:hAnsi="Times New Roman"/>
          <w:b/>
          <w:sz w:val="20"/>
        </w:rPr>
      </w:pPr>
      <w:r>
        <w:rPr>
          <w:rFonts w:ascii="Times New Roman" w:hAnsi="Times New Roman"/>
          <w:b/>
          <w:sz w:val="20"/>
        </w:rPr>
        <w:t xml:space="preserve">[Letterhead of Company] </w:t>
      </w:r>
    </w:p>
    <w:p>
      <w:pPr>
        <w:pStyle w:val="TextBody"/>
        <w:spacing w:before="240" w:after="0"/>
        <w:jc w:val="center"/>
        <w:rPr>
          <w:rFonts w:ascii="Times New Roman" w:hAnsi="Times New Roman"/>
          <w:b/>
          <w:sz w:val="20"/>
        </w:rPr>
      </w:pPr>
      <w:r>
        <w:rPr>
          <w:rFonts w:ascii="Times New Roman" w:hAnsi="Times New Roman"/>
          <w:b/>
          <w:sz w:val="20"/>
        </w:rPr>
        <w:t xml:space="preserve">[Insert date] </w:t>
      </w:r>
    </w:p>
    <w:p>
      <w:pPr>
        <w:pStyle w:val="TextBody"/>
        <w:spacing w:before="240" w:after="0"/>
        <w:jc w:val="left"/>
        <w:rPr>
          <w:rFonts w:ascii="Times New Roman" w:hAnsi="Times New Roman"/>
          <w:sz w:val="20"/>
        </w:rPr>
      </w:pPr>
      <w:r>
        <w:rPr>
          <w:rFonts w:ascii="Times New Roman" w:hAnsi="Times New Roman"/>
          <w:sz w:val="20"/>
        </w:rPr>
        <w:t xml:space="preserve">Continental Stock Transfer &amp; Trust Company </w:t>
      </w:r>
    </w:p>
    <w:p>
      <w:pPr>
        <w:pStyle w:val="TextBody"/>
        <w:spacing w:before="0" w:after="0"/>
        <w:jc w:val="left"/>
        <w:rPr>
          <w:rFonts w:ascii="Times New Roman" w:hAnsi="Times New Roman"/>
          <w:sz w:val="20"/>
        </w:rPr>
      </w:pPr>
      <w:r>
        <w:rPr>
          <w:rFonts w:ascii="Times New Roman" w:hAnsi="Times New Roman"/>
          <w:sz w:val="20"/>
        </w:rPr>
        <w:t xml:space="preserve">1 State Street, 30th Floor </w:t>
      </w:r>
    </w:p>
    <w:p>
      <w:pPr>
        <w:pStyle w:val="TextBody"/>
        <w:spacing w:before="0" w:after="0"/>
        <w:jc w:val="left"/>
        <w:rPr>
          <w:rFonts w:ascii="Times New Roman" w:hAnsi="Times New Roman"/>
          <w:sz w:val="20"/>
        </w:rPr>
      </w:pPr>
      <w:r>
        <w:rPr>
          <w:rFonts w:ascii="Times New Roman" w:hAnsi="Times New Roman"/>
          <w:sz w:val="20"/>
        </w:rPr>
        <w:t xml:space="preserve">New York, New York 10004 </w:t>
      </w:r>
    </w:p>
    <w:p>
      <w:pPr>
        <w:pStyle w:val="TextBody"/>
        <w:spacing w:before="0" w:after="0"/>
        <w:jc w:val="left"/>
        <w:rPr>
          <w:rFonts w:ascii="Times New Roman" w:hAnsi="Times New Roman"/>
          <w:sz w:val="20"/>
        </w:rPr>
      </w:pPr>
      <w:r>
        <w:rPr>
          <w:rFonts w:ascii="Times New Roman" w:hAnsi="Times New Roman"/>
          <w:sz w:val="20"/>
        </w:rPr>
        <w:t xml:space="preserve">Attn: Francis Wolf &amp; Celeste Gonzalez </w:t>
      </w:r>
    </w:p>
    <w:p>
      <w:pPr>
        <w:pStyle w:val="TextBody"/>
        <w:spacing w:before="240" w:after="0"/>
        <w:jc w:val="left"/>
        <w:rPr>
          <w:rFonts w:ascii="Times New Roman" w:hAnsi="Times New Roman"/>
          <w:sz w:val="20"/>
        </w:rPr>
      </w:pPr>
      <w:r>
        <w:rPr>
          <w:rFonts w:ascii="Times New Roman" w:hAnsi="Times New Roman"/>
          <w:sz w:val="20"/>
        </w:rPr>
        <w:t xml:space="preserve">Re: </w:t>
      </w:r>
      <w:r>
        <w:rPr>
          <w:rFonts w:ascii="Times New Roman" w:hAnsi="Times New Roman"/>
          <w:sz w:val="20"/>
          <w:u w:val="single"/>
        </w:rPr>
        <w:t>Trust Account No. Termination Letter</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Dear Mr. Wolf and Ms. Gonzalez: </w:t>
      </w:r>
    </w:p>
    <w:p>
      <w:pPr>
        <w:pStyle w:val="TextBody"/>
        <w:spacing w:before="240" w:after="0"/>
        <w:jc w:val="left"/>
        <w:rPr>
          <w:rFonts w:ascii="Times New Roman" w:hAnsi="Times New Roman"/>
          <w:sz w:val="20"/>
        </w:rPr>
      </w:pPr>
      <w:r>
        <w:rPr>
          <w:rFonts w:ascii="Times New Roman" w:hAnsi="Times New Roman"/>
          <w:sz w:val="20"/>
        </w:rPr>
        <w:t xml:space="preserve">Pursuant to </w:t>
      </w:r>
      <w:r>
        <w:rPr>
          <w:rFonts w:ascii="Times New Roman" w:hAnsi="Times New Roman"/>
          <w:sz w:val="20"/>
          <w:u w:val="single"/>
        </w:rPr>
        <w:t>Section 1(i)</w:t>
      </w:r>
      <w:r>
        <w:rPr>
          <w:rFonts w:ascii="Times New Roman" w:hAnsi="Times New Roman"/>
          <w:sz w:val="20"/>
        </w:rPr>
        <w:t xml:space="preserve"> of the Investment Management Trust Agreement between ArcLight Clean Transition Corp. II (the </w:t>
      </w:r>
      <w:r>
        <w:rPr>
          <w:rFonts w:ascii="Times New Roman" w:hAnsi="Times New Roman"/>
          <w:b/>
          <w:i/>
          <w:sz w:val="20"/>
        </w:rPr>
        <w:t>Company</w:t>
      </w:r>
      <w:r>
        <w:rPr>
          <w:rFonts w:ascii="Times New Roman" w:hAnsi="Times New Roman"/>
          <w:sz w:val="20"/>
        </w:rPr>
        <w:t>) and Continental Stock Transfer &amp; Trust Company (</w:t>
      </w:r>
      <w:r>
        <w:rPr>
          <w:rFonts w:ascii="Times New Roman" w:hAnsi="Times New Roman"/>
          <w:b/>
          <w:i/>
          <w:sz w:val="20"/>
        </w:rPr>
        <w:t>Trustee</w:t>
      </w:r>
      <w:r>
        <w:rPr>
          <w:rFonts w:ascii="Times New Roman" w:hAnsi="Times New Roman"/>
          <w:sz w:val="20"/>
        </w:rPr>
        <w:t>), dated as of [●], 2021 (the </w:t>
      </w:r>
      <w:r>
        <w:rPr>
          <w:rFonts w:ascii="Times New Roman" w:hAnsi="Times New Roman"/>
          <w:b/>
          <w:i/>
          <w:sz w:val="20"/>
        </w:rPr>
        <w:t>Trust</w:t>
      </w:r>
      <w:r>
        <w:rPr>
          <w:rFonts w:ascii="Times New Roman" w:hAnsi="Times New Roman"/>
          <w:sz w:val="20"/>
        </w:rPr>
        <w:t xml:space="preserve"> </w:t>
      </w:r>
      <w:r>
        <w:rPr>
          <w:rFonts w:ascii="Times New Roman" w:hAnsi="Times New Roman"/>
          <w:b/>
          <w:i/>
          <w:sz w:val="20"/>
        </w:rPr>
        <w:t>Agreement</w:t>
      </w:r>
      <w:r>
        <w:rPr>
          <w:rFonts w:ascii="Times New Roman" w:hAnsi="Times New Roman"/>
          <w:sz w:val="20"/>
        </w:rPr>
        <w:t>), this is to advise you that the Company has entered into an agreement with                      (the </w:t>
      </w:r>
      <w:r>
        <w:rPr>
          <w:rFonts w:ascii="Times New Roman" w:hAnsi="Times New Roman"/>
          <w:b/>
          <w:i/>
          <w:sz w:val="20"/>
        </w:rPr>
        <w:t>Target</w:t>
      </w:r>
      <w:r>
        <w:rPr>
          <w:rFonts w:ascii="Times New Roman" w:hAnsi="Times New Roman"/>
          <w:sz w:val="20"/>
        </w:rPr>
        <w:t xml:space="preserve"> </w:t>
      </w:r>
      <w:r>
        <w:rPr>
          <w:rFonts w:ascii="Times New Roman" w:hAnsi="Times New Roman"/>
          <w:b/>
          <w:i/>
          <w:sz w:val="20"/>
        </w:rPr>
        <w:t>Business</w:t>
      </w:r>
      <w:r>
        <w:rPr>
          <w:rFonts w:ascii="Times New Roman" w:hAnsi="Times New Roman"/>
          <w:sz w:val="20"/>
        </w:rPr>
        <w:t>) to consummate a business combination with Target Business (the </w:t>
      </w:r>
      <w:r>
        <w:rPr>
          <w:rFonts w:ascii="Times New Roman" w:hAnsi="Times New Roman"/>
          <w:b/>
          <w:i/>
          <w:sz w:val="20"/>
        </w:rPr>
        <w:t>Business</w:t>
      </w:r>
      <w:r>
        <w:rPr>
          <w:rFonts w:ascii="Times New Roman" w:hAnsi="Times New Roman"/>
          <w:sz w:val="20"/>
        </w:rPr>
        <w:t xml:space="preserve"> </w:t>
      </w:r>
      <w:r>
        <w:rPr>
          <w:rFonts w:ascii="Times New Roman" w:hAnsi="Times New Roman"/>
          <w:b/>
          <w:i/>
          <w:sz w:val="20"/>
        </w:rPr>
        <w:t>Combination</w:t>
      </w:r>
      <w:r>
        <w:rPr>
          <w:rFonts w:ascii="Times New Roman" w:hAnsi="Times New Roman"/>
          <w:sz w:val="20"/>
        </w:rPr>
        <w:t xml:space="preserve">) on or about </w:t>
      </w:r>
      <w:r>
        <w:rPr>
          <w:rFonts w:ascii="Times New Roman" w:hAnsi="Times New Roman"/>
          <w:b/>
          <w:sz w:val="20"/>
        </w:rPr>
        <w:t>[insert date]</w:t>
      </w:r>
      <w:r>
        <w:rPr>
          <w:rFonts w:ascii="Times New Roman" w:hAnsi="Times New Roman"/>
          <w:sz w:val="20"/>
        </w:rPr>
        <w:t>. The Company shall notify you at least seventy-two (72) hours in advance of the actual date (or such shorter time period as you may agree) of the consummation of the Business Combination (the </w:t>
      </w:r>
      <w:r>
        <w:rPr>
          <w:rFonts w:ascii="Times New Roman" w:hAnsi="Times New Roman"/>
          <w:b/>
          <w:i/>
          <w:sz w:val="20"/>
        </w:rPr>
        <w:t>Consummation Date</w:t>
      </w:r>
      <w:r>
        <w:rPr>
          <w:rFonts w:ascii="Times New Roman" w:hAnsi="Times New Roman"/>
          <w:sz w:val="20"/>
        </w:rPr>
        <w:t xml:space="preserve">). Capitalized terms used but not defined herein shall have the meanings set forth in the Trust Agreement. </w:t>
      </w:r>
    </w:p>
    <w:p>
      <w:pPr>
        <w:pStyle w:val="TextBody"/>
        <w:spacing w:before="240" w:after="0"/>
        <w:jc w:val="left"/>
        <w:rPr>
          <w:rFonts w:ascii="Times New Roman" w:hAnsi="Times New Roman"/>
          <w:sz w:val="20"/>
        </w:rPr>
      </w:pPr>
      <w:r>
        <w:rPr>
          <w:rFonts w:ascii="Times New Roman" w:hAnsi="Times New Roman"/>
          <w:sz w:val="20"/>
        </w:rPr>
        <w:t xml:space="preserve">In accordance with the terms of the Trust Agreement, we hereby authorize you to commence to liquidate all of the assets of the Trust Account, and to transfer the proceeds into the trust operating account at J.P. Morgan Chase Bank N.A. to the effect that, on the Consummation Date, all of the funds held in the Trust Account will be immediately available for transfer to the account or accounts that the Underwriters (with respect to the Deferred Discount) and the Company shall direct on the Consummation Date. It is acknowledged and agreed that while the funds are on deposit in said trust operating account at J.P. Morgan Chase Bank, N.A. awaiting distribution, neither the Company nor the Underwriters will earn any interest or dividends. </w:t>
      </w:r>
    </w:p>
    <w:p>
      <w:pPr>
        <w:pStyle w:val="TextBody"/>
        <w:spacing w:before="240" w:after="0"/>
        <w:jc w:val="left"/>
        <w:rPr>
          <w:rFonts w:ascii="Times New Roman" w:hAnsi="Times New Roman"/>
          <w:sz w:val="20"/>
        </w:rPr>
      </w:pPr>
      <w:r>
        <w:rPr>
          <w:rFonts w:ascii="Times New Roman" w:hAnsi="Times New Roman"/>
          <w:sz w:val="20"/>
        </w:rPr>
        <w:t>On the Consummation Date (i) counsel for the Company shall deliver to you written notification that the Business Combination has been consummated, or will be consummated substantially concurrently with your transfer of funds to the accounts as directed by the Company (the </w:t>
      </w:r>
      <w:r>
        <w:rPr>
          <w:rFonts w:ascii="Times New Roman" w:hAnsi="Times New Roman"/>
          <w:b/>
          <w:i/>
          <w:sz w:val="20"/>
        </w:rPr>
        <w:t>Notification</w:t>
      </w:r>
      <w:r>
        <w:rPr>
          <w:rFonts w:ascii="Times New Roman" w:hAnsi="Times New Roman"/>
          <w:sz w:val="20"/>
        </w:rPr>
        <w:t>), and (ii) the Company shall deliver to you (a) a certificate of the Chief Executive Officer, Chief Financial Officer or other authorized officer of the Company, which verifies that the Business Combination has been approved by a vote of the Companys shareholders, if a vote is held and (b) joint written instruction signed by the Company and the Underwriters with respect to the transfer of the funds held in the Trust Account, including payment of the Deferred Discount from the Trust Account (the </w:t>
      </w:r>
      <w:r>
        <w:rPr>
          <w:rFonts w:ascii="Times New Roman" w:hAnsi="Times New Roman"/>
          <w:b/>
          <w:i/>
          <w:sz w:val="20"/>
        </w:rPr>
        <w:t>Instruction Letter</w:t>
      </w:r>
      <w:r>
        <w:rPr>
          <w:rFonts w:ascii="Times New Roman" w:hAnsi="Times New Roman"/>
          <w:sz w:val="20"/>
        </w:rPr>
        <w:t xml:space="preserve">). You are hereby directed and authorized to transfer the funds held in the Trust Account immediately upon your receipt of the Notification and the Instruction Letter, in accordance with the terms of the Instruction Letter. In the event that certain deposits held in the Trust Account may not be liquidated by the Consummation Date without penalty, you will notify the Company in writing of the same and the Company shall direct you as to whether such funds should remain in the Trust Account and be distributed after the Consummation Date to the Company. Upon the distribution of all the funds, net of any payments necessary for reasonable unreimbursed expenses related to liquidating the Trust Account, your obligations under the Trust Agreement shall be terminated. </w:t>
      </w:r>
    </w:p>
    <w:p>
      <w:pPr>
        <w:pStyle w:val="TextBody"/>
        <w:spacing w:before="240" w:after="0"/>
        <w:jc w:val="left"/>
        <w:rPr>
          <w:rFonts w:ascii="Times New Roman" w:hAnsi="Times New Roman"/>
          <w:sz w:val="20"/>
        </w:rPr>
      </w:pPr>
      <w:r>
        <w:rPr>
          <w:rFonts w:ascii="Times New Roman" w:hAnsi="Times New Roman"/>
          <w:sz w:val="20"/>
        </w:rPr>
        <w:t xml:space="preserve">In the event that the Business Combination is not consummated on the Consummation Date described in the notice thereof and we have not notified you on or before the original Consummation Date of a new Consummation Date, then upon receipt by the Trustee of written instructions from the Company, the funds held in the Trust Account shall be reinvested as provided in Section 1(c) of the Trust Agreement on the business day immediately following the Consummation Date as set forth in such notice as soon thereafter as possible. </w:t>
      </w:r>
      <w:r>
        <w:br w:type="page"/>
      </w:r>
    </w:p>
    <w:p>
      <w:pPr>
        <w:pStyle w:val="HorizontalLine"/>
        <w:pBdr>
          <w:bottom w:val="double" w:sz="6" w:space="0" w:color="808080"/>
        </w:pBdr>
        <w:rPr/>
      </w:pPr>
      <w:r>
        <w:rPr/>
      </w:r>
    </w:p>
    <w:tbl>
      <w:tblPr>
        <w:tblW w:w="2000" w:type="pct"/>
        <w:jc w:val="right"/>
        <w:tblInd w:w="0" w:type="dxa"/>
        <w:tblCellMar>
          <w:top w:w="0" w:type="dxa"/>
          <w:left w:w="0" w:type="dxa"/>
          <w:bottom w:w="0" w:type="dxa"/>
          <w:right w:w="0" w:type="dxa"/>
        </w:tblCellMar>
      </w:tblPr>
      <w:tblGrid>
        <w:gridCol w:w="568"/>
        <w:gridCol w:w="60"/>
        <w:gridCol w:w="3454"/>
      </w:tblGrid>
      <w:tr>
        <w:trPr/>
        <w:tc>
          <w:tcPr>
            <w:tcW w:w="56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454"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0"/>
              <w:rPr>
                <w:rFonts w:ascii="Times New Roman" w:hAnsi="Times New Roman"/>
                <w:sz w:val="20"/>
              </w:rPr>
            </w:pPr>
            <w:r>
              <w:rPr>
                <w:rFonts w:ascii="Times New Roman" w:hAnsi="Times New Roman"/>
                <w:sz w:val="20"/>
              </w:rPr>
              <w:t>Very truly yours,</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0"/>
              <w:rPr>
                <w:rFonts w:ascii="Times New Roman" w:hAnsi="Times New Roman"/>
                <w:sz w:val="20"/>
              </w:rPr>
            </w:pPr>
            <w:r>
              <w:rPr>
                <w:rFonts w:ascii="Times New Roman" w:hAnsi="Times New Roman"/>
                <w:sz w:val="20"/>
              </w:rPr>
              <w:t>ArcLight Clean Transition Corp. II</w:t>
            </w:r>
          </w:p>
        </w:tc>
      </w:tr>
      <w:tr>
        <w:trPr>
          <w:trHeight w:val="240" w:hRule="atLeast"/>
        </w:trPr>
        <w:tc>
          <w:tcPr>
            <w:tcW w:w="568" w:type="dxa"/>
            <w:tcBorders/>
            <w:shd w:fill="auto" w:val="clear"/>
            <w:vAlign w:val="center"/>
          </w:tcPr>
          <w:p>
            <w:pPr>
              <w:pStyle w:val="TableContents"/>
              <w:spacing w:before="0" w:after="283"/>
              <w:rPr>
                <w:sz w:val="4"/>
                <w:szCs w:val="4"/>
              </w:rPr>
            </w:pPr>
            <w:r>
              <w:rPr>
                <w:sz w:val="4"/>
                <w:szCs w:val="4"/>
              </w:rPr>
            </w:r>
          </w:p>
        </w:tc>
        <w:tc>
          <w:tcPr>
            <w:tcW w:w="3514" w:type="dxa"/>
            <w:gridSpan w:val="2"/>
            <w:tcBorders/>
            <w:shd w:fill="auto" w:val="clear"/>
            <w:vAlign w:val="center"/>
          </w:tcPr>
          <w:p>
            <w:pPr>
              <w:pStyle w:val="TableContents"/>
              <w:spacing w:before="0" w:after="283"/>
              <w:rPr>
                <w:sz w:val="4"/>
                <w:szCs w:val="4"/>
              </w:rPr>
            </w:pPr>
            <w:r>
              <w:rPr>
                <w:sz w:val="4"/>
                <w:szCs w:val="4"/>
              </w:rPr>
            </w:r>
          </w:p>
        </w:tc>
      </w:tr>
      <w:tr>
        <w:trPr/>
        <w:tc>
          <w:tcPr>
            <w:tcW w:w="568" w:type="dxa"/>
            <w:tcBorders/>
            <w:shd w:fill="auto" w:val="clear"/>
          </w:tcPr>
          <w:p>
            <w:pPr>
              <w:pStyle w:val="TableContents"/>
              <w:spacing w:before="0" w:after="0"/>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454" w:type="dxa"/>
            <w:tcBorders/>
            <w:shd w:fill="auto" w:val="clear"/>
          </w:tcPr>
          <w:p>
            <w:pPr>
              <w:pStyle w:val="TableContents"/>
              <w:pBdr>
                <w:bottom w:val="single" w:sz="2" w:space="1" w:color="000000"/>
              </w:pBdr>
              <w:spacing w:before="0" w:after="20"/>
              <w:rPr/>
            </w:pPr>
            <w:r>
              <w:rPr/>
              <w:t>                                                               </w:t>
            </w:r>
          </w:p>
        </w:tc>
      </w:tr>
      <w:tr>
        <w:trPr/>
        <w:tc>
          <w:tcPr>
            <w:tcW w:w="568" w:type="dxa"/>
            <w:tcBorders/>
            <w:shd w:fill="auto" w:val="clear"/>
          </w:tcPr>
          <w:p>
            <w:pPr>
              <w:pStyle w:val="TableContents"/>
              <w:spacing w:before="0" w:after="0"/>
              <w:rPr>
                <w:rFonts w:ascii="Times New Roman" w:hAnsi="Times New Roman"/>
                <w:sz w:val="20"/>
              </w:rPr>
            </w:pPr>
            <w:r>
              <w:rPr>
                <w:rFonts w:ascii="Times New Roman" w:hAnsi="Times New Roman"/>
                <w:sz w:val="20"/>
              </w:rPr>
              <w:t>Name:</w:t>
            </w:r>
          </w:p>
        </w:tc>
        <w:tc>
          <w:tcPr>
            <w:tcW w:w="60" w:type="dxa"/>
            <w:tcBorders/>
            <w:shd w:fill="auto" w:val="clear"/>
            <w:vAlign w:val="bottom"/>
          </w:tcPr>
          <w:p>
            <w:pPr>
              <w:pStyle w:val="TableContents"/>
              <w:spacing w:before="0" w:after="283"/>
              <w:rPr/>
            </w:pPr>
            <w:r>
              <w:rPr/>
              <w:t> </w:t>
            </w:r>
          </w:p>
        </w:tc>
        <w:tc>
          <w:tcPr>
            <w:tcW w:w="3454" w:type="dxa"/>
            <w:tcBorders/>
            <w:shd w:fill="auto" w:val="clear"/>
          </w:tcPr>
          <w:p>
            <w:pPr>
              <w:pStyle w:val="TableContents"/>
              <w:spacing w:before="0" w:after="283"/>
              <w:rPr>
                <w:sz w:val="4"/>
                <w:szCs w:val="4"/>
              </w:rPr>
            </w:pPr>
            <w:r>
              <w:rPr>
                <w:sz w:val="4"/>
                <w:szCs w:val="4"/>
              </w:rPr>
            </w:r>
          </w:p>
        </w:tc>
      </w:tr>
      <w:tr>
        <w:trPr/>
        <w:tc>
          <w:tcPr>
            <w:tcW w:w="568" w:type="dxa"/>
            <w:tcBorders/>
            <w:shd w:fill="auto" w:val="clear"/>
          </w:tcPr>
          <w:p>
            <w:pPr>
              <w:pStyle w:val="TableContents"/>
              <w:spacing w:before="0" w:after="0"/>
              <w:rPr>
                <w:rFonts w:ascii="Times New Roman" w:hAnsi="Times New Roman"/>
                <w:sz w:val="20"/>
              </w:rPr>
            </w:pPr>
            <w:r>
              <w:rPr>
                <w:rFonts w:ascii="Times New Roman" w:hAnsi="Times New Roman"/>
                <w:sz w:val="20"/>
              </w:rPr>
              <w:t>Title:</w:t>
            </w:r>
          </w:p>
        </w:tc>
        <w:tc>
          <w:tcPr>
            <w:tcW w:w="60" w:type="dxa"/>
            <w:tcBorders/>
            <w:shd w:fill="auto" w:val="clear"/>
            <w:vAlign w:val="bottom"/>
          </w:tcPr>
          <w:p>
            <w:pPr>
              <w:pStyle w:val="TableContents"/>
              <w:spacing w:before="0" w:after="283"/>
              <w:rPr/>
            </w:pPr>
            <w:r>
              <w:rPr/>
              <w:t> </w:t>
            </w:r>
          </w:p>
        </w:tc>
        <w:tc>
          <w:tcPr>
            <w:tcW w:w="3454" w:type="dxa"/>
            <w:tcBorders/>
            <w:shd w:fill="auto" w:val="clear"/>
          </w:tcPr>
          <w:p>
            <w:pPr>
              <w:pStyle w:val="TableContents"/>
              <w:spacing w:before="0" w:after="283"/>
              <w:rPr>
                <w:sz w:val="4"/>
                <w:szCs w:val="4"/>
              </w:rPr>
            </w:pPr>
            <w:r>
              <w:rPr>
                <w:sz w:val="4"/>
                <w:szCs w:val="4"/>
              </w:rPr>
            </w:r>
          </w:p>
        </w:tc>
      </w:tr>
    </w:tbl>
    <w:p>
      <w:pPr>
        <w:pStyle w:val="TextBody"/>
        <w:spacing w:before="240" w:after="0"/>
        <w:jc w:val="left"/>
        <w:rPr>
          <w:rFonts w:ascii="Times New Roman" w:hAnsi="Times New Roman"/>
          <w:sz w:val="20"/>
        </w:rPr>
      </w:pPr>
      <w:r>
        <w:rPr>
          <w:rFonts w:ascii="Times New Roman" w:hAnsi="Times New Roman"/>
          <w:sz w:val="20"/>
        </w:rPr>
        <w:t xml:space="preserve">cc: Citigroup Global Markets Inc. and Barclays Capital Inc.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EXHIBIT B </w:t>
      </w:r>
    </w:p>
    <w:p>
      <w:pPr>
        <w:pStyle w:val="TextBody"/>
        <w:spacing w:before="240" w:after="0"/>
        <w:jc w:val="center"/>
        <w:rPr>
          <w:rFonts w:ascii="Times New Roman" w:hAnsi="Times New Roman"/>
          <w:b/>
          <w:sz w:val="20"/>
        </w:rPr>
      </w:pPr>
      <w:r>
        <w:rPr>
          <w:rFonts w:ascii="Times New Roman" w:hAnsi="Times New Roman"/>
          <w:b/>
          <w:sz w:val="20"/>
        </w:rPr>
        <w:t xml:space="preserve">[Letterhead of Company] </w:t>
      </w:r>
    </w:p>
    <w:p>
      <w:pPr>
        <w:pStyle w:val="TextBody"/>
        <w:spacing w:before="240" w:after="0"/>
        <w:jc w:val="center"/>
        <w:rPr>
          <w:rFonts w:ascii="Times New Roman" w:hAnsi="Times New Roman"/>
          <w:b/>
          <w:sz w:val="20"/>
        </w:rPr>
      </w:pPr>
      <w:r>
        <w:rPr>
          <w:rFonts w:ascii="Times New Roman" w:hAnsi="Times New Roman"/>
          <w:b/>
          <w:sz w:val="20"/>
        </w:rPr>
        <w:t xml:space="preserve">[Insert date] </w:t>
      </w:r>
    </w:p>
    <w:p>
      <w:pPr>
        <w:pStyle w:val="TextBody"/>
        <w:spacing w:before="240" w:after="0"/>
        <w:jc w:val="left"/>
        <w:rPr>
          <w:rFonts w:ascii="Times New Roman" w:hAnsi="Times New Roman"/>
          <w:sz w:val="20"/>
        </w:rPr>
      </w:pPr>
      <w:r>
        <w:rPr>
          <w:rFonts w:ascii="Times New Roman" w:hAnsi="Times New Roman"/>
          <w:sz w:val="20"/>
        </w:rPr>
        <w:t xml:space="preserve">Continental Stock Transfer &amp; Trust Company </w:t>
      </w:r>
    </w:p>
    <w:p>
      <w:pPr>
        <w:pStyle w:val="TextBody"/>
        <w:spacing w:before="0" w:after="0"/>
        <w:jc w:val="left"/>
        <w:rPr>
          <w:rFonts w:ascii="Times New Roman" w:hAnsi="Times New Roman"/>
          <w:sz w:val="20"/>
        </w:rPr>
      </w:pPr>
      <w:r>
        <w:rPr>
          <w:rFonts w:ascii="Times New Roman" w:hAnsi="Times New Roman"/>
          <w:sz w:val="20"/>
        </w:rPr>
        <w:t xml:space="preserve">1 State Street, 30th Floor </w:t>
      </w:r>
    </w:p>
    <w:p>
      <w:pPr>
        <w:pStyle w:val="TextBody"/>
        <w:spacing w:before="0" w:after="0"/>
        <w:jc w:val="left"/>
        <w:rPr>
          <w:rFonts w:ascii="Times New Roman" w:hAnsi="Times New Roman"/>
          <w:sz w:val="20"/>
        </w:rPr>
      </w:pPr>
      <w:r>
        <w:rPr>
          <w:rFonts w:ascii="Times New Roman" w:hAnsi="Times New Roman"/>
          <w:sz w:val="20"/>
        </w:rPr>
        <w:t xml:space="preserve">New York, New York 10004 </w:t>
      </w:r>
    </w:p>
    <w:p>
      <w:pPr>
        <w:pStyle w:val="TextBody"/>
        <w:spacing w:before="0" w:after="0"/>
        <w:jc w:val="left"/>
        <w:rPr>
          <w:rFonts w:ascii="Times New Roman" w:hAnsi="Times New Roman"/>
          <w:sz w:val="20"/>
        </w:rPr>
      </w:pPr>
      <w:r>
        <w:rPr>
          <w:rFonts w:ascii="Times New Roman" w:hAnsi="Times New Roman"/>
          <w:sz w:val="20"/>
        </w:rPr>
        <w:t xml:space="preserve">Attn: Francis Wolf &amp; Celeste Gonzalez </w:t>
      </w:r>
    </w:p>
    <w:p>
      <w:pPr>
        <w:pStyle w:val="TextBody"/>
        <w:spacing w:before="240" w:after="0"/>
        <w:jc w:val="left"/>
        <w:rPr>
          <w:rFonts w:ascii="Times New Roman" w:hAnsi="Times New Roman"/>
          <w:sz w:val="20"/>
        </w:rPr>
      </w:pPr>
      <w:r>
        <w:rPr>
          <w:rFonts w:ascii="Times New Roman" w:hAnsi="Times New Roman"/>
          <w:sz w:val="20"/>
        </w:rPr>
        <w:t xml:space="preserve">Re: </w:t>
      </w:r>
      <w:r>
        <w:rPr>
          <w:rFonts w:ascii="Times New Roman" w:hAnsi="Times New Roman"/>
          <w:sz w:val="20"/>
          <w:u w:val="single"/>
        </w:rPr>
        <w:t>Trust Account No. Termination Letter</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Ladies and Gentlemen: </w:t>
      </w:r>
    </w:p>
    <w:p>
      <w:pPr>
        <w:pStyle w:val="TextBody"/>
        <w:spacing w:before="240" w:after="0"/>
        <w:jc w:val="left"/>
        <w:rPr>
          <w:rFonts w:ascii="Times New Roman" w:hAnsi="Times New Roman"/>
          <w:sz w:val="20"/>
        </w:rPr>
      </w:pPr>
      <w:r>
        <w:rPr>
          <w:rFonts w:ascii="Times New Roman" w:hAnsi="Times New Roman"/>
          <w:sz w:val="20"/>
        </w:rPr>
        <w:t xml:space="preserve">Pursuant to </w:t>
      </w:r>
      <w:r>
        <w:rPr>
          <w:rFonts w:ascii="Times New Roman" w:hAnsi="Times New Roman"/>
          <w:sz w:val="20"/>
          <w:u w:val="single"/>
        </w:rPr>
        <w:t>Section 1(i)</w:t>
      </w:r>
      <w:r>
        <w:rPr>
          <w:rFonts w:ascii="Times New Roman" w:hAnsi="Times New Roman"/>
          <w:sz w:val="20"/>
        </w:rPr>
        <w:t xml:space="preserve"> of the Investment Management Trust Agreement between ArcLight Clean Transition Corp. II (the </w:t>
      </w:r>
      <w:r>
        <w:rPr>
          <w:rFonts w:ascii="Times New Roman" w:hAnsi="Times New Roman"/>
          <w:b/>
          <w:i/>
          <w:sz w:val="20"/>
        </w:rPr>
        <w:t>Company</w:t>
      </w:r>
      <w:r>
        <w:rPr>
          <w:rFonts w:ascii="Times New Roman" w:hAnsi="Times New Roman"/>
          <w:sz w:val="20"/>
        </w:rPr>
        <w:t>) and Continental Stock Transfer &amp; Trust Company (the </w:t>
      </w:r>
      <w:r>
        <w:rPr>
          <w:rFonts w:ascii="Times New Roman" w:hAnsi="Times New Roman"/>
          <w:b/>
          <w:i/>
          <w:sz w:val="20"/>
        </w:rPr>
        <w:t>Trustee</w:t>
      </w:r>
      <w:r>
        <w:rPr>
          <w:rFonts w:ascii="Times New Roman" w:hAnsi="Times New Roman"/>
          <w:sz w:val="20"/>
        </w:rPr>
        <w:t>), dated as of [●], 2021 (the </w:t>
      </w:r>
      <w:r>
        <w:rPr>
          <w:rFonts w:ascii="Times New Roman" w:hAnsi="Times New Roman"/>
          <w:b/>
          <w:i/>
          <w:sz w:val="20"/>
        </w:rPr>
        <w:t>Trust Agreement</w:t>
      </w:r>
      <w:r>
        <w:rPr>
          <w:rFonts w:ascii="Times New Roman" w:hAnsi="Times New Roman"/>
          <w:sz w:val="20"/>
        </w:rPr>
        <w:t>), this is to advise you that the Company has been unable to effect a business combination with a Target Business (the </w:t>
      </w:r>
      <w:r>
        <w:rPr>
          <w:rFonts w:ascii="Times New Roman" w:hAnsi="Times New Roman"/>
          <w:b/>
          <w:i/>
          <w:sz w:val="20"/>
        </w:rPr>
        <w:t>Business Combination</w:t>
      </w:r>
      <w:r>
        <w:rPr>
          <w:rFonts w:ascii="Times New Roman" w:hAnsi="Times New Roman"/>
          <w:sz w:val="20"/>
        </w:rPr>
        <w:t xml:space="preserve">) within the time frame specified in the Companys Amended and Restated Memorandum and Articles of Association, as described in the Companys Prospectus relating to the Offering. Capitalized terms used but not defined herein shall have the meanings set forth in the Trust Agreement. </w:t>
      </w:r>
    </w:p>
    <w:p>
      <w:pPr>
        <w:pStyle w:val="TextBody"/>
        <w:spacing w:before="240" w:after="0"/>
        <w:jc w:val="left"/>
        <w:rPr>
          <w:rFonts w:ascii="Times New Roman" w:hAnsi="Times New Roman"/>
          <w:sz w:val="20"/>
        </w:rPr>
      </w:pPr>
      <w:r>
        <w:rPr>
          <w:rFonts w:ascii="Times New Roman" w:hAnsi="Times New Roman"/>
          <w:sz w:val="20"/>
        </w:rPr>
        <w:t xml:space="preserve">In accordance with the terms of the Trust Agreement, we hereby authorize you to liquidate all of the assets in the Trust Account and to transfer the total proceeds into the trust operating account at J.P. Morgan Chase Bank, N.A. to await distribution to the Public Shareholders. The Company has selected                      as the effective date for the purpose of determining the Public Shareholders that will be entitled to receive their share of the liquidation proceeds. It is acknowledged that no interest will be earned by the Company on the liquidation proceeds while on deposit in the trust operating account You agree to be the Paying Agent of record and, in your separate capacity as Paying Agent, agree to distribute said funds directly to the Companys Public Shareholders in accordance with the terms of the Trust Agreement and the Amended and Restated Memorandum and Articles of Association of the Company. Upon the distribution of all the funds, net of any payments necessary for reasonable unreimbursed expenses related to liquidating the Trust Account, your obligations under the Trust Agreement shall be terminated, except to the extent otherwise provided in </w:t>
      </w:r>
      <w:r>
        <w:rPr>
          <w:rFonts w:ascii="Times New Roman" w:hAnsi="Times New Roman"/>
          <w:sz w:val="20"/>
          <w:u w:val="single"/>
        </w:rPr>
        <w:t>Section 1(j)</w:t>
      </w:r>
      <w:r>
        <w:rPr>
          <w:rFonts w:ascii="Times New Roman" w:hAnsi="Times New Roman"/>
          <w:sz w:val="20"/>
        </w:rPr>
        <w:t xml:space="preserve"> of the Trust Agreement.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665"/>
        <w:gridCol w:w="60"/>
        <w:gridCol w:w="3357"/>
      </w:tblGrid>
      <w:tr>
        <w:trPr/>
        <w:tc>
          <w:tcPr>
            <w:tcW w:w="66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357"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pPr>
            <w:r>
              <w:rPr/>
              <w:t>Very truly yours,</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pPr>
            <w:r>
              <w:rPr/>
              <w:t>ArcLight Clean Transition Corp. II</w:t>
            </w:r>
          </w:p>
        </w:tc>
      </w:tr>
      <w:tr>
        <w:trPr>
          <w:trHeight w:val="240" w:hRule="atLeast"/>
        </w:trPr>
        <w:tc>
          <w:tcPr>
            <w:tcW w:w="665" w:type="dxa"/>
            <w:tcBorders/>
            <w:shd w:fill="auto" w:val="clear"/>
            <w:vAlign w:val="center"/>
          </w:tcPr>
          <w:p>
            <w:pPr>
              <w:pStyle w:val="TableContents"/>
              <w:spacing w:before="0" w:after="283"/>
              <w:rPr>
                <w:sz w:val="4"/>
                <w:szCs w:val="4"/>
              </w:rPr>
            </w:pPr>
            <w:r>
              <w:rPr>
                <w:sz w:val="4"/>
                <w:szCs w:val="4"/>
              </w:rPr>
            </w:r>
          </w:p>
        </w:tc>
        <w:tc>
          <w:tcPr>
            <w:tcW w:w="3417" w:type="dxa"/>
            <w:gridSpan w:val="2"/>
            <w:tcBorders/>
            <w:shd w:fill="auto" w:val="clear"/>
            <w:vAlign w:val="center"/>
          </w:tcPr>
          <w:p>
            <w:pPr>
              <w:pStyle w:val="TableContents"/>
              <w:spacing w:before="0" w:after="283"/>
              <w:rPr>
                <w:sz w:val="4"/>
                <w:szCs w:val="4"/>
              </w:rPr>
            </w:pPr>
            <w:r>
              <w:rPr>
                <w:sz w:val="4"/>
                <w:szCs w:val="4"/>
              </w:rPr>
            </w:r>
          </w:p>
        </w:tc>
      </w:tr>
      <w:tr>
        <w:trPr/>
        <w:tc>
          <w:tcPr>
            <w:tcW w:w="665" w:type="dxa"/>
            <w:tcBorders/>
            <w:shd w:fill="auto" w:val="clear"/>
          </w:tcPr>
          <w:p>
            <w:pPr>
              <w:pStyle w:val="TableContents"/>
              <w:spacing w:before="0" w:after="283"/>
              <w:rPr/>
            </w:pPr>
            <w:r>
              <w:rPr/>
              <w:t>By:</w:t>
            </w:r>
          </w:p>
        </w:tc>
        <w:tc>
          <w:tcPr>
            <w:tcW w:w="60" w:type="dxa"/>
            <w:tcBorders/>
            <w:shd w:fill="auto" w:val="clear"/>
            <w:vAlign w:val="bottom"/>
          </w:tcPr>
          <w:p>
            <w:pPr>
              <w:pStyle w:val="TableContents"/>
              <w:spacing w:before="0" w:after="283"/>
              <w:rPr/>
            </w:pPr>
            <w:r>
              <w:rPr/>
              <w:t> </w:t>
            </w:r>
          </w:p>
        </w:tc>
        <w:tc>
          <w:tcPr>
            <w:tcW w:w="3357" w:type="dxa"/>
            <w:tcBorders/>
            <w:shd w:fill="auto" w:val="clear"/>
          </w:tcPr>
          <w:p>
            <w:pPr>
              <w:pStyle w:val="TableContents"/>
              <w:pBdr>
                <w:bottom w:val="single" w:sz="2" w:space="1" w:color="000000"/>
              </w:pBdr>
              <w:spacing w:before="0" w:after="20"/>
              <w:rPr/>
            </w:pPr>
            <w:r>
              <w:rPr/>
              <w:t>                                          </w:t>
            </w:r>
          </w:p>
        </w:tc>
      </w:tr>
      <w:tr>
        <w:trPr/>
        <w:tc>
          <w:tcPr>
            <w:tcW w:w="665" w:type="dxa"/>
            <w:tcBorders/>
            <w:shd w:fill="auto" w:val="clear"/>
          </w:tcPr>
          <w:p>
            <w:pPr>
              <w:pStyle w:val="TableContents"/>
              <w:spacing w:before="0" w:after="283"/>
              <w:rPr/>
            </w:pPr>
            <w:r>
              <w:rPr/>
              <w:t>Name:</w:t>
            </w:r>
          </w:p>
        </w:tc>
        <w:tc>
          <w:tcPr>
            <w:tcW w:w="60" w:type="dxa"/>
            <w:tcBorders/>
            <w:shd w:fill="auto" w:val="clear"/>
            <w:vAlign w:val="bottom"/>
          </w:tcPr>
          <w:p>
            <w:pPr>
              <w:pStyle w:val="TableContents"/>
              <w:spacing w:before="0" w:after="283"/>
              <w:rPr/>
            </w:pPr>
            <w:r>
              <w:rPr/>
              <w:t> </w:t>
            </w:r>
          </w:p>
        </w:tc>
        <w:tc>
          <w:tcPr>
            <w:tcW w:w="3357" w:type="dxa"/>
            <w:tcBorders/>
            <w:shd w:fill="auto" w:val="clear"/>
          </w:tcPr>
          <w:p>
            <w:pPr>
              <w:pStyle w:val="TableContents"/>
              <w:spacing w:before="0" w:after="283"/>
              <w:rPr>
                <w:sz w:val="4"/>
                <w:szCs w:val="4"/>
              </w:rPr>
            </w:pPr>
            <w:r>
              <w:rPr>
                <w:sz w:val="4"/>
                <w:szCs w:val="4"/>
              </w:rPr>
            </w:r>
          </w:p>
        </w:tc>
      </w:tr>
      <w:tr>
        <w:trPr/>
        <w:tc>
          <w:tcPr>
            <w:tcW w:w="665" w:type="dxa"/>
            <w:tcBorders/>
            <w:shd w:fill="auto" w:val="clear"/>
          </w:tcPr>
          <w:p>
            <w:pPr>
              <w:pStyle w:val="TableContents"/>
              <w:spacing w:before="0" w:after="283"/>
              <w:rPr/>
            </w:pPr>
            <w:r>
              <w:rPr/>
              <w:t>Title:</w:t>
            </w:r>
          </w:p>
        </w:tc>
        <w:tc>
          <w:tcPr>
            <w:tcW w:w="60" w:type="dxa"/>
            <w:tcBorders/>
            <w:shd w:fill="auto" w:val="clear"/>
            <w:vAlign w:val="bottom"/>
          </w:tcPr>
          <w:p>
            <w:pPr>
              <w:pStyle w:val="TableContents"/>
              <w:spacing w:before="0" w:after="283"/>
              <w:rPr/>
            </w:pPr>
            <w:r>
              <w:rPr/>
              <w:t> </w:t>
            </w:r>
          </w:p>
        </w:tc>
        <w:tc>
          <w:tcPr>
            <w:tcW w:w="3357" w:type="dxa"/>
            <w:tcBorders/>
            <w:shd w:fill="auto" w:val="clear"/>
          </w:tcPr>
          <w:p>
            <w:pPr>
              <w:pStyle w:val="TableContents"/>
              <w:spacing w:before="0" w:after="283"/>
              <w:rPr>
                <w:sz w:val="4"/>
                <w:szCs w:val="4"/>
              </w:rPr>
            </w:pPr>
            <w:r>
              <w:rPr>
                <w:sz w:val="4"/>
                <w:szCs w:val="4"/>
              </w:rPr>
            </w:r>
          </w:p>
        </w:tc>
      </w:tr>
    </w:tbl>
    <w:p>
      <w:pPr>
        <w:pStyle w:val="TextBody"/>
        <w:spacing w:before="240" w:after="0"/>
        <w:jc w:val="left"/>
        <w:rPr>
          <w:rFonts w:ascii="Times New Roman" w:hAnsi="Times New Roman"/>
          <w:sz w:val="20"/>
        </w:rPr>
      </w:pPr>
      <w:r>
        <w:rPr>
          <w:rFonts w:ascii="Times New Roman" w:hAnsi="Times New Roman"/>
          <w:sz w:val="20"/>
        </w:rPr>
        <w:t xml:space="preserve">cc: Citigroup Global Markets Inc. and Barclays Capital Inc.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EXHIBIT C </w:t>
      </w:r>
    </w:p>
    <w:p>
      <w:pPr>
        <w:pStyle w:val="TextBody"/>
        <w:spacing w:before="240" w:after="0"/>
        <w:jc w:val="center"/>
        <w:rPr>
          <w:rFonts w:ascii="Times New Roman" w:hAnsi="Times New Roman"/>
          <w:b/>
          <w:sz w:val="20"/>
        </w:rPr>
      </w:pPr>
      <w:r>
        <w:rPr>
          <w:rFonts w:ascii="Times New Roman" w:hAnsi="Times New Roman"/>
          <w:b/>
          <w:sz w:val="20"/>
        </w:rPr>
        <w:t xml:space="preserve">[Letterhead of Company] </w:t>
      </w:r>
    </w:p>
    <w:p>
      <w:pPr>
        <w:pStyle w:val="TextBody"/>
        <w:spacing w:before="240" w:after="0"/>
        <w:jc w:val="center"/>
        <w:rPr>
          <w:rFonts w:ascii="Times New Roman" w:hAnsi="Times New Roman"/>
          <w:b/>
          <w:sz w:val="20"/>
        </w:rPr>
      </w:pPr>
      <w:r>
        <w:rPr>
          <w:rFonts w:ascii="Times New Roman" w:hAnsi="Times New Roman"/>
          <w:b/>
          <w:sz w:val="20"/>
        </w:rPr>
        <w:t xml:space="preserve">[Insert date] </w:t>
      </w:r>
    </w:p>
    <w:p>
      <w:pPr>
        <w:pStyle w:val="TextBody"/>
        <w:spacing w:before="240" w:after="0"/>
        <w:jc w:val="left"/>
        <w:rPr>
          <w:rFonts w:ascii="Times New Roman" w:hAnsi="Times New Roman"/>
          <w:sz w:val="20"/>
        </w:rPr>
      </w:pPr>
      <w:r>
        <w:rPr>
          <w:rFonts w:ascii="Times New Roman" w:hAnsi="Times New Roman"/>
          <w:sz w:val="20"/>
        </w:rPr>
        <w:t xml:space="preserve">Continental Stock Transfer &amp; Trust Company </w:t>
      </w:r>
    </w:p>
    <w:p>
      <w:pPr>
        <w:pStyle w:val="TextBody"/>
        <w:spacing w:before="0" w:after="0"/>
        <w:jc w:val="left"/>
        <w:rPr>
          <w:rFonts w:ascii="Times New Roman" w:hAnsi="Times New Roman"/>
          <w:sz w:val="20"/>
        </w:rPr>
      </w:pPr>
      <w:r>
        <w:rPr>
          <w:rFonts w:ascii="Times New Roman" w:hAnsi="Times New Roman"/>
          <w:sz w:val="20"/>
        </w:rPr>
        <w:t xml:space="preserve">1 State Street, 30th Floor </w:t>
      </w:r>
    </w:p>
    <w:p>
      <w:pPr>
        <w:pStyle w:val="TextBody"/>
        <w:spacing w:before="0" w:after="0"/>
        <w:jc w:val="left"/>
        <w:rPr>
          <w:rFonts w:ascii="Times New Roman" w:hAnsi="Times New Roman"/>
          <w:sz w:val="20"/>
        </w:rPr>
      </w:pPr>
      <w:r>
        <w:rPr>
          <w:rFonts w:ascii="Times New Roman" w:hAnsi="Times New Roman"/>
          <w:sz w:val="20"/>
        </w:rPr>
        <w:t xml:space="preserve">New York, New York 10004 </w:t>
      </w:r>
    </w:p>
    <w:p>
      <w:pPr>
        <w:pStyle w:val="TextBody"/>
        <w:spacing w:before="0" w:after="0"/>
        <w:jc w:val="left"/>
        <w:rPr>
          <w:rFonts w:ascii="Times New Roman" w:hAnsi="Times New Roman"/>
          <w:sz w:val="20"/>
        </w:rPr>
      </w:pPr>
      <w:r>
        <w:rPr>
          <w:rFonts w:ascii="Times New Roman" w:hAnsi="Times New Roman"/>
          <w:sz w:val="20"/>
        </w:rPr>
        <w:t xml:space="preserve">Attn: Francis E. Wolf, Jr. &amp; Celeste Gonzalez </w:t>
      </w:r>
    </w:p>
    <w:p>
      <w:pPr>
        <w:pStyle w:val="TextBody"/>
        <w:spacing w:before="240" w:after="0"/>
        <w:jc w:val="left"/>
        <w:rPr>
          <w:rFonts w:ascii="Times New Roman" w:hAnsi="Times New Roman"/>
          <w:sz w:val="20"/>
        </w:rPr>
      </w:pPr>
      <w:r>
        <w:rPr>
          <w:rFonts w:ascii="Times New Roman" w:hAnsi="Times New Roman"/>
          <w:sz w:val="20"/>
        </w:rPr>
        <w:t xml:space="preserve">Re: </w:t>
      </w:r>
      <w:r>
        <w:rPr>
          <w:rFonts w:ascii="Times New Roman" w:hAnsi="Times New Roman"/>
          <w:sz w:val="20"/>
          <w:u w:val="single"/>
        </w:rPr>
        <w:t xml:space="preserve">Trust Account No. Tax Payment Withdrawal Instruction </w:t>
      </w:r>
    </w:p>
    <w:p>
      <w:pPr>
        <w:pStyle w:val="TextBody"/>
        <w:spacing w:before="240" w:after="0"/>
        <w:jc w:val="left"/>
        <w:rPr>
          <w:rFonts w:ascii="Times New Roman" w:hAnsi="Times New Roman"/>
          <w:sz w:val="20"/>
        </w:rPr>
      </w:pPr>
      <w:r>
        <w:rPr>
          <w:rFonts w:ascii="Times New Roman" w:hAnsi="Times New Roman"/>
          <w:sz w:val="20"/>
        </w:rPr>
        <w:t xml:space="preserve">Dear Mr. Wolf and Ms. Gonzalez: </w:t>
      </w:r>
    </w:p>
    <w:p>
      <w:pPr>
        <w:pStyle w:val="TextBody"/>
        <w:spacing w:before="240" w:after="0"/>
        <w:jc w:val="left"/>
        <w:rPr>
          <w:rFonts w:ascii="Times New Roman" w:hAnsi="Times New Roman"/>
          <w:sz w:val="20"/>
        </w:rPr>
      </w:pPr>
      <w:r>
        <w:rPr>
          <w:rFonts w:ascii="Times New Roman" w:hAnsi="Times New Roman"/>
          <w:sz w:val="20"/>
        </w:rPr>
        <w:t xml:space="preserve">Pursuant to </w:t>
      </w:r>
      <w:r>
        <w:rPr>
          <w:rFonts w:ascii="Times New Roman" w:hAnsi="Times New Roman"/>
          <w:sz w:val="20"/>
          <w:u w:val="single"/>
        </w:rPr>
        <w:t>Section 1(j)</w:t>
      </w:r>
      <w:r>
        <w:rPr>
          <w:rFonts w:ascii="Times New Roman" w:hAnsi="Times New Roman"/>
          <w:sz w:val="20"/>
        </w:rPr>
        <w:t xml:space="preserve"> of the Investment Management Trust Agreement between ArcLight Clean Transition Corp. II (the </w:t>
      </w:r>
      <w:r>
        <w:rPr>
          <w:rFonts w:ascii="Times New Roman" w:hAnsi="Times New Roman"/>
          <w:b/>
          <w:i/>
          <w:sz w:val="20"/>
        </w:rPr>
        <w:t>Company</w:t>
      </w:r>
      <w:r>
        <w:rPr>
          <w:rFonts w:ascii="Times New Roman" w:hAnsi="Times New Roman"/>
          <w:sz w:val="20"/>
        </w:rPr>
        <w:t>) and Continental Stock Transfer &amp; Trust Company (the </w:t>
      </w:r>
      <w:r>
        <w:rPr>
          <w:rFonts w:ascii="Times New Roman" w:hAnsi="Times New Roman"/>
          <w:b/>
          <w:i/>
          <w:sz w:val="20"/>
        </w:rPr>
        <w:t>Trustee</w:t>
      </w:r>
      <w:r>
        <w:rPr>
          <w:rFonts w:ascii="Times New Roman" w:hAnsi="Times New Roman"/>
          <w:sz w:val="20"/>
        </w:rPr>
        <w:t>), dated as of [●], 2021 (the </w:t>
      </w:r>
      <w:r>
        <w:rPr>
          <w:rFonts w:ascii="Times New Roman" w:hAnsi="Times New Roman"/>
          <w:b/>
          <w:i/>
          <w:sz w:val="20"/>
        </w:rPr>
        <w:t>Trust Agreement</w:t>
      </w:r>
      <w:r>
        <w:rPr>
          <w:rFonts w:ascii="Times New Roman" w:hAnsi="Times New Roman"/>
          <w:sz w:val="20"/>
        </w:rPr>
        <w:t xml:space="preserve">), the Company hereby requests that you deliver to the Company $         of the interest income earned on the Property as of the date hereof. Capitalized terms used but not defined herein shall have the meanings set forth in the Trust Agreement. </w:t>
      </w:r>
    </w:p>
    <w:p>
      <w:pPr>
        <w:pStyle w:val="TextBody"/>
        <w:spacing w:before="240" w:after="0"/>
        <w:jc w:val="left"/>
        <w:rPr>
          <w:rFonts w:ascii="Times New Roman" w:hAnsi="Times New Roman"/>
          <w:sz w:val="20"/>
        </w:rPr>
      </w:pPr>
      <w:r>
        <w:rPr>
          <w:rFonts w:ascii="Times New Roman" w:hAnsi="Times New Roman"/>
          <w:sz w:val="20"/>
        </w:rPr>
        <w:t xml:space="preserve">The Company needs such funds to pay for the tax obligations as set forth on the attached tax return or tax statement. In accordance with the terms of the Trust Agreement, you are hereby directed and authorized to transfer (via wire transfer) such funds promptly upon your receipt of this letter to the Companys operating account at: </w:t>
      </w:r>
    </w:p>
    <w:p>
      <w:pPr>
        <w:pStyle w:val="TextBody"/>
        <w:spacing w:before="240" w:after="0"/>
        <w:jc w:val="center"/>
        <w:rPr>
          <w:rFonts w:ascii="Times New Roman" w:hAnsi="Times New Roman"/>
          <w:sz w:val="20"/>
        </w:rPr>
      </w:pPr>
      <w:r>
        <w:rPr>
          <w:rFonts w:ascii="Times New Roman" w:hAnsi="Times New Roman"/>
          <w:sz w:val="20"/>
        </w:rPr>
        <w:t>[</w:t>
      </w:r>
      <w:r>
        <w:rPr>
          <w:rFonts w:ascii="Times New Roman" w:hAnsi="Times New Roman"/>
          <w:b/>
          <w:sz w:val="20"/>
        </w:rPr>
        <w:t>WIRE INSTRUCTION INFORMATION</w:t>
      </w:r>
      <w:r>
        <w:rPr>
          <w:rFonts w:ascii="Times New Roman" w:hAnsi="Times New Roman"/>
          <w:sz w:val="20"/>
        </w:rPr>
        <w:t xml:space="preserve">]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665"/>
        <w:gridCol w:w="60"/>
        <w:gridCol w:w="3357"/>
      </w:tblGrid>
      <w:tr>
        <w:trPr/>
        <w:tc>
          <w:tcPr>
            <w:tcW w:w="66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357"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pPr>
            <w:r>
              <w:rPr/>
              <w:t>Very truly yours,</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pPr>
            <w:r>
              <w:rPr/>
              <w:t>ArcLight Clean Transition Corp. II</w:t>
            </w:r>
          </w:p>
        </w:tc>
      </w:tr>
      <w:tr>
        <w:trPr>
          <w:trHeight w:val="240" w:hRule="atLeast"/>
        </w:trPr>
        <w:tc>
          <w:tcPr>
            <w:tcW w:w="665" w:type="dxa"/>
            <w:tcBorders/>
            <w:shd w:fill="auto" w:val="clear"/>
            <w:vAlign w:val="center"/>
          </w:tcPr>
          <w:p>
            <w:pPr>
              <w:pStyle w:val="TableContents"/>
              <w:spacing w:before="0" w:after="283"/>
              <w:rPr>
                <w:sz w:val="4"/>
                <w:szCs w:val="4"/>
              </w:rPr>
            </w:pPr>
            <w:r>
              <w:rPr>
                <w:sz w:val="4"/>
                <w:szCs w:val="4"/>
              </w:rPr>
            </w:r>
          </w:p>
        </w:tc>
        <w:tc>
          <w:tcPr>
            <w:tcW w:w="3417" w:type="dxa"/>
            <w:gridSpan w:val="2"/>
            <w:tcBorders/>
            <w:shd w:fill="auto" w:val="clear"/>
            <w:vAlign w:val="center"/>
          </w:tcPr>
          <w:p>
            <w:pPr>
              <w:pStyle w:val="TableContents"/>
              <w:spacing w:before="0" w:after="283"/>
              <w:rPr>
                <w:sz w:val="4"/>
                <w:szCs w:val="4"/>
              </w:rPr>
            </w:pPr>
            <w:r>
              <w:rPr>
                <w:sz w:val="4"/>
                <w:szCs w:val="4"/>
              </w:rPr>
            </w:r>
          </w:p>
        </w:tc>
      </w:tr>
      <w:tr>
        <w:trPr/>
        <w:tc>
          <w:tcPr>
            <w:tcW w:w="665" w:type="dxa"/>
            <w:tcBorders/>
            <w:shd w:fill="auto" w:val="clear"/>
          </w:tcPr>
          <w:p>
            <w:pPr>
              <w:pStyle w:val="TableContents"/>
              <w:spacing w:before="0" w:after="283"/>
              <w:rPr/>
            </w:pPr>
            <w:r>
              <w:rPr/>
              <w:t>By:</w:t>
            </w:r>
          </w:p>
        </w:tc>
        <w:tc>
          <w:tcPr>
            <w:tcW w:w="60" w:type="dxa"/>
            <w:tcBorders/>
            <w:shd w:fill="auto" w:val="clear"/>
            <w:vAlign w:val="bottom"/>
          </w:tcPr>
          <w:p>
            <w:pPr>
              <w:pStyle w:val="TableContents"/>
              <w:spacing w:before="0" w:after="283"/>
              <w:rPr/>
            </w:pPr>
            <w:r>
              <w:rPr/>
              <w:t> </w:t>
            </w:r>
          </w:p>
        </w:tc>
        <w:tc>
          <w:tcPr>
            <w:tcW w:w="3357" w:type="dxa"/>
            <w:tcBorders/>
            <w:shd w:fill="auto" w:val="clear"/>
          </w:tcPr>
          <w:p>
            <w:pPr>
              <w:pStyle w:val="TableContents"/>
              <w:pBdr>
                <w:bottom w:val="single" w:sz="2" w:space="1" w:color="000000"/>
              </w:pBdr>
              <w:spacing w:before="0" w:after="20"/>
              <w:rPr/>
            </w:pPr>
            <w:r>
              <w:rPr/>
              <w:t>                                          </w:t>
            </w:r>
          </w:p>
        </w:tc>
      </w:tr>
      <w:tr>
        <w:trPr/>
        <w:tc>
          <w:tcPr>
            <w:tcW w:w="665" w:type="dxa"/>
            <w:tcBorders/>
            <w:shd w:fill="auto" w:val="clear"/>
          </w:tcPr>
          <w:p>
            <w:pPr>
              <w:pStyle w:val="TableContents"/>
              <w:spacing w:before="0" w:after="283"/>
              <w:rPr/>
            </w:pPr>
            <w:r>
              <w:rPr/>
              <w:t>Name:</w:t>
            </w:r>
          </w:p>
        </w:tc>
        <w:tc>
          <w:tcPr>
            <w:tcW w:w="60" w:type="dxa"/>
            <w:tcBorders/>
            <w:shd w:fill="auto" w:val="clear"/>
            <w:vAlign w:val="bottom"/>
          </w:tcPr>
          <w:p>
            <w:pPr>
              <w:pStyle w:val="TableContents"/>
              <w:spacing w:before="0" w:after="283"/>
              <w:rPr/>
            </w:pPr>
            <w:r>
              <w:rPr/>
              <w:t> </w:t>
            </w:r>
          </w:p>
        </w:tc>
        <w:tc>
          <w:tcPr>
            <w:tcW w:w="3357" w:type="dxa"/>
            <w:tcBorders/>
            <w:shd w:fill="auto" w:val="clear"/>
          </w:tcPr>
          <w:p>
            <w:pPr>
              <w:pStyle w:val="TableContents"/>
              <w:spacing w:before="0" w:after="283"/>
              <w:rPr>
                <w:sz w:val="4"/>
                <w:szCs w:val="4"/>
              </w:rPr>
            </w:pPr>
            <w:r>
              <w:rPr>
                <w:sz w:val="4"/>
                <w:szCs w:val="4"/>
              </w:rPr>
            </w:r>
          </w:p>
        </w:tc>
      </w:tr>
      <w:tr>
        <w:trPr/>
        <w:tc>
          <w:tcPr>
            <w:tcW w:w="665" w:type="dxa"/>
            <w:tcBorders/>
            <w:shd w:fill="auto" w:val="clear"/>
          </w:tcPr>
          <w:p>
            <w:pPr>
              <w:pStyle w:val="TableContents"/>
              <w:spacing w:before="0" w:after="283"/>
              <w:rPr/>
            </w:pPr>
            <w:r>
              <w:rPr/>
              <w:t>Title:</w:t>
            </w:r>
          </w:p>
        </w:tc>
        <w:tc>
          <w:tcPr>
            <w:tcW w:w="60" w:type="dxa"/>
            <w:tcBorders/>
            <w:shd w:fill="auto" w:val="clear"/>
            <w:vAlign w:val="bottom"/>
          </w:tcPr>
          <w:p>
            <w:pPr>
              <w:pStyle w:val="TableContents"/>
              <w:spacing w:before="0" w:after="283"/>
              <w:rPr/>
            </w:pPr>
            <w:r>
              <w:rPr/>
              <w:t> </w:t>
            </w:r>
          </w:p>
        </w:tc>
        <w:tc>
          <w:tcPr>
            <w:tcW w:w="3357" w:type="dxa"/>
            <w:tcBorders/>
            <w:shd w:fill="auto" w:val="clear"/>
          </w:tcPr>
          <w:p>
            <w:pPr>
              <w:pStyle w:val="TableContents"/>
              <w:spacing w:before="0" w:after="283"/>
              <w:rPr>
                <w:sz w:val="4"/>
                <w:szCs w:val="4"/>
              </w:rPr>
            </w:pPr>
            <w:r>
              <w:rPr>
                <w:sz w:val="4"/>
                <w:szCs w:val="4"/>
              </w:rPr>
            </w:r>
          </w:p>
        </w:tc>
      </w:tr>
    </w:tbl>
    <w:p>
      <w:pPr>
        <w:pStyle w:val="TextBody"/>
        <w:spacing w:before="240" w:after="0"/>
        <w:jc w:val="left"/>
        <w:rPr>
          <w:rFonts w:ascii="Times New Roman" w:hAnsi="Times New Roman"/>
          <w:sz w:val="20"/>
        </w:rPr>
      </w:pPr>
      <w:r>
        <w:rPr>
          <w:rFonts w:ascii="Times New Roman" w:hAnsi="Times New Roman"/>
          <w:sz w:val="20"/>
        </w:rPr>
        <w:t xml:space="preserve">cc: Citigroup Global Markets Inc. and Barclays Capital Inc.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EXHIBIT D </w:t>
      </w:r>
    </w:p>
    <w:p>
      <w:pPr>
        <w:pStyle w:val="TextBody"/>
        <w:spacing w:before="240" w:after="0"/>
        <w:jc w:val="center"/>
        <w:rPr>
          <w:rFonts w:ascii="Times New Roman" w:hAnsi="Times New Roman"/>
          <w:b/>
          <w:sz w:val="20"/>
        </w:rPr>
      </w:pPr>
      <w:r>
        <w:rPr>
          <w:rFonts w:ascii="Times New Roman" w:hAnsi="Times New Roman"/>
          <w:b/>
          <w:sz w:val="20"/>
        </w:rPr>
        <w:t xml:space="preserve">[Letterhead of Company] </w:t>
      </w:r>
    </w:p>
    <w:p>
      <w:pPr>
        <w:pStyle w:val="TextBody"/>
        <w:spacing w:before="240" w:after="0"/>
        <w:jc w:val="center"/>
        <w:rPr>
          <w:rFonts w:ascii="Times New Roman" w:hAnsi="Times New Roman"/>
          <w:b/>
          <w:sz w:val="20"/>
        </w:rPr>
      </w:pPr>
      <w:r>
        <w:rPr>
          <w:rFonts w:ascii="Times New Roman" w:hAnsi="Times New Roman"/>
          <w:b/>
          <w:sz w:val="20"/>
        </w:rPr>
        <w:t xml:space="preserve">[Insert date] </w:t>
      </w:r>
    </w:p>
    <w:p>
      <w:pPr>
        <w:pStyle w:val="TextBody"/>
        <w:spacing w:before="240" w:after="0"/>
        <w:jc w:val="left"/>
        <w:rPr>
          <w:rFonts w:ascii="Times New Roman" w:hAnsi="Times New Roman"/>
          <w:sz w:val="20"/>
        </w:rPr>
      </w:pPr>
      <w:r>
        <w:rPr>
          <w:rFonts w:ascii="Times New Roman" w:hAnsi="Times New Roman"/>
          <w:sz w:val="20"/>
        </w:rPr>
        <w:t xml:space="preserve">Continental Stock Transfer &amp; Trust Company </w:t>
      </w:r>
    </w:p>
    <w:p>
      <w:pPr>
        <w:pStyle w:val="TextBody"/>
        <w:spacing w:before="0" w:after="0"/>
        <w:jc w:val="left"/>
        <w:rPr>
          <w:rFonts w:ascii="Times New Roman" w:hAnsi="Times New Roman"/>
          <w:sz w:val="20"/>
        </w:rPr>
      </w:pPr>
      <w:r>
        <w:rPr>
          <w:rFonts w:ascii="Times New Roman" w:hAnsi="Times New Roman"/>
          <w:sz w:val="20"/>
        </w:rPr>
        <w:t xml:space="preserve">1 State Street, 30th Floor </w:t>
      </w:r>
    </w:p>
    <w:p>
      <w:pPr>
        <w:pStyle w:val="TextBody"/>
        <w:spacing w:before="0" w:after="0"/>
        <w:jc w:val="left"/>
        <w:rPr>
          <w:rFonts w:ascii="Times New Roman" w:hAnsi="Times New Roman"/>
          <w:sz w:val="20"/>
        </w:rPr>
      </w:pPr>
      <w:r>
        <w:rPr>
          <w:rFonts w:ascii="Times New Roman" w:hAnsi="Times New Roman"/>
          <w:sz w:val="20"/>
        </w:rPr>
        <w:t xml:space="preserve">New York, New York 10004 </w:t>
      </w:r>
    </w:p>
    <w:p>
      <w:pPr>
        <w:pStyle w:val="TextBody"/>
        <w:spacing w:before="0" w:after="0"/>
        <w:jc w:val="left"/>
        <w:rPr>
          <w:rFonts w:ascii="Times New Roman" w:hAnsi="Times New Roman"/>
          <w:sz w:val="20"/>
        </w:rPr>
      </w:pPr>
      <w:r>
        <w:rPr>
          <w:rFonts w:ascii="Times New Roman" w:hAnsi="Times New Roman"/>
          <w:sz w:val="20"/>
        </w:rPr>
        <w:t xml:space="preserve">Attn: Francis Wolf &amp; Celeste Gonzalez </w:t>
      </w:r>
    </w:p>
    <w:p>
      <w:pPr>
        <w:pStyle w:val="TextBody"/>
        <w:spacing w:before="240" w:after="0"/>
        <w:jc w:val="left"/>
        <w:rPr>
          <w:rFonts w:ascii="Times New Roman" w:hAnsi="Times New Roman"/>
          <w:sz w:val="20"/>
        </w:rPr>
      </w:pPr>
      <w:r>
        <w:rPr>
          <w:rFonts w:ascii="Times New Roman" w:hAnsi="Times New Roman"/>
          <w:sz w:val="20"/>
        </w:rPr>
        <w:t xml:space="preserve">Re: </w:t>
      </w:r>
      <w:r>
        <w:rPr>
          <w:rFonts w:ascii="Times New Roman" w:hAnsi="Times New Roman"/>
          <w:sz w:val="20"/>
          <w:u w:val="single"/>
        </w:rPr>
        <w:t>Trust Account No. Shareholder Redemption Withdrawal Instruction</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Dear Mr. Wolf and Ms. Gonzalez: </w:t>
      </w:r>
    </w:p>
    <w:p>
      <w:pPr>
        <w:pStyle w:val="TextBody"/>
        <w:spacing w:before="240" w:after="0"/>
        <w:jc w:val="left"/>
        <w:rPr>
          <w:rFonts w:ascii="Times New Roman" w:hAnsi="Times New Roman"/>
          <w:sz w:val="20"/>
        </w:rPr>
      </w:pPr>
      <w:r>
        <w:rPr>
          <w:rFonts w:ascii="Times New Roman" w:hAnsi="Times New Roman"/>
          <w:sz w:val="20"/>
        </w:rPr>
        <w:t xml:space="preserve">Pursuant to </w:t>
      </w:r>
      <w:r>
        <w:rPr>
          <w:rFonts w:ascii="Times New Roman" w:hAnsi="Times New Roman"/>
          <w:sz w:val="20"/>
          <w:u w:val="single"/>
        </w:rPr>
        <w:t>Section 1(k)</w:t>
      </w:r>
      <w:r>
        <w:rPr>
          <w:rFonts w:ascii="Times New Roman" w:hAnsi="Times New Roman"/>
          <w:sz w:val="20"/>
        </w:rPr>
        <w:t xml:space="preserve"> of the Investment Management Trust Agreement between Citigroup Global Markets Inc. and Barclays Capital Inc. (the </w:t>
      </w:r>
      <w:r>
        <w:rPr>
          <w:rFonts w:ascii="Times New Roman" w:hAnsi="Times New Roman"/>
          <w:b/>
          <w:i/>
          <w:sz w:val="20"/>
        </w:rPr>
        <w:t>Company</w:t>
      </w:r>
      <w:r>
        <w:rPr>
          <w:rFonts w:ascii="Times New Roman" w:hAnsi="Times New Roman"/>
          <w:sz w:val="20"/>
        </w:rPr>
        <w:t>) and Continental Stock Transfer &amp; Trust Company (the </w:t>
      </w:r>
      <w:r>
        <w:rPr>
          <w:rFonts w:ascii="Times New Roman" w:hAnsi="Times New Roman"/>
          <w:b/>
          <w:i/>
          <w:sz w:val="20"/>
        </w:rPr>
        <w:t>Trustee</w:t>
      </w:r>
      <w:r>
        <w:rPr>
          <w:rFonts w:ascii="Times New Roman" w:hAnsi="Times New Roman"/>
          <w:sz w:val="20"/>
        </w:rPr>
        <w:t>), dated as of [●], 2021 (the </w:t>
      </w:r>
      <w:r>
        <w:rPr>
          <w:rFonts w:ascii="Times New Roman" w:hAnsi="Times New Roman"/>
          <w:b/>
          <w:i/>
          <w:sz w:val="20"/>
        </w:rPr>
        <w:t>Trust Agreement</w:t>
      </w:r>
      <w:r>
        <w:rPr>
          <w:rFonts w:ascii="Times New Roman" w:hAnsi="Times New Roman"/>
          <w:sz w:val="20"/>
        </w:rPr>
        <w:t xml:space="preserve">), the Company hereby requests that you deliver to the Companys shareholders $         of the principal and interest income earned on the Property as of the date hereof. Capitalized terms used but not defined herein shall have the meanings set forth in the Trust Agreement. </w:t>
      </w:r>
    </w:p>
    <w:p>
      <w:pPr>
        <w:pStyle w:val="TextBody"/>
        <w:spacing w:before="240" w:after="0"/>
        <w:jc w:val="left"/>
        <w:rPr>
          <w:rFonts w:ascii="Times New Roman" w:hAnsi="Times New Roman"/>
          <w:sz w:val="20"/>
        </w:rPr>
      </w:pPr>
      <w:r>
        <w:rPr>
          <w:rFonts w:ascii="Times New Roman" w:hAnsi="Times New Roman"/>
          <w:sz w:val="20"/>
        </w:rPr>
        <w:t xml:space="preserve">Pursuant to Section 1(k) of the Trust Agreement, this is to advise you that the Company has sought an Amendment. Accordingly, in accordance with the terms of the Trust Agreement, we hereby authorize you to liquidate a sufficient portion of the Trust Account and to transfer $[●] of the proceeds of the Trust Account to the trust operating account at J.P. Morgan Chase Bank N.A. for distribution to the shareholders that have requested redemption of their shares in connection with such Amendment.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665"/>
        <w:gridCol w:w="60"/>
        <w:gridCol w:w="3357"/>
      </w:tblGrid>
      <w:tr>
        <w:trPr/>
        <w:tc>
          <w:tcPr>
            <w:tcW w:w="66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357"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pPr>
            <w:r>
              <w:rPr/>
              <w:t>Very truly yours,</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pPr>
            <w:r>
              <w:rPr/>
              <w:t>ArcLight Clean Transition Corp. II</w:t>
            </w:r>
          </w:p>
        </w:tc>
      </w:tr>
      <w:tr>
        <w:trPr>
          <w:trHeight w:val="240" w:hRule="atLeast"/>
        </w:trPr>
        <w:tc>
          <w:tcPr>
            <w:tcW w:w="665" w:type="dxa"/>
            <w:tcBorders/>
            <w:shd w:fill="auto" w:val="clear"/>
            <w:vAlign w:val="center"/>
          </w:tcPr>
          <w:p>
            <w:pPr>
              <w:pStyle w:val="TableContents"/>
              <w:spacing w:before="0" w:after="283"/>
              <w:rPr>
                <w:sz w:val="4"/>
                <w:szCs w:val="4"/>
              </w:rPr>
            </w:pPr>
            <w:r>
              <w:rPr>
                <w:sz w:val="4"/>
                <w:szCs w:val="4"/>
              </w:rPr>
            </w:r>
          </w:p>
        </w:tc>
        <w:tc>
          <w:tcPr>
            <w:tcW w:w="3417" w:type="dxa"/>
            <w:gridSpan w:val="2"/>
            <w:tcBorders/>
            <w:shd w:fill="auto" w:val="clear"/>
            <w:vAlign w:val="center"/>
          </w:tcPr>
          <w:p>
            <w:pPr>
              <w:pStyle w:val="TableContents"/>
              <w:spacing w:before="0" w:after="283"/>
              <w:rPr>
                <w:sz w:val="4"/>
                <w:szCs w:val="4"/>
              </w:rPr>
            </w:pPr>
            <w:r>
              <w:rPr>
                <w:sz w:val="4"/>
                <w:szCs w:val="4"/>
              </w:rPr>
            </w:r>
          </w:p>
        </w:tc>
      </w:tr>
      <w:tr>
        <w:trPr/>
        <w:tc>
          <w:tcPr>
            <w:tcW w:w="665" w:type="dxa"/>
            <w:tcBorders/>
            <w:shd w:fill="auto" w:val="clear"/>
          </w:tcPr>
          <w:p>
            <w:pPr>
              <w:pStyle w:val="TableContents"/>
              <w:spacing w:before="0" w:after="283"/>
              <w:rPr/>
            </w:pPr>
            <w:r>
              <w:rPr/>
              <w:t>By:</w:t>
            </w:r>
          </w:p>
        </w:tc>
        <w:tc>
          <w:tcPr>
            <w:tcW w:w="60" w:type="dxa"/>
            <w:tcBorders/>
            <w:shd w:fill="auto" w:val="clear"/>
            <w:vAlign w:val="bottom"/>
          </w:tcPr>
          <w:p>
            <w:pPr>
              <w:pStyle w:val="TableContents"/>
              <w:spacing w:before="0" w:after="283"/>
              <w:rPr/>
            </w:pPr>
            <w:r>
              <w:rPr/>
              <w:t> </w:t>
            </w:r>
          </w:p>
        </w:tc>
        <w:tc>
          <w:tcPr>
            <w:tcW w:w="3357" w:type="dxa"/>
            <w:tcBorders/>
            <w:shd w:fill="auto" w:val="clear"/>
          </w:tcPr>
          <w:p>
            <w:pPr>
              <w:pStyle w:val="TableContents"/>
              <w:pBdr>
                <w:bottom w:val="single" w:sz="2" w:space="1" w:color="000000"/>
              </w:pBdr>
              <w:spacing w:before="0" w:after="20"/>
              <w:rPr/>
            </w:pPr>
            <w:r>
              <w:rPr/>
              <w:t>                                          </w:t>
            </w:r>
          </w:p>
        </w:tc>
      </w:tr>
      <w:tr>
        <w:trPr/>
        <w:tc>
          <w:tcPr>
            <w:tcW w:w="665" w:type="dxa"/>
            <w:tcBorders/>
            <w:shd w:fill="auto" w:val="clear"/>
          </w:tcPr>
          <w:p>
            <w:pPr>
              <w:pStyle w:val="TableContents"/>
              <w:spacing w:before="0" w:after="283"/>
              <w:rPr/>
            </w:pPr>
            <w:r>
              <w:rPr/>
              <w:t>Name:</w:t>
            </w:r>
          </w:p>
        </w:tc>
        <w:tc>
          <w:tcPr>
            <w:tcW w:w="60" w:type="dxa"/>
            <w:tcBorders/>
            <w:shd w:fill="auto" w:val="clear"/>
            <w:vAlign w:val="bottom"/>
          </w:tcPr>
          <w:p>
            <w:pPr>
              <w:pStyle w:val="TableContents"/>
              <w:spacing w:before="0" w:after="283"/>
              <w:rPr/>
            </w:pPr>
            <w:r>
              <w:rPr/>
              <w:t> </w:t>
            </w:r>
          </w:p>
        </w:tc>
        <w:tc>
          <w:tcPr>
            <w:tcW w:w="3357" w:type="dxa"/>
            <w:tcBorders/>
            <w:shd w:fill="auto" w:val="clear"/>
          </w:tcPr>
          <w:p>
            <w:pPr>
              <w:pStyle w:val="TableContents"/>
              <w:spacing w:before="0" w:after="283"/>
              <w:rPr>
                <w:sz w:val="4"/>
                <w:szCs w:val="4"/>
              </w:rPr>
            </w:pPr>
            <w:r>
              <w:rPr>
                <w:sz w:val="4"/>
                <w:szCs w:val="4"/>
              </w:rPr>
            </w:r>
          </w:p>
        </w:tc>
      </w:tr>
      <w:tr>
        <w:trPr/>
        <w:tc>
          <w:tcPr>
            <w:tcW w:w="665" w:type="dxa"/>
            <w:tcBorders/>
            <w:shd w:fill="auto" w:val="clear"/>
          </w:tcPr>
          <w:p>
            <w:pPr>
              <w:pStyle w:val="TableContents"/>
              <w:spacing w:before="0" w:after="283"/>
              <w:rPr/>
            </w:pPr>
            <w:r>
              <w:rPr/>
              <w:t>Title:</w:t>
            </w:r>
          </w:p>
        </w:tc>
        <w:tc>
          <w:tcPr>
            <w:tcW w:w="60" w:type="dxa"/>
            <w:tcBorders/>
            <w:shd w:fill="auto" w:val="clear"/>
            <w:vAlign w:val="bottom"/>
          </w:tcPr>
          <w:p>
            <w:pPr>
              <w:pStyle w:val="TableContents"/>
              <w:spacing w:before="0" w:after="283"/>
              <w:rPr/>
            </w:pPr>
            <w:r>
              <w:rPr/>
              <w:t> </w:t>
            </w:r>
          </w:p>
        </w:tc>
        <w:tc>
          <w:tcPr>
            <w:tcW w:w="3357" w:type="dxa"/>
            <w:tcBorders/>
            <w:shd w:fill="auto" w:val="clear"/>
          </w:tcPr>
          <w:p>
            <w:pPr>
              <w:pStyle w:val="TableContents"/>
              <w:spacing w:before="0" w:after="283"/>
              <w:rPr>
                <w:sz w:val="4"/>
                <w:szCs w:val="4"/>
              </w:rPr>
            </w:pPr>
            <w:r>
              <w:rPr>
                <w:sz w:val="4"/>
                <w:szCs w:val="4"/>
              </w:rPr>
            </w:r>
          </w:p>
        </w:tc>
      </w:tr>
    </w:tbl>
    <w:p>
      <w:pPr>
        <w:pStyle w:val="TextBody"/>
        <w:spacing w:before="240" w:after="0"/>
        <w:jc w:val="left"/>
        <w:rPr>
          <w:rFonts w:ascii="Times New Roman" w:hAnsi="Times New Roman"/>
          <w:sz w:val="20"/>
        </w:rPr>
      </w:pPr>
      <w:r>
        <w:rPr>
          <w:rFonts w:ascii="Times New Roman" w:hAnsi="Times New Roman"/>
          <w:sz w:val="20"/>
        </w:rPr>
        <w:t xml:space="preserve">cc: Citigroup Global Markets Inc. and Barclays Capital Inc. </w:t>
      </w:r>
      <w:r>
        <w:br w:type="page"/>
      </w:r>
    </w:p>
    <w:p>
      <w:pPr>
        <w:pStyle w:val="TextBody"/>
        <w:spacing w:before="0" w:after="0"/>
        <w:jc w:val="right"/>
        <w:rPr>
          <w:rFonts w:ascii="Times New Roman" w:hAnsi="Times New Roman"/>
          <w:b/>
          <w:sz w:val="20"/>
        </w:rPr>
      </w:pPr>
      <w:bookmarkStart w:id="12" w:name="d167128dex103.htm"/>
      <w:bookmarkStart w:id="13" w:name="ksd167128dex103"/>
      <w:bookmarkEnd w:id="12"/>
      <w:bookmarkEnd w:id="13"/>
      <w:r>
        <w:rPr>
          <w:rFonts w:ascii="Times New Roman" w:hAnsi="Times New Roman"/>
          <w:b/>
          <w:sz w:val="20"/>
        </w:rPr>
        <w:t xml:space="preserve">Exhibit 10.3 </w:t>
      </w:r>
    </w:p>
    <w:p>
      <w:pPr>
        <w:pStyle w:val="TextBody"/>
        <w:spacing w:before="240" w:after="0"/>
        <w:jc w:val="center"/>
        <w:rPr>
          <w:rFonts w:ascii="Times New Roman" w:hAnsi="Times New Roman"/>
          <w:b/>
          <w:sz w:val="20"/>
        </w:rPr>
      </w:pPr>
      <w:r>
        <w:rPr>
          <w:rFonts w:ascii="Times New Roman" w:hAnsi="Times New Roman"/>
          <w:b/>
          <w:sz w:val="20"/>
        </w:rPr>
        <w:t xml:space="preserve">REGISTRATION AND SHAREHOLDER RIGHTS AGREEMENT </w:t>
      </w:r>
    </w:p>
    <w:p>
      <w:pPr>
        <w:pStyle w:val="TextBody"/>
        <w:spacing w:before="240" w:after="0"/>
        <w:jc w:val="left"/>
        <w:rPr>
          <w:rFonts w:ascii="Times New Roman" w:hAnsi="Times New Roman"/>
          <w:sz w:val="20"/>
        </w:rPr>
      </w:pPr>
      <w:r>
        <w:rPr>
          <w:rFonts w:ascii="Times New Roman" w:hAnsi="Times New Roman"/>
          <w:sz w:val="20"/>
        </w:rPr>
        <w:t>THIS REGISTRATION AND SHAREHOLDER RIGHTS AGREEMENT (this </w:t>
      </w:r>
      <w:r>
        <w:rPr>
          <w:rFonts w:ascii="Times New Roman" w:hAnsi="Times New Roman"/>
          <w:b/>
          <w:i/>
          <w:sz w:val="20"/>
        </w:rPr>
        <w:t>Agreement</w:t>
      </w:r>
      <w:r>
        <w:rPr>
          <w:rFonts w:ascii="Times New Roman" w:hAnsi="Times New Roman"/>
          <w:sz w:val="20"/>
        </w:rPr>
        <w:t>), dated as of March 25, 2021, is made and entered into by and among ArcLight Clean Transition Corp. II, a Cayman Islands exempted company (the </w:t>
      </w:r>
      <w:r>
        <w:rPr>
          <w:rFonts w:ascii="Times New Roman" w:hAnsi="Times New Roman"/>
          <w:b/>
          <w:i/>
          <w:sz w:val="20"/>
        </w:rPr>
        <w:t>Company</w:t>
      </w:r>
      <w:r>
        <w:rPr>
          <w:rFonts w:ascii="Times New Roman" w:hAnsi="Times New Roman"/>
          <w:sz w:val="20"/>
        </w:rPr>
        <w:t>), ArcLight CTC Holdings II, L.P., a Delaware limited partnership (the </w:t>
      </w:r>
      <w:r>
        <w:rPr>
          <w:rFonts w:ascii="Times New Roman" w:hAnsi="Times New Roman"/>
          <w:b/>
          <w:i/>
          <w:sz w:val="20"/>
        </w:rPr>
        <w:t>Sponsor</w:t>
      </w:r>
      <w:r>
        <w:rPr>
          <w:rFonts w:ascii="Times New Roman" w:hAnsi="Times New Roman"/>
          <w:sz w:val="20"/>
        </w:rPr>
        <w:t xml:space="preserve">), and the undersigned parties listed under Holder on the signature page hereto (each such party, together with the Sponsor and any person or entity who hereafter becomes a party to this Agreement pursuant to </w:t>
      </w:r>
      <w:r>
        <w:rPr>
          <w:rFonts w:ascii="Times New Roman" w:hAnsi="Times New Roman"/>
          <w:sz w:val="20"/>
          <w:u w:val="single"/>
        </w:rPr>
        <w:t>Section 6.2</w:t>
      </w:r>
      <w:r>
        <w:rPr>
          <w:rFonts w:ascii="Times New Roman" w:hAnsi="Times New Roman"/>
          <w:sz w:val="20"/>
        </w:rPr>
        <w:t xml:space="preserve"> of this Agreement, a </w:t>
      </w:r>
      <w:r>
        <w:rPr>
          <w:rFonts w:ascii="Times New Roman" w:hAnsi="Times New Roman"/>
          <w:b/>
          <w:i/>
          <w:sz w:val="20"/>
        </w:rPr>
        <w:t>Holder</w:t>
      </w:r>
      <w:r>
        <w:rPr>
          <w:rFonts w:ascii="Times New Roman" w:hAnsi="Times New Roman"/>
          <w:sz w:val="20"/>
        </w:rPr>
        <w:t> and collectively the </w:t>
      </w:r>
      <w:r>
        <w:rPr>
          <w:rFonts w:ascii="Times New Roman" w:hAnsi="Times New Roman"/>
          <w:b/>
          <w:i/>
          <w:sz w:val="20"/>
        </w:rPr>
        <w:t>Holders</w:t>
      </w:r>
      <w:r>
        <w:rPr>
          <w:rFonts w:ascii="Times New Roman" w:hAnsi="Times New Roman"/>
          <w:sz w:val="20"/>
        </w:rPr>
        <w:t xml:space="preserve">). </w:t>
      </w:r>
    </w:p>
    <w:p>
      <w:pPr>
        <w:pStyle w:val="TextBody"/>
        <w:spacing w:before="480" w:after="0"/>
        <w:jc w:val="center"/>
        <w:rPr>
          <w:rFonts w:ascii="Times New Roman" w:hAnsi="Times New Roman"/>
          <w:b/>
          <w:sz w:val="20"/>
        </w:rPr>
      </w:pPr>
      <w:r>
        <w:rPr>
          <w:rFonts w:ascii="Times New Roman" w:hAnsi="Times New Roman"/>
          <w:b/>
          <w:sz w:val="20"/>
        </w:rPr>
        <w:t xml:space="preserve">RECITALS </w:t>
      </w:r>
    </w:p>
    <w:p>
      <w:pPr>
        <w:pStyle w:val="TextBody"/>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the Sponsor currently owns 7,766,250 Class B ordinary shares of the Company, par value $0.0001 per share (the </w:t>
      </w:r>
      <w:r>
        <w:rPr>
          <w:rFonts w:ascii="Times New Roman" w:hAnsi="Times New Roman"/>
          <w:b/>
          <w:i/>
          <w:sz w:val="20"/>
        </w:rPr>
        <w:t>Class</w:t>
      </w:r>
      <w:r>
        <w:rPr>
          <w:rFonts w:ascii="Times New Roman" w:hAnsi="Times New Roman"/>
          <w:sz w:val="20"/>
        </w:rPr>
        <w:t> </w:t>
      </w:r>
      <w:r>
        <w:rPr>
          <w:rFonts w:ascii="Times New Roman" w:hAnsi="Times New Roman"/>
          <w:b/>
          <w:i/>
          <w:sz w:val="20"/>
        </w:rPr>
        <w:t>B Ordinary Shares</w:t>
      </w:r>
      <w:r>
        <w:rPr>
          <w:rFonts w:ascii="Times New Roman" w:hAnsi="Times New Roman"/>
          <w:sz w:val="20"/>
        </w:rPr>
        <w:t xml:space="preserve">), and the other Holders currently own an aggregate of 1,031,250 Class B Ordinary Shares, which were received from the Sponsor; </w:t>
      </w:r>
    </w:p>
    <w:p>
      <w:pPr>
        <w:pStyle w:val="TextBody"/>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Class B Ordinary Shares are convertible into the Companys Class A ordinary shares, par value $0.0001 per share (the </w:t>
      </w:r>
      <w:r>
        <w:rPr>
          <w:rFonts w:ascii="Times New Roman" w:hAnsi="Times New Roman"/>
          <w:b/>
          <w:sz w:val="20"/>
        </w:rPr>
        <w:t></w:t>
      </w:r>
      <w:r>
        <w:rPr>
          <w:rFonts w:ascii="Times New Roman" w:hAnsi="Times New Roman"/>
          <w:b/>
          <w:i/>
          <w:sz w:val="20"/>
        </w:rPr>
        <w:t>Ordinary Shares</w:t>
      </w:r>
      <w:r>
        <w:rPr>
          <w:rFonts w:ascii="Times New Roman" w:hAnsi="Times New Roman"/>
          <w:sz w:val="20"/>
        </w:rPr>
        <w:t xml:space="preserve">), at the time of the initial Business Combination on a one-for-one basis, subject to adjustment, on the terms and conditions provided in the Companys amended and restated memorandum and articles of association, as may be amended from time to time; </w:t>
      </w:r>
    </w:p>
    <w:p>
      <w:pPr>
        <w:pStyle w:val="TextBody"/>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on March 22, 2021, the Company and the Sponsor entered into that certain Private Placement Warrants Purchase Agreement, pursuant to which the Sponsor agreed to purchase 8,500,000 warrants (or up to 9,325,000 warrants if the Underwriters (as defined below) option to purchase additional units in connection with the Companys initial public offering is exercised in full) (the </w:t>
      </w:r>
      <w:r>
        <w:rPr>
          <w:rFonts w:ascii="Times New Roman" w:hAnsi="Times New Roman"/>
          <w:b/>
          <w:i/>
          <w:sz w:val="20"/>
        </w:rPr>
        <w:t>Private Placement Warrants</w:t>
      </w:r>
      <w:r>
        <w:rPr>
          <w:rFonts w:ascii="Times New Roman" w:hAnsi="Times New Roman"/>
          <w:sz w:val="20"/>
        </w:rPr>
        <w:t xml:space="preserve">), in a private placement transaction occurring simultaneously with the closing of the Companys initial public offering; </w:t>
      </w:r>
    </w:p>
    <w:p>
      <w:pPr>
        <w:pStyle w:val="TextBody"/>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in order to finance the Companys transaction costs in connection with an intended Business Combination (as defined below), the Sponsor or certain of the Companys officers or directors may, but are not obligated to, loan the Company funds as the Company may require, of which up to $1,500,000 of such loans may be convertible into an additional 1,500,000 Private Placement Warrants (the </w:t>
      </w:r>
      <w:r>
        <w:rPr>
          <w:rFonts w:ascii="Times New Roman" w:hAnsi="Times New Roman"/>
          <w:b/>
          <w:i/>
          <w:sz w:val="20"/>
        </w:rPr>
        <w:t>Working Capital Warrants</w:t>
      </w:r>
      <w:r>
        <w:rPr>
          <w:rFonts w:ascii="Times New Roman" w:hAnsi="Times New Roman"/>
          <w:sz w:val="20"/>
        </w:rPr>
        <w:t xml:space="preserve">); and </w:t>
      </w:r>
    </w:p>
    <w:p>
      <w:pPr>
        <w:pStyle w:val="TextBody"/>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Company and the Holders desire to enter into this Agreement, pursuant to which the Company shall grant the Holders certain registration rights with respect to certain securities of the Company, as set forth in this Agreement. </w:t>
      </w:r>
    </w:p>
    <w:p>
      <w:pPr>
        <w:pStyle w:val="TextBody"/>
        <w:spacing w:before="240" w:after="0"/>
        <w:jc w:val="left"/>
        <w:rPr>
          <w:rFonts w:ascii="Times New Roman" w:hAnsi="Times New Roman"/>
          <w:sz w:val="20"/>
        </w:rPr>
      </w:pPr>
      <w:r>
        <w:rPr>
          <w:rFonts w:ascii="Times New Roman" w:hAnsi="Times New Roman"/>
          <w:b/>
          <w:sz w:val="20"/>
        </w:rPr>
        <w:t>NOW</w:t>
      </w:r>
      <w:r>
        <w:rPr>
          <w:rFonts w:ascii="Times New Roman" w:hAnsi="Times New Roman"/>
          <w:sz w:val="20"/>
        </w:rPr>
        <w:t xml:space="preserve">, </w:t>
      </w:r>
      <w:r>
        <w:rPr>
          <w:rFonts w:ascii="Times New Roman" w:hAnsi="Times New Roman"/>
          <w:b/>
          <w:sz w:val="20"/>
        </w:rPr>
        <w:t>THEREFORE</w:t>
      </w:r>
      <w:r>
        <w:rPr>
          <w:rFonts w:ascii="Times New Roman" w:hAnsi="Times New Roman"/>
          <w:sz w:val="20"/>
        </w:rPr>
        <w:t xml:space="preserve">, in consideration of the mutual representations, covenants and agreements contained herein, and certain other good and valuable consideration, the receipt and sufficiency of which are hereby acknowledged, the parties hereto, intending to be legally bound, hereby agree as follows: </w:t>
      </w:r>
    </w:p>
    <w:p>
      <w:pPr>
        <w:pStyle w:val="TextBody"/>
        <w:spacing w:before="480" w:after="0"/>
        <w:jc w:val="center"/>
        <w:rPr>
          <w:rFonts w:ascii="Times New Roman" w:hAnsi="Times New Roman"/>
          <w:b/>
          <w:sz w:val="20"/>
        </w:rPr>
      </w:pPr>
      <w:r>
        <w:rPr>
          <w:rFonts w:ascii="Times New Roman" w:hAnsi="Times New Roman"/>
          <w:b/>
          <w:sz w:val="20"/>
        </w:rPr>
        <w:t xml:space="preserve">ARTICLE 1 </w:t>
      </w:r>
    </w:p>
    <w:p>
      <w:pPr>
        <w:pStyle w:val="TextBody"/>
        <w:spacing w:before="0" w:after="0"/>
        <w:jc w:val="center"/>
        <w:rPr>
          <w:rFonts w:ascii="Times New Roman" w:hAnsi="Times New Roman"/>
          <w:sz w:val="20"/>
        </w:rPr>
      </w:pPr>
      <w:r>
        <w:rPr>
          <w:rFonts w:ascii="Times New Roman" w:hAnsi="Times New Roman"/>
          <w:sz w:val="20"/>
        </w:rPr>
        <w:t xml:space="preserve">DEFINITIONS </w:t>
      </w:r>
    </w:p>
    <w:p>
      <w:pPr>
        <w:pStyle w:val="TextBody"/>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b/>
          <w:sz w:val="20"/>
          <w:u w:val="single"/>
        </w:rPr>
        <w:t>Definitions</w:t>
      </w:r>
      <w:r>
        <w:rPr>
          <w:rFonts w:ascii="Times New Roman" w:hAnsi="Times New Roman"/>
          <w:b/>
          <w:sz w:val="20"/>
        </w:rPr>
        <w:t xml:space="preserve">. The terms defined in this </w:t>
      </w:r>
      <w:r>
        <w:rPr>
          <w:rFonts w:ascii="Times New Roman" w:hAnsi="Times New Roman"/>
          <w:b/>
          <w:i/>
          <w:sz w:val="20"/>
        </w:rPr>
        <w:t>Article I</w:t>
      </w:r>
      <w:r>
        <w:rPr>
          <w:rFonts w:ascii="Times New Roman" w:hAnsi="Times New Roman"/>
          <w:sz w:val="20"/>
        </w:rPr>
        <w:t xml:space="preserve"> </w:t>
      </w:r>
      <w:r>
        <w:rPr>
          <w:rFonts w:ascii="Times New Roman" w:hAnsi="Times New Roman"/>
          <w:b/>
          <w:sz w:val="20"/>
        </w:rPr>
        <w:t>shall, for all purposes of this Agreement, have the respective meanings set forth below:</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Adverse Disclosure</w:t>
      </w:r>
      <w:r>
        <w:rPr>
          <w:rFonts w:ascii="Times New Roman" w:hAnsi="Times New Roman"/>
          <w:sz w:val="20"/>
        </w:rPr>
        <w:t xml:space="preserve"> shall mean any public disclosure of material non-public information, which disclosure, in the good faith judgment of the principal executive officer or principal financial officer of the Company, after consultation with counsel to the Company, (i) would be required to be made in any Registration Statement or Prospectus in order for the applicable Registration Statement or Prospectus not to contain any untrue statement of a material fact or omit to state a material fact necessary to make the statements contained therein (in the case of any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prospectus and any preliminary prospectus, in the light of the circumstances under which they were made) not misleading, (ii) would not be required to be made at such time if the Registration Statement were not being filed, and (iii) the Company has a bona fide business purpose for not making such information public.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Agreement</w:t>
      </w:r>
      <w:r>
        <w:rPr>
          <w:rFonts w:ascii="Times New Roman" w:hAnsi="Times New Roman"/>
          <w:sz w:val="20"/>
        </w:rPr>
        <w:t xml:space="preserve"> shall have the meaning given in the Preamble.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Board</w:t>
      </w:r>
      <w:r>
        <w:rPr>
          <w:rFonts w:ascii="Times New Roman" w:hAnsi="Times New Roman"/>
          <w:sz w:val="20"/>
        </w:rPr>
        <w:t xml:space="preserve"> shall mean the Board of Directors of the Company.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Business Combination</w:t>
      </w:r>
      <w:r>
        <w:rPr>
          <w:rFonts w:ascii="Times New Roman" w:hAnsi="Times New Roman"/>
          <w:sz w:val="20"/>
        </w:rPr>
        <w:t xml:space="preserve"> shall mean any merger, share exchange, asset acquisition, share purchase, reorganization or other similar business combination with one or more businesses, involving the Company.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Commission</w:t>
      </w:r>
      <w:r>
        <w:rPr>
          <w:rFonts w:ascii="Times New Roman" w:hAnsi="Times New Roman"/>
          <w:sz w:val="20"/>
        </w:rPr>
        <w:t xml:space="preserve"> shall mean the U.S. Securities and Exchange Commission.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Company</w:t>
      </w:r>
      <w:r>
        <w:rPr>
          <w:rFonts w:ascii="Times New Roman" w:hAnsi="Times New Roman"/>
          <w:sz w:val="20"/>
        </w:rPr>
        <w:t xml:space="preserve"> shall have the meaning given in the Preamble.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Demand Registration</w:t>
      </w:r>
      <w:r>
        <w:rPr>
          <w:rFonts w:ascii="Times New Roman" w:hAnsi="Times New Roman"/>
          <w:sz w:val="20"/>
        </w:rPr>
        <w:t xml:space="preserve"> shall have the meaning given in </w:t>
      </w:r>
      <w:r>
        <w:rPr>
          <w:rFonts w:ascii="Times New Roman" w:hAnsi="Times New Roman"/>
          <w:sz w:val="20"/>
          <w:u w:val="single"/>
        </w:rPr>
        <w:t>subsection 2.1.1</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Demanding Holder</w:t>
      </w:r>
      <w:r>
        <w:rPr>
          <w:rFonts w:ascii="Times New Roman" w:hAnsi="Times New Roman"/>
          <w:sz w:val="20"/>
        </w:rPr>
        <w:t xml:space="preserve"> shall have the meaning given in </w:t>
      </w:r>
      <w:r>
        <w:rPr>
          <w:rFonts w:ascii="Times New Roman" w:hAnsi="Times New Roman"/>
          <w:sz w:val="20"/>
          <w:u w:val="single"/>
        </w:rPr>
        <w:t>subsection 2.1.1</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Exchange Act</w:t>
      </w:r>
      <w:r>
        <w:rPr>
          <w:rFonts w:ascii="Times New Roman" w:hAnsi="Times New Roman"/>
          <w:sz w:val="20"/>
        </w:rPr>
        <w:t xml:space="preserve"> shall mean the Securities Exchange Act of 1934, as it may be amended from time to time.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Form S-1</w:t>
      </w:r>
      <w:r>
        <w:rPr>
          <w:rFonts w:ascii="Times New Roman" w:hAnsi="Times New Roman"/>
          <w:sz w:val="20"/>
        </w:rPr>
        <w:t xml:space="preserve"> shall have the meaning given in </w:t>
      </w:r>
      <w:r>
        <w:rPr>
          <w:rFonts w:ascii="Times New Roman" w:hAnsi="Times New Roman"/>
          <w:sz w:val="20"/>
          <w:u w:val="single"/>
        </w:rPr>
        <w:t>subsection 2.1.1</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Form S-3</w:t>
      </w:r>
      <w:r>
        <w:rPr>
          <w:rFonts w:ascii="Times New Roman" w:hAnsi="Times New Roman"/>
          <w:sz w:val="20"/>
        </w:rPr>
        <w:t xml:space="preserve"> shall have the meaning given in </w:t>
      </w:r>
      <w:r>
        <w:rPr>
          <w:rFonts w:ascii="Times New Roman" w:hAnsi="Times New Roman"/>
          <w:sz w:val="20"/>
          <w:u w:val="single"/>
        </w:rPr>
        <w:t>subsection 2.3.1</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Founder Shares</w:t>
      </w:r>
      <w:r>
        <w:rPr>
          <w:rFonts w:ascii="Times New Roman" w:hAnsi="Times New Roman"/>
          <w:sz w:val="20"/>
        </w:rPr>
        <w:t xml:space="preserve"> shall mean the Class B Ordinary Shares and shall be deemed to include the Ordinary Shares issuable upon conversion thereof.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Founder Shares Lock-up Period</w:t>
      </w:r>
      <w:r>
        <w:rPr>
          <w:rFonts w:ascii="Times New Roman" w:hAnsi="Times New Roman"/>
          <w:sz w:val="20"/>
        </w:rPr>
        <w:t xml:space="preserve"> shall mean, with respect to the Founder Shares, the period ending on the earlier of (A) one year after the completion of the Companys initial Business Combination and (B) subsequent to the Business Combination, (x) if the last reported sales price of the Ordinary Shares equals or exceeds $12.00 per share (as adjusted for share sub-divisions, share capitalizations, reorganizations, recapitalizations and the like) for any 20 trading days within any 30-trading day period commencing at least 150 days after the Companys initial Business Combination or (y) the date on which the Company completes a liquidation, merger, share exchange, reorganization or other similar transaction that results in all of the Companys shareholders having the right to exchange their Ordinary Shares for cash, securities or other property.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Holders</w:t>
      </w:r>
      <w:r>
        <w:rPr>
          <w:rFonts w:ascii="Times New Roman" w:hAnsi="Times New Roman"/>
          <w:sz w:val="20"/>
        </w:rPr>
        <w:t xml:space="preserve"> shall have the meaning given in the Preamble.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Insider Letter</w:t>
      </w:r>
      <w:r>
        <w:rPr>
          <w:rFonts w:ascii="Times New Roman" w:hAnsi="Times New Roman"/>
          <w:sz w:val="20"/>
        </w:rPr>
        <w:t xml:space="preserve"> shall mean that certain letter agreement, dated as of the date hereof, by and between the Company, the Sponsor and each of the Companys officers, directors and director nominees.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Maximum Number of Securities</w:t>
      </w:r>
      <w:r>
        <w:rPr>
          <w:rFonts w:ascii="Times New Roman" w:hAnsi="Times New Roman"/>
          <w:sz w:val="20"/>
        </w:rPr>
        <w:t xml:space="preserve"> shall have the meaning given in </w:t>
      </w:r>
      <w:r>
        <w:rPr>
          <w:rFonts w:ascii="Times New Roman" w:hAnsi="Times New Roman"/>
          <w:sz w:val="20"/>
          <w:u w:val="single"/>
        </w:rPr>
        <w:t>subsection 2.1.4</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Misstatement</w:t>
      </w:r>
      <w:r>
        <w:rPr>
          <w:rFonts w:ascii="Times New Roman" w:hAnsi="Times New Roman"/>
          <w:sz w:val="20"/>
        </w:rPr>
        <w:t xml:space="preserve"> shall mean an untrue statement of a material fact or an omission to state a material fact required to be stated in a Registration Statement or Prospectus, or necessary to make the statements in a Registration Statement or Prospectus (in the case of a Prospectus, in the light of the circumstances under which they were made) not misleading.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Nominee</w:t>
      </w:r>
      <w:r>
        <w:rPr>
          <w:rFonts w:ascii="Times New Roman" w:hAnsi="Times New Roman"/>
          <w:sz w:val="20"/>
        </w:rPr>
        <w:t xml:space="preserve"> is defined in </w:t>
      </w:r>
      <w:r>
        <w:rPr>
          <w:rFonts w:ascii="Times New Roman" w:hAnsi="Times New Roman"/>
          <w:sz w:val="20"/>
          <w:u w:val="single"/>
        </w:rPr>
        <w:t>Section 6.1</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Ordinary Shares</w:t>
      </w:r>
      <w:r>
        <w:rPr>
          <w:rFonts w:ascii="Times New Roman" w:hAnsi="Times New Roman"/>
          <w:sz w:val="20"/>
        </w:rPr>
        <w:t xml:space="preserve"> shall have the meaning given in the Recitals hereto.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Permitted Transferees</w:t>
      </w:r>
      <w:r>
        <w:rPr>
          <w:rFonts w:ascii="Times New Roman" w:hAnsi="Times New Roman"/>
          <w:sz w:val="20"/>
        </w:rPr>
        <w:t xml:space="preserve"> shall mean a person or entity to whom a Holder of Registrable Securities is permitted to transfer such Registrable Securities prior to the expiration of the Founder Shares Lock-up Period or Private Placement Lock-up Period, as the case may be, under the Insider Letter and any other applicable agreement between such Holder and the Company, and to any transferee thereafter.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w:t>
      </w:r>
      <w:r>
        <w:rPr>
          <w:rFonts w:ascii="Times New Roman" w:hAnsi="Times New Roman"/>
          <w:b/>
          <w:i/>
          <w:sz w:val="20"/>
        </w:rPr>
        <w:t>Piggyback Registration</w:t>
      </w:r>
      <w:r>
        <w:rPr>
          <w:rFonts w:ascii="Times New Roman" w:hAnsi="Times New Roman"/>
          <w:sz w:val="20"/>
        </w:rPr>
        <w:t xml:space="preserve"> shall have the meaning given in </w:t>
      </w:r>
      <w:r>
        <w:rPr>
          <w:rFonts w:ascii="Times New Roman" w:hAnsi="Times New Roman"/>
          <w:sz w:val="20"/>
          <w:u w:val="single"/>
        </w:rPr>
        <w:t>subsection 2.2.1</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Private Placement Lock-up Period</w:t>
      </w:r>
      <w:r>
        <w:rPr>
          <w:rFonts w:ascii="Times New Roman" w:hAnsi="Times New Roman"/>
          <w:sz w:val="20"/>
        </w:rPr>
        <w:t xml:space="preserve"> shall mean, with respect to Private Placement Warrants that are held by the initial purchasers of such Private Placement Warrants or their Permitted Transferees, and any of the Ordinary Shares issued or issuable upon the exercise or conversion of the Private Placement Warrants and that are held by the initial purchasers of the Private Placement Warrants or their Permitted Transferees, the period ending 30 days after the completion of the Companys initial Business Combination.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Private Placement Warrants</w:t>
      </w:r>
      <w:r>
        <w:rPr>
          <w:rFonts w:ascii="Times New Roman" w:hAnsi="Times New Roman"/>
          <w:sz w:val="20"/>
        </w:rPr>
        <w:t xml:space="preserve"> shall have the meaning given in the Recitals hereto.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Prospectus</w:t>
      </w:r>
      <w:r>
        <w:rPr>
          <w:rFonts w:ascii="Times New Roman" w:hAnsi="Times New Roman"/>
          <w:sz w:val="20"/>
        </w:rPr>
        <w:t xml:space="preserve"> shall mean the prospectus included in any Registration Statement, as supplemented by any and all prospectus supplements and as amended by any and all post-effective amendments and including all material incorporated by reference in such prospectus.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Registrable Security</w:t>
      </w:r>
      <w:r>
        <w:rPr>
          <w:rFonts w:ascii="Times New Roman" w:hAnsi="Times New Roman"/>
          <w:sz w:val="20"/>
        </w:rPr>
        <w:t xml:space="preserve"> shall mean (a) the Founder Shares (including any Ordinary Shares or other equivalent equity security issued or issuable upon the conversion of any such Founder Shares or exercisable for Ordinary Shares), (b) the Private Placement Warrants (including any Ordinary Shares issued or issuable upon the exercise of any such Private Placement Warrants), (c) the Working Capital Warrants (including any Ordinary Shares issued or issuable upon the conversion of working capital loans), (d) any outstanding Ordinary Shares or any other equity security (including the Ordinary Shares issued or issuable upon the exercise of any other equity security) of the Company held by a Holder as of the date of this Agreement, and (e) any other equity security of the Company issued or issuable with respect to any such Ordinary Shares by way of a share capitalization or share sub-division or in connection with a combination of shares, recapitalization, merger, consolidation or reorganization;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as to any particular Registrable Security, such securities shall cease to be Registrable Securities when: (i) a Registration Statement with respect to the sale of such securities shall have become effective under the Securities Act and such securities shall have been sold, transferred, disposed of or exchanged in accordance with such Registration Statement; (ii) such securities shall have been otherwise transferred, new certificates for such securities not bearing a legend restricting further transfer shall have been delivered by the Company and subsequent public distribution of such securities shall not require registration under the Securities Act; (iii) such securities shall have ceased to be outstanding; or (iv) such securities have been sold to, or through, a broker, dealer or underwriter in a public distribution or other public securities transaction.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Registration</w:t>
      </w:r>
      <w:r>
        <w:rPr>
          <w:rFonts w:ascii="Times New Roman" w:hAnsi="Times New Roman"/>
          <w:sz w:val="20"/>
        </w:rPr>
        <w:t xml:space="preserve"> shall mean a registration effected by preparing and filing a registration statement or similar document in compliance with the requirements of the Securities Act, and the applicable rules and regulations promulgated thereunder, and such registration statement becoming effective.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Registration Expenses</w:t>
      </w:r>
      <w:r>
        <w:rPr>
          <w:rFonts w:ascii="Times New Roman" w:hAnsi="Times New Roman"/>
          <w:sz w:val="20"/>
        </w:rPr>
        <w:t xml:space="preserve"> shall mean the out-of-pocket expenses of a Registration, including, without limitation, the following: </w:t>
      </w:r>
    </w:p>
    <w:p>
      <w:pPr>
        <w:pStyle w:val="TextBody"/>
        <w:spacing w:before="240" w:after="0"/>
        <w:jc w:val="left"/>
        <w:rPr>
          <w:rFonts w:ascii="Times New Roman" w:hAnsi="Times New Roman"/>
          <w:sz w:val="20"/>
        </w:rPr>
      </w:pPr>
      <w:r>
        <w:rPr>
          <w:rFonts w:ascii="Times New Roman" w:hAnsi="Times New Roman"/>
          <w:sz w:val="20"/>
        </w:rPr>
        <w:t xml:space="preserve">(A) all registration and filing fees (including fees with respect to filings required to be made with the Financial Industry Regulatory Authority, Inc.) and any securities exchange on which the Ordinary Shares are then listed; </w:t>
      </w:r>
    </w:p>
    <w:p>
      <w:pPr>
        <w:pStyle w:val="TextBody"/>
        <w:spacing w:before="240" w:after="0"/>
        <w:jc w:val="left"/>
        <w:rPr>
          <w:rFonts w:ascii="Times New Roman" w:hAnsi="Times New Roman"/>
          <w:sz w:val="20"/>
        </w:rPr>
      </w:pPr>
      <w:r>
        <w:rPr>
          <w:rFonts w:ascii="Times New Roman" w:hAnsi="Times New Roman"/>
          <w:sz w:val="20"/>
        </w:rPr>
        <w:t xml:space="preserve">(B) fees and expenses of compliance with securities or blue sky laws (including reasonable fees and disbursements of counsel for the Underwriters in connection with blue sky qualifications of Registrable Securities); </w:t>
      </w:r>
    </w:p>
    <w:p>
      <w:pPr>
        <w:pStyle w:val="TextBody"/>
        <w:spacing w:before="240" w:after="0"/>
        <w:jc w:val="left"/>
        <w:rPr>
          <w:rFonts w:ascii="Times New Roman" w:hAnsi="Times New Roman"/>
          <w:sz w:val="20"/>
        </w:rPr>
      </w:pPr>
      <w:r>
        <w:rPr>
          <w:rFonts w:ascii="Times New Roman" w:hAnsi="Times New Roman"/>
          <w:sz w:val="20"/>
        </w:rPr>
        <w:t xml:space="preserve">(C) printing, messenger, telephone and delivery expenses; </w:t>
      </w:r>
    </w:p>
    <w:p>
      <w:pPr>
        <w:pStyle w:val="TextBody"/>
        <w:spacing w:before="240" w:after="0"/>
        <w:jc w:val="left"/>
        <w:rPr>
          <w:rFonts w:ascii="Times New Roman" w:hAnsi="Times New Roman"/>
          <w:sz w:val="20"/>
        </w:rPr>
      </w:pPr>
      <w:r>
        <w:rPr>
          <w:rFonts w:ascii="Times New Roman" w:hAnsi="Times New Roman"/>
          <w:sz w:val="20"/>
        </w:rPr>
        <w:t xml:space="preserve">(D) reasonable fees and disbursements of counsel for the Company; </w:t>
      </w:r>
    </w:p>
    <w:p>
      <w:pPr>
        <w:pStyle w:val="TextBody"/>
        <w:spacing w:before="240" w:after="0"/>
        <w:jc w:val="left"/>
        <w:rPr>
          <w:rFonts w:ascii="Times New Roman" w:hAnsi="Times New Roman"/>
          <w:sz w:val="20"/>
        </w:rPr>
      </w:pPr>
      <w:r>
        <w:rPr>
          <w:rFonts w:ascii="Times New Roman" w:hAnsi="Times New Roman"/>
          <w:sz w:val="20"/>
        </w:rPr>
        <w:t xml:space="preserve">(E) reasonable fees and disbursements of all independent registered public accountants of the Company incurred specifically in connection with such Registration; and </w:t>
      </w:r>
    </w:p>
    <w:p>
      <w:pPr>
        <w:pStyle w:val="TextBody"/>
        <w:spacing w:before="240" w:after="0"/>
        <w:jc w:val="left"/>
        <w:rPr>
          <w:rFonts w:ascii="Times New Roman" w:hAnsi="Times New Roman"/>
          <w:sz w:val="20"/>
        </w:rPr>
      </w:pPr>
      <w:r>
        <w:rPr>
          <w:rFonts w:ascii="Times New Roman" w:hAnsi="Times New Roman"/>
          <w:sz w:val="20"/>
        </w:rPr>
        <w:t xml:space="preserve">(F) reasonable fees and expenses of one (1) legal counsel selected by the majority-in-interest of the Demanding Holders initiating a Demand Registration to be registered for offer and sale in the applicable Registration or the Takedown Requesting Holder initiating an Underwritten Shelf Takedown.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w:t>
      </w:r>
      <w:r>
        <w:rPr>
          <w:rFonts w:ascii="Times New Roman" w:hAnsi="Times New Roman"/>
          <w:b/>
          <w:i/>
          <w:sz w:val="20"/>
        </w:rPr>
        <w:t>Registration Statement</w:t>
      </w:r>
      <w:r>
        <w:rPr>
          <w:rFonts w:ascii="Times New Roman" w:hAnsi="Times New Roman"/>
          <w:sz w:val="20"/>
        </w:rPr>
        <w:t xml:space="preserve"> shall mean any registration statement that covers the Registrable Securities pursuant to the provisions of this Agreement, including the Prospectus included in such registration statement, amendments (including post-effective amendments) and supplements to such registration statement, and all exhibits to and all material incorporated by reference in such registration statement.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Requesting Holder</w:t>
      </w:r>
      <w:r>
        <w:rPr>
          <w:rFonts w:ascii="Times New Roman" w:hAnsi="Times New Roman"/>
          <w:sz w:val="20"/>
        </w:rPr>
        <w:t xml:space="preserve"> shall have the meaning given in </w:t>
      </w:r>
      <w:r>
        <w:rPr>
          <w:rFonts w:ascii="Times New Roman" w:hAnsi="Times New Roman"/>
          <w:sz w:val="20"/>
          <w:u w:val="single"/>
        </w:rPr>
        <w:t>subsection 2.1.1</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Securities Act</w:t>
      </w:r>
      <w:r>
        <w:rPr>
          <w:rFonts w:ascii="Times New Roman" w:hAnsi="Times New Roman"/>
          <w:sz w:val="20"/>
        </w:rPr>
        <w:t xml:space="preserve"> shall mean the Securities Act of 1933, as amended from time to time.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Shelf</w:t>
      </w:r>
      <w:r>
        <w:rPr>
          <w:rFonts w:ascii="Times New Roman" w:hAnsi="Times New Roman"/>
          <w:sz w:val="20"/>
        </w:rPr>
        <w:t xml:space="preserve"> shall have the meaning given in </w:t>
      </w:r>
      <w:r>
        <w:rPr>
          <w:rFonts w:ascii="Times New Roman" w:hAnsi="Times New Roman"/>
          <w:sz w:val="20"/>
          <w:u w:val="single"/>
        </w:rPr>
        <w:t>subsection 2.3.1</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Sponsor</w:t>
      </w:r>
      <w:r>
        <w:rPr>
          <w:rFonts w:ascii="Times New Roman" w:hAnsi="Times New Roman"/>
          <w:sz w:val="20"/>
        </w:rPr>
        <w:t xml:space="preserve"> shall have the meaning given in the Recitals hereto.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Sponsor Director</w:t>
      </w:r>
      <w:r>
        <w:rPr>
          <w:rFonts w:ascii="Times New Roman" w:hAnsi="Times New Roman"/>
          <w:sz w:val="20"/>
        </w:rPr>
        <w:t xml:space="preserve"> means an individual elected to the Board that has been nominated by the Sponsor pursuant to this Agreement.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Subsequent Shelf Registration</w:t>
      </w:r>
      <w:r>
        <w:rPr>
          <w:rFonts w:ascii="Times New Roman" w:hAnsi="Times New Roman"/>
          <w:sz w:val="20"/>
        </w:rPr>
        <w:t xml:space="preserve"> shall have the meaning given in </w:t>
      </w:r>
      <w:r>
        <w:rPr>
          <w:rFonts w:ascii="Times New Roman" w:hAnsi="Times New Roman"/>
          <w:sz w:val="20"/>
          <w:u w:val="single"/>
        </w:rPr>
        <w:t>subsection 2.3.2</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Takedown Requesting Holder</w:t>
      </w:r>
      <w:r>
        <w:rPr>
          <w:rFonts w:ascii="Times New Roman" w:hAnsi="Times New Roman"/>
          <w:sz w:val="20"/>
        </w:rPr>
        <w:t xml:space="preserve"> shall have the meaning given in </w:t>
      </w:r>
      <w:r>
        <w:rPr>
          <w:rFonts w:ascii="Times New Roman" w:hAnsi="Times New Roman"/>
          <w:sz w:val="20"/>
          <w:u w:val="single"/>
        </w:rPr>
        <w:t>subsection 2.3.3</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Underwriter</w:t>
      </w:r>
      <w:r>
        <w:rPr>
          <w:rFonts w:ascii="Times New Roman" w:hAnsi="Times New Roman"/>
          <w:sz w:val="20"/>
        </w:rPr>
        <w:t xml:space="preserve"> shall mean a securities dealer who purchases any Registrable Securities as principal in an Underwritten Offering and not as part of such dealers market-making activities.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Underwritten Registration</w:t>
      </w:r>
      <w:r>
        <w:rPr>
          <w:rFonts w:ascii="Times New Roman" w:hAnsi="Times New Roman"/>
          <w:sz w:val="20"/>
        </w:rPr>
        <w:t> or </w:t>
      </w:r>
      <w:r>
        <w:rPr>
          <w:rFonts w:ascii="Times New Roman" w:hAnsi="Times New Roman"/>
          <w:b/>
          <w:i/>
          <w:sz w:val="20"/>
        </w:rPr>
        <w:t>Underwritten Offering</w:t>
      </w:r>
      <w:r>
        <w:rPr>
          <w:rFonts w:ascii="Times New Roman" w:hAnsi="Times New Roman"/>
          <w:sz w:val="20"/>
        </w:rPr>
        <w:t xml:space="preserve"> shall mean a Registration in which securities of the Company are sold to an Underwriter in a firm commitment underwriting for distribution to the public.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Underwritten Shelf Takedown</w:t>
      </w:r>
      <w:r>
        <w:rPr>
          <w:rFonts w:ascii="Times New Roman" w:hAnsi="Times New Roman"/>
          <w:sz w:val="20"/>
        </w:rPr>
        <w:t xml:space="preserve"> shall have the meaning given in </w:t>
      </w:r>
      <w:r>
        <w:rPr>
          <w:rFonts w:ascii="Times New Roman" w:hAnsi="Times New Roman"/>
          <w:sz w:val="20"/>
          <w:u w:val="single"/>
        </w:rPr>
        <w:t>subsection 2.3.3</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Working Capital Warrants</w:t>
      </w:r>
      <w:r>
        <w:rPr>
          <w:rFonts w:ascii="Times New Roman" w:hAnsi="Times New Roman"/>
          <w:sz w:val="20"/>
        </w:rPr>
        <w:t xml:space="preserve"> shall have the meaning given in the Recitals hereto. </w:t>
      </w:r>
    </w:p>
    <w:p>
      <w:pPr>
        <w:pStyle w:val="TextBody"/>
        <w:spacing w:before="480" w:after="0"/>
        <w:jc w:val="center"/>
        <w:rPr>
          <w:rFonts w:ascii="Times New Roman" w:hAnsi="Times New Roman"/>
          <w:b/>
          <w:sz w:val="20"/>
        </w:rPr>
      </w:pPr>
      <w:r>
        <w:rPr>
          <w:rFonts w:ascii="Times New Roman" w:hAnsi="Times New Roman"/>
          <w:b/>
          <w:sz w:val="20"/>
        </w:rPr>
        <w:t xml:space="preserve">ARTICLE 2 </w:t>
      </w:r>
    </w:p>
    <w:p>
      <w:pPr>
        <w:pStyle w:val="TextBody"/>
        <w:spacing w:before="0" w:after="0"/>
        <w:jc w:val="center"/>
        <w:rPr>
          <w:rFonts w:ascii="Times New Roman" w:hAnsi="Times New Roman"/>
          <w:sz w:val="20"/>
        </w:rPr>
      </w:pPr>
      <w:r>
        <w:rPr>
          <w:rFonts w:ascii="Times New Roman" w:hAnsi="Times New Roman"/>
          <w:sz w:val="20"/>
        </w:rPr>
        <w:t xml:space="preserve">REGISTRATIONS </w:t>
      </w:r>
    </w:p>
    <w:p>
      <w:pPr>
        <w:pStyle w:val="TextBody"/>
        <w:spacing w:before="240" w:after="0"/>
        <w:jc w:val="left"/>
        <w:rPr>
          <w:rFonts w:ascii="Times New Roman" w:hAnsi="Times New Roman"/>
          <w:sz w:val="20"/>
        </w:rPr>
      </w:pPr>
      <w:r>
        <w:rPr>
          <w:rFonts w:ascii="Times New Roman" w:hAnsi="Times New Roman"/>
          <w:sz w:val="20"/>
        </w:rPr>
        <w:t xml:space="preserve">2.1 </w:t>
      </w:r>
      <w:r>
        <w:rPr>
          <w:rFonts w:ascii="Times New Roman" w:hAnsi="Times New Roman"/>
          <w:sz w:val="20"/>
          <w:u w:val="single"/>
        </w:rPr>
        <w:t>Demand Registration.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2.1.1 </w:t>
      </w:r>
      <w:r>
        <w:rPr>
          <w:rFonts w:ascii="Times New Roman" w:hAnsi="Times New Roman"/>
          <w:sz w:val="20"/>
          <w:u w:val="single"/>
        </w:rPr>
        <w:t>Request for Registration</w:t>
      </w:r>
      <w:r>
        <w:rPr>
          <w:rFonts w:ascii="Times New Roman" w:hAnsi="Times New Roman"/>
          <w:sz w:val="20"/>
        </w:rPr>
        <w:t xml:space="preserve">. Subject to the provisions of </w:t>
      </w:r>
      <w:r>
        <w:rPr>
          <w:rFonts w:ascii="Times New Roman" w:hAnsi="Times New Roman"/>
          <w:sz w:val="20"/>
          <w:u w:val="single"/>
        </w:rPr>
        <w:t>subsection 2.1.4</w:t>
      </w:r>
      <w:r>
        <w:rPr>
          <w:rFonts w:ascii="Times New Roman" w:hAnsi="Times New Roman"/>
          <w:sz w:val="20"/>
        </w:rPr>
        <w:t xml:space="preserve"> and </w:t>
      </w:r>
      <w:r>
        <w:rPr>
          <w:rFonts w:ascii="Times New Roman" w:hAnsi="Times New Roman"/>
          <w:sz w:val="20"/>
          <w:u w:val="single"/>
        </w:rPr>
        <w:t>Section 2.4</w:t>
      </w:r>
      <w:r>
        <w:rPr>
          <w:rFonts w:ascii="Times New Roman" w:hAnsi="Times New Roman"/>
          <w:sz w:val="20"/>
        </w:rPr>
        <w:t xml:space="preserve"> hereof, at any time and from time to time on or after the date the Company consummates the Business Combination, the Holders of at least a majority in interest of the then-outstanding number of Registrable Securities (the </w:t>
      </w:r>
      <w:r>
        <w:rPr>
          <w:rFonts w:ascii="Times New Roman" w:hAnsi="Times New Roman"/>
          <w:b/>
          <w:i/>
          <w:sz w:val="20"/>
        </w:rPr>
        <w:t>Demanding Holders</w:t>
      </w:r>
      <w:r>
        <w:rPr>
          <w:rFonts w:ascii="Times New Roman" w:hAnsi="Times New Roman"/>
          <w:sz w:val="20"/>
        </w:rPr>
        <w:t>) may make a written demand for Registration of all or part of their Registrable Securities, which written demand shall describe the amount and type of securities to be included in such Registration and the intended method(s) of distribution thereof (such written demand a </w:t>
      </w:r>
      <w:r>
        <w:rPr>
          <w:rFonts w:ascii="Times New Roman" w:hAnsi="Times New Roman"/>
          <w:b/>
          <w:i/>
          <w:sz w:val="20"/>
        </w:rPr>
        <w:t>Demand Registration</w:t>
      </w:r>
      <w:r>
        <w:rPr>
          <w:rFonts w:ascii="Times New Roman" w:hAnsi="Times New Roman"/>
          <w:sz w:val="20"/>
        </w:rPr>
        <w:t>). The Company shall, within five (5) days of the Companys receipt of the Demand Registration, notify, in writing, all other Holders of Registrable Securities of such demand, and each Holder of Registrable Securities who thereafter wishes to include all or a portion of such Holders Registrable Securities in a Registration pursuant to a Demand Registration (each such Holder that includes all or a portion of such Holders Registrable Securities in such Registration, a </w:t>
      </w:r>
      <w:r>
        <w:rPr>
          <w:rFonts w:ascii="Times New Roman" w:hAnsi="Times New Roman"/>
          <w:b/>
          <w:i/>
          <w:sz w:val="20"/>
        </w:rPr>
        <w:t>Requesting Holder</w:t>
      </w:r>
      <w:r>
        <w:rPr>
          <w:rFonts w:ascii="Times New Roman" w:hAnsi="Times New Roman"/>
          <w:sz w:val="20"/>
        </w:rPr>
        <w:t xml:space="preserve">) shall so notify the Company, in writing, within three (3) business days after the receipt by the Holder of the notice from the Company. Upon receipt by the Company of any such written notification from a Requesting Holder(s) to the Company, such Requesting Holder(s) shall be entitled to have their Registrable Securities included in a Registration pursuant to a Demand Registration and the Company shall effect, as soon thereafter as practicable, but not more than forty five (45) days immediately after the Companys receipt of the Demand Registration, the Registration of all Registrable Securities requested by the Demanding Holders and Requesting Holders pursuant to such Demand Registration. Under no circumstances shall the Company be obligated to effect more than an aggregate of three (3) Registrations pursuant to a Demand Registration under this </w:t>
      </w:r>
      <w:r>
        <w:rPr>
          <w:rFonts w:ascii="Times New Roman" w:hAnsi="Times New Roman"/>
          <w:sz w:val="20"/>
          <w:u w:val="single"/>
        </w:rPr>
        <w:t>subsection 2.1.1</w:t>
      </w:r>
      <w:r>
        <w:rPr>
          <w:rFonts w:ascii="Times New Roman" w:hAnsi="Times New Roman"/>
          <w:sz w:val="20"/>
        </w:rPr>
        <w:t xml:space="preserve"> with respect to any or all Registrable Securities;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a Registration shall not be counted for such purposes unless a Form S-1 or any similar long-form registration statement that may be available at such time (</w:t>
      </w:r>
      <w:r>
        <w:rPr>
          <w:rFonts w:ascii="Times New Roman" w:hAnsi="Times New Roman"/>
          <w:b/>
          <w:i/>
          <w:sz w:val="20"/>
        </w:rPr>
        <w:t>Form S-1</w:t>
      </w:r>
      <w:r>
        <w:rPr>
          <w:rFonts w:ascii="Times New Roman" w:hAnsi="Times New Roman"/>
          <w:sz w:val="20"/>
        </w:rPr>
        <w:t xml:space="preserve">)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has become effective and all of the Registrable Securities requested by the Requesting Holders to be registered on behalf of the Requesting Holders in such Form S-1 Registration have been sold, in accordance with </w:t>
      </w:r>
      <w:r>
        <w:rPr>
          <w:rFonts w:ascii="Times New Roman" w:hAnsi="Times New Roman"/>
          <w:sz w:val="20"/>
          <w:u w:val="single"/>
        </w:rPr>
        <w:t>Section 3.1</w:t>
      </w:r>
      <w:r>
        <w:rPr>
          <w:rFonts w:ascii="Times New Roman" w:hAnsi="Times New Roman"/>
          <w:sz w:val="20"/>
        </w:rPr>
        <w:t xml:space="preserve"> of this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an Underwritten Shelf Takedown shall not count as a Demand Registration. </w:t>
      </w:r>
    </w:p>
    <w:p>
      <w:pPr>
        <w:pStyle w:val="TextBody"/>
        <w:spacing w:before="240" w:after="0"/>
        <w:jc w:val="left"/>
        <w:rPr>
          <w:rFonts w:ascii="Times New Roman" w:hAnsi="Times New Roman"/>
          <w:sz w:val="20"/>
        </w:rPr>
      </w:pPr>
      <w:r>
        <w:rPr>
          <w:rFonts w:ascii="Times New Roman" w:hAnsi="Times New Roman"/>
          <w:sz w:val="20"/>
        </w:rPr>
        <w:t xml:space="preserve">2.1.2 </w:t>
      </w:r>
      <w:r>
        <w:rPr>
          <w:rFonts w:ascii="Times New Roman" w:hAnsi="Times New Roman"/>
          <w:sz w:val="20"/>
          <w:u w:val="single"/>
        </w:rPr>
        <w:t>Effective Registration</w:t>
      </w:r>
      <w:r>
        <w:rPr>
          <w:rFonts w:ascii="Times New Roman" w:hAnsi="Times New Roman"/>
          <w:sz w:val="20"/>
        </w:rPr>
        <w:t xml:space="preserve">. Notwithstanding the provisions of </w:t>
      </w:r>
      <w:r>
        <w:rPr>
          <w:rFonts w:ascii="Times New Roman" w:hAnsi="Times New Roman"/>
          <w:sz w:val="20"/>
          <w:u w:val="single"/>
        </w:rPr>
        <w:t>subsection 2.1.1</w:t>
      </w:r>
      <w:r>
        <w:rPr>
          <w:rFonts w:ascii="Times New Roman" w:hAnsi="Times New Roman"/>
          <w:sz w:val="20"/>
        </w:rPr>
        <w:t xml:space="preserve"> above or any other part of this Agreement, a Registration pursuant to a Demand Registration shall not count as a Registration unless and until (i) the Registration Statement filed with the Commission with respect to a Registration pursuant to a Demand Registration has been declared effective by the Commission and (ii) the Company has complied with all of its obligations under this Agreement with respect thereto;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if, after such Registration Statement has been declared effective, an offering of Registrable Securities in a Registration pursuant to a Demand Registration is subsequently interfered with by any stop order or injunction of the Commission, federal or state court or any other governmental agency the Registration Statement with respect to such Registration shall be deemed not to have been declared effective, unless and until, (i) such stop order or injunction is removed, rescinded or otherwise terminated and (ii) a majority-in-interest of the Demanding Holders initiating such Demand Registration thereafter affirmatively elect to continue with such Registration and accordingly notify the Company in writing, but in no event later than five (5) days, of such election;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the Company shall not be obligated or required to file another Registration Statement until the Registration Statement that has been previously filed with respect to a Registration pursuant to a Demand Registration becomes effective or is subsequently terminated. </w:t>
      </w:r>
    </w:p>
    <w:p>
      <w:pPr>
        <w:pStyle w:val="TextBody"/>
        <w:spacing w:before="240" w:after="0"/>
        <w:jc w:val="left"/>
        <w:rPr>
          <w:rFonts w:ascii="Times New Roman" w:hAnsi="Times New Roman"/>
          <w:sz w:val="20"/>
        </w:rPr>
      </w:pPr>
      <w:r>
        <w:rPr>
          <w:rFonts w:ascii="Times New Roman" w:hAnsi="Times New Roman"/>
          <w:sz w:val="20"/>
        </w:rPr>
        <w:t xml:space="preserve">2.1.3 </w:t>
      </w:r>
      <w:r>
        <w:rPr>
          <w:rFonts w:ascii="Times New Roman" w:hAnsi="Times New Roman"/>
          <w:sz w:val="20"/>
          <w:u w:val="single"/>
        </w:rPr>
        <w:t>Underwritten Offering</w:t>
      </w:r>
      <w:r>
        <w:rPr>
          <w:rFonts w:ascii="Times New Roman" w:hAnsi="Times New Roman"/>
          <w:sz w:val="20"/>
        </w:rPr>
        <w:t xml:space="preserve">. Subject to the provisions of </w:t>
      </w:r>
      <w:r>
        <w:rPr>
          <w:rFonts w:ascii="Times New Roman" w:hAnsi="Times New Roman"/>
          <w:sz w:val="20"/>
          <w:u w:val="single"/>
        </w:rPr>
        <w:t>subsection 2.1.4</w:t>
      </w:r>
      <w:r>
        <w:rPr>
          <w:rFonts w:ascii="Times New Roman" w:hAnsi="Times New Roman"/>
          <w:sz w:val="20"/>
        </w:rPr>
        <w:t xml:space="preserve"> and </w:t>
      </w:r>
      <w:r>
        <w:rPr>
          <w:rFonts w:ascii="Times New Roman" w:hAnsi="Times New Roman"/>
          <w:sz w:val="20"/>
          <w:u w:val="single"/>
        </w:rPr>
        <w:t xml:space="preserve">Section 2.4 </w:t>
      </w:r>
      <w:r>
        <w:rPr>
          <w:rFonts w:ascii="Times New Roman" w:hAnsi="Times New Roman"/>
          <w:sz w:val="20"/>
        </w:rPr>
        <w:t xml:space="preserve">hereof, if a majority-in-interest of the Demanding Holders so advise the Company as part of their Demand Registration that the offering of the Registrable Securities pursuant to such Demand Registration shall be in the form of an Underwritten Offering, then the right of such Demanding Holder or Requesting Holder (if any) to include its Registrable Securities in such Registration shall be conditioned upon such Holders participation in such Underwritten Offering and the inclusion of such Holders Registrable Securities in such Underwritten Offering to the extent provided herein. All such Holders proposing to distribute their Registrable Securities through an Underwritten Offering under this </w:t>
      </w:r>
      <w:r>
        <w:rPr>
          <w:rFonts w:ascii="Times New Roman" w:hAnsi="Times New Roman"/>
          <w:sz w:val="20"/>
          <w:u w:val="single"/>
        </w:rPr>
        <w:t>subsection 2.1.3</w:t>
      </w:r>
      <w:r>
        <w:rPr>
          <w:rFonts w:ascii="Times New Roman" w:hAnsi="Times New Roman"/>
          <w:sz w:val="20"/>
        </w:rPr>
        <w:t xml:space="preserve"> shall enter into an underwriting agreement in customary form with the Underwriter(s) selected for such Underwritten Offering by the majority-in-interest of the Demanding Holders initiating the Demand Registration. </w:t>
      </w:r>
    </w:p>
    <w:p>
      <w:pPr>
        <w:pStyle w:val="TextBody"/>
        <w:spacing w:before="240" w:after="0"/>
        <w:jc w:val="left"/>
        <w:rPr>
          <w:rFonts w:ascii="Times New Roman" w:hAnsi="Times New Roman"/>
          <w:sz w:val="20"/>
        </w:rPr>
      </w:pPr>
      <w:r>
        <w:rPr>
          <w:rFonts w:ascii="Times New Roman" w:hAnsi="Times New Roman"/>
          <w:sz w:val="20"/>
        </w:rPr>
        <w:t xml:space="preserve">2.1.4 </w:t>
      </w:r>
      <w:r>
        <w:rPr>
          <w:rFonts w:ascii="Times New Roman" w:hAnsi="Times New Roman"/>
          <w:sz w:val="20"/>
          <w:u w:val="single"/>
        </w:rPr>
        <w:t>Reduction of Underwritten Offering</w:t>
      </w:r>
      <w:r>
        <w:rPr>
          <w:rFonts w:ascii="Times New Roman" w:hAnsi="Times New Roman"/>
          <w:sz w:val="20"/>
        </w:rPr>
        <w:t>. If the managing Underwriter or Underwriters in an Underwritten Registration pursuant to a Demand Registration, in good faith, advises the Company, the Demanding Holders and the Requesting Holders (if any) in writing that the dollar amount or number of Registrable Securities that the Demanding Holders and the Requesting Holders (if any) desire to sell, taken together with all other Ordinary Shares or other equity securities that the Company desires to sell and the Ordinary Shares, if any, as to which a Registration has been requested pursuant to separate written contractual piggy-back registration rights held by any other shareholders who desire to sell, exceeds the maximum dollar amount or maximum number of equity securities that can be sold in the Underwritten Offering without adversely affecting the proposed offering price, the timing, the distribution method, or the probability of success of such offering (such maximum dollar amount or maximum number of such securities, as applicable, the </w:t>
      </w:r>
      <w:r>
        <w:rPr>
          <w:rFonts w:ascii="Times New Roman" w:hAnsi="Times New Roman"/>
          <w:b/>
          <w:i/>
          <w:sz w:val="20"/>
        </w:rPr>
        <w:t>Maximum Number of Securities</w:t>
      </w:r>
      <w:r>
        <w:rPr>
          <w:rFonts w:ascii="Times New Roman" w:hAnsi="Times New Roman"/>
          <w:sz w:val="20"/>
        </w:rPr>
        <w:t>), then the Company shall include in such Underwritten Offering, as follows: (i) first, the Registrable Securities of the Demanding Holders and the Requesting Holders (if any) (pro rata based on the respective number of Registrable Securities that each Demanding Holder and Requesting Holder (if any) has requested be included in such Underwritten Registration and the aggregate number of Registrable Securities that the Demanding Holders and Requesting Holders have requested be included in such Underwritten Registration (such proportion is referred to herein as </w:t>
      </w:r>
      <w:r>
        <w:rPr>
          <w:rFonts w:ascii="Times New Roman" w:hAnsi="Times New Roman"/>
          <w:b/>
          <w:i/>
          <w:sz w:val="20"/>
        </w:rPr>
        <w:t>Pro Rata</w:t>
      </w:r>
      <w:r>
        <w:rPr>
          <w:rFonts w:ascii="Times New Roman" w:hAnsi="Times New Roman"/>
          <w:sz w:val="20"/>
        </w:rPr>
        <w:t xml:space="preserve">)) that can be sold without exceeding the Maximum Number of Securities; (ii) second, to the extent that the Maximum Number of Securities has not been reached under the foregoing clause (i), the Ordinary Shares or other equity securities that the Company desires to sell, which can be sold without exceeding the Maximum Number of Securities; and (iii) third, to the extent that the Maximum Number of Securities has not been reached under the foregoing clauses (i) and (ii), the Ordinary Shares or other equity securities of other persons or entities that the Company is obligated to register in a Registration pursuant to separate written contractual arrangements with such persons and that can be sold without exceeding the Maximum Number of Securities. </w:t>
      </w:r>
    </w:p>
    <w:p>
      <w:pPr>
        <w:pStyle w:val="TextBody"/>
        <w:spacing w:before="240" w:after="0"/>
        <w:jc w:val="left"/>
        <w:rPr>
          <w:rFonts w:ascii="Times New Roman" w:hAnsi="Times New Roman"/>
          <w:sz w:val="20"/>
        </w:rPr>
      </w:pPr>
      <w:r>
        <w:rPr>
          <w:rFonts w:ascii="Times New Roman" w:hAnsi="Times New Roman"/>
          <w:sz w:val="20"/>
        </w:rPr>
        <w:t xml:space="preserve">2.1.5 </w:t>
      </w:r>
      <w:r>
        <w:rPr>
          <w:rFonts w:ascii="Times New Roman" w:hAnsi="Times New Roman"/>
          <w:sz w:val="20"/>
          <w:u w:val="single"/>
        </w:rPr>
        <w:t>Demand Registration Withdrawal</w:t>
      </w:r>
      <w:r>
        <w:rPr>
          <w:rFonts w:ascii="Times New Roman" w:hAnsi="Times New Roman"/>
          <w:sz w:val="20"/>
        </w:rPr>
        <w:t xml:space="preserve">. A majority-in-interest of the Demanding Holders initiating a Demand Registration or a majority-in-interest of the Requesting Holders (if any), pursuant to a Registration under </w:t>
      </w:r>
      <w:r>
        <w:rPr>
          <w:rFonts w:ascii="Times New Roman" w:hAnsi="Times New Roman"/>
          <w:sz w:val="20"/>
          <w:u w:val="single"/>
        </w:rPr>
        <w:t>subsection 2.1.1</w:t>
      </w:r>
      <w:r>
        <w:rPr>
          <w:rFonts w:ascii="Times New Roman" w:hAnsi="Times New Roman"/>
          <w:sz w:val="20"/>
        </w:rPr>
        <w:t xml:space="preserve"> shall have the right to withdraw from a Registration pursuant to such Demand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Registration for any or no reason whatsoever upon written notification to the Company and the Underwriter or Underwriters (if any) of their intention to withdraw from such Registration prior to the effectiveness of the Registration Statement filed with the Commission with respect to the Registration of their Registrable Securities pursuant to such Demand Registration. Notwithstanding anything to the contrary in this Agreement, the Company shall be responsible for the Registration Expenses incurred in connection with a Registration pursuant to a Demand Registration prior to its withdrawal under this </w:t>
      </w:r>
      <w:r>
        <w:rPr>
          <w:rFonts w:ascii="Times New Roman" w:hAnsi="Times New Roman"/>
          <w:sz w:val="20"/>
          <w:u w:val="single"/>
        </w:rPr>
        <w:t>subsection 2.1.5</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 w:hAnsi="Times New Roman"/>
          <w:sz w:val="20"/>
        </w:rPr>
        <w:t xml:space="preserve">2.2 </w:t>
      </w:r>
      <w:r>
        <w:rPr>
          <w:rFonts w:ascii="Times New Roman" w:hAnsi="Times New Roman"/>
          <w:sz w:val="20"/>
          <w:u w:val="single"/>
        </w:rPr>
        <w:t>Piggyback Registration.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2.2.1 </w:t>
      </w:r>
      <w:r>
        <w:rPr>
          <w:rFonts w:ascii="Times New Roman" w:hAnsi="Times New Roman"/>
          <w:sz w:val="20"/>
          <w:u w:val="single"/>
        </w:rPr>
        <w:t>Piggyback Rights</w:t>
      </w:r>
      <w:r>
        <w:rPr>
          <w:rFonts w:ascii="Times New Roman" w:hAnsi="Times New Roman"/>
          <w:sz w:val="20"/>
        </w:rPr>
        <w:t xml:space="preserve">. If, at any time on or after the date the Company consummates a Business Combination, the Company proposes to file a Registration Statement under the Securities Act with respect to an offering of equity securities, or securities or other obligations exercisable or exchangeable for, or convertible into equity securities, for its own account or for the account of shareholders of the Company (or by the Company and by the shareholders of the Company including, without limitation, pursuant to </w:t>
      </w:r>
      <w:r>
        <w:rPr>
          <w:rFonts w:ascii="Times New Roman" w:hAnsi="Times New Roman"/>
          <w:sz w:val="20"/>
          <w:u w:val="single"/>
        </w:rPr>
        <w:t>Section 2.1</w:t>
      </w:r>
      <w:r>
        <w:rPr>
          <w:rFonts w:ascii="Times New Roman" w:hAnsi="Times New Roman"/>
          <w:sz w:val="20"/>
        </w:rPr>
        <w:t xml:space="preserve"> hereof), other than a Registration Statement (i) filed in connection with any employee share option or other benefit plan, (ii) for an exchange offer or offering of securities solely to the Companys existing shareholders, (iii) for an offering of debt that is convertible into equity securities of the Company or (iv) for a dividend reinvestment plan, then the Company shall give written notice of such proposed filing to all of the Holders of Registrable Securities as soon as practicable but not less than seven (7) days before the anticipated filing date of such Registration Statement, which notice shall (A) describe the amount and type of securities to be included in such offering, the intended method(s) of distribution, and the name of the proposed managing Underwriter or Underwriters, if any, in such offering, and (B) offer to all of the Holders of Registrable Securities the opportunity to register the sale of such number of Registrable Securities as such Holders may request in writing within three (3) business days after receipt of such written notice (such Registration a </w:t>
      </w:r>
      <w:r>
        <w:rPr>
          <w:rFonts w:ascii="Times New Roman" w:hAnsi="Times New Roman"/>
          <w:b/>
          <w:i/>
          <w:sz w:val="20"/>
        </w:rPr>
        <w:t>Piggyback Registration</w:t>
      </w:r>
      <w:r>
        <w:rPr>
          <w:rFonts w:ascii="Times New Roman" w:hAnsi="Times New Roman"/>
          <w:sz w:val="20"/>
        </w:rPr>
        <w:t xml:space="preserve">). The Company shall, in good faith, cause such Registrable Securities to be included in such Piggyback Registration and shall use its best efforts to cause the managing Underwriter or Underwriters of a proposed Underwritten Offering to permit the Registrable Securities requested by the Holders pursuant to this </w:t>
      </w:r>
      <w:r>
        <w:rPr>
          <w:rFonts w:ascii="Times New Roman" w:hAnsi="Times New Roman"/>
          <w:sz w:val="20"/>
          <w:u w:val="single"/>
        </w:rPr>
        <w:t>subsection 2.2.1</w:t>
      </w:r>
      <w:r>
        <w:rPr>
          <w:rFonts w:ascii="Times New Roman" w:hAnsi="Times New Roman"/>
          <w:sz w:val="20"/>
        </w:rPr>
        <w:t xml:space="preserve"> to be included in a Piggyback Registration on the same terms and conditions as any similar securities of the Company included in such Registration and to permit the sale or other disposition of such Registrable Securities in accordance with the intended method(s) of distribution thereof. All such Holders proposing to distribute their Registrable Securities through an Underwritten Offering under this </w:t>
      </w:r>
      <w:r>
        <w:rPr>
          <w:rFonts w:ascii="Times New Roman" w:hAnsi="Times New Roman"/>
          <w:sz w:val="20"/>
          <w:u w:val="single"/>
        </w:rPr>
        <w:t>subsection 2.2.1</w:t>
      </w:r>
      <w:r>
        <w:rPr>
          <w:rFonts w:ascii="Times New Roman" w:hAnsi="Times New Roman"/>
          <w:sz w:val="20"/>
        </w:rPr>
        <w:t xml:space="preserve"> shall enter into an underwriting agreement in customary form with the Underwriter(s) selected for such Underwritten Offering by the Company. The notice periods set forth in this </w:t>
      </w:r>
      <w:r>
        <w:rPr>
          <w:rFonts w:ascii="Times New Roman" w:hAnsi="Times New Roman"/>
          <w:sz w:val="20"/>
          <w:u w:val="single"/>
        </w:rPr>
        <w:t>subsection 2.2.1</w:t>
      </w:r>
      <w:r>
        <w:rPr>
          <w:rFonts w:ascii="Times New Roman" w:hAnsi="Times New Roman"/>
          <w:sz w:val="20"/>
        </w:rPr>
        <w:t xml:space="preserve"> shall not apply to an Underwritten Shelf Takedown conducted in accordance with </w:t>
      </w:r>
      <w:r>
        <w:rPr>
          <w:rFonts w:ascii="Times New Roman" w:hAnsi="Times New Roman"/>
          <w:sz w:val="20"/>
          <w:u w:val="single"/>
        </w:rPr>
        <w:t>subsection 2.3.3.</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2.2.2 </w:t>
      </w:r>
      <w:r>
        <w:rPr>
          <w:rFonts w:ascii="Times New Roman" w:hAnsi="Times New Roman"/>
          <w:sz w:val="20"/>
          <w:u w:val="single"/>
        </w:rPr>
        <w:t>Reduction of Piggyback Registration</w:t>
      </w:r>
      <w:r>
        <w:rPr>
          <w:rFonts w:ascii="Times New Roman" w:hAnsi="Times New Roman"/>
          <w:sz w:val="20"/>
        </w:rPr>
        <w:t xml:space="preserve">. If the managing Underwriter or Underwriters in an Underwritten Registration that is to be a Piggyback Registration (other than Underwritten Shelf Takedown), in good faith, advises the Company and the Holders of Registrable Securities participating in the Piggyback Registration in writing that the dollar amount or number of the Ordinary Shares that the Company desires to sell, taken together with (i) the Ordinary Shares, if any, as to which Registration has been demanded pursuant to separate written contractual arrangements with persons or entities other than the Holders of Registrable Securities hereunder, (ii) the Registrable Securities as to which registration has been requested pursuant </w:t>
      </w:r>
      <w:r>
        <w:rPr>
          <w:rFonts w:ascii="Times New Roman" w:hAnsi="Times New Roman"/>
          <w:sz w:val="20"/>
          <w:u w:val="single"/>
        </w:rPr>
        <w:t>Section 2.2</w:t>
      </w:r>
      <w:r>
        <w:rPr>
          <w:rFonts w:ascii="Times New Roman" w:hAnsi="Times New Roman"/>
          <w:sz w:val="20"/>
        </w:rPr>
        <w:t xml:space="preserve"> hereof, and (iii) the Ordinary Shares, if any, as to which Registration has been requested pursuant to separate written contractual piggy-back registration rights of other shareholders of the Company, exceeds the Maximum Number of Securities, then: </w:t>
      </w:r>
    </w:p>
    <w:p>
      <w:pPr>
        <w:pStyle w:val="TextBody"/>
        <w:spacing w:before="240" w:after="0"/>
        <w:jc w:val="left"/>
        <w:rPr>
          <w:rFonts w:ascii="Times New Roman" w:hAnsi="Times New Roman"/>
          <w:sz w:val="20"/>
        </w:rPr>
      </w:pPr>
      <w:r>
        <w:rPr>
          <w:rFonts w:ascii="Times New Roman" w:hAnsi="Times New Roman"/>
          <w:sz w:val="20"/>
        </w:rPr>
        <w:t xml:space="preserve">(a) If the Registration is undertaken for the Companys account, the Company shall include in any such Registration (A) first, the Ordinary Shares or other equity securities that the Company desires to sell, which can be sold without exceeding the Maximum Number of Securities; and (B) second, to the extent that the Maximum Number of Securities has not been reached under the foregoing clause (A), the Registrable Securities of Holders exercising their rights to register their Registrable Securities pursuant to </w:t>
      </w:r>
      <w:r>
        <w:rPr>
          <w:rFonts w:ascii="Times New Roman" w:hAnsi="Times New Roman"/>
          <w:sz w:val="20"/>
          <w:u w:val="single"/>
        </w:rPr>
        <w:t>subsection 2.2.1</w:t>
      </w:r>
      <w:r>
        <w:rPr>
          <w:rFonts w:ascii="Times New Roman" w:hAnsi="Times New Roman"/>
          <w:sz w:val="20"/>
        </w:rPr>
        <w:t xml:space="preserve">, Pro Rata, which can be sold without exceeding the Maximum Number of Securities; (C) third, to the extent that the Maximum Number of Securities has not been reached under the foregoing clauses (A) and (B), the Ordinary Shares or other equity securities that the Company desires to sell, which can be sold without exceeding the Maximum Number of Securities; and (D) fourth, to the extent that the Maximum Number of Securities has not been reached under the foregoing clauses (A), (B) and (C), the Ordinary Shares or other equity securities for the account of other persons or entities that the Company is obligated to register pursuant to separate written contractual arrangements with such persons or entities, which can be sold without exceeding the Maximum Number of Securities;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(b) If the Registration is pursuant to a request by persons or entities other than the Holders of Registrable Securities, then the Company shall include in any such Registration (A) first, the Ordinary Shares or other equity securities, if any, of such requesting persons or entities, other than the Holders of Registrable </w:t>
      </w:r>
    </w:p>
    <w:p>
      <w:pPr>
        <w:pStyle w:val="TextBody"/>
        <w:spacing w:before="240" w:after="0"/>
        <w:jc w:val="left"/>
        <w:rPr>
          <w:rFonts w:ascii="Times New Roman" w:hAnsi="Times New Roman"/>
          <w:sz w:val="20"/>
        </w:rPr>
      </w:pPr>
      <w:r>
        <w:rPr>
          <w:rFonts w:ascii="Times New Roman" w:hAnsi="Times New Roman"/>
          <w:sz w:val="20"/>
        </w:rPr>
        <w:t xml:space="preserve">Securities, which can be sold without exceeding the Maximum Number of Securities; (B) second, to the extent that the Maximum Number of Securities has not been reached under the foregoing clause (A), the Registrable Securities of Holders exercising their rights to register their Registrable Securities pursuant to </w:t>
      </w:r>
      <w:r>
        <w:rPr>
          <w:rFonts w:ascii="Times New Roman" w:hAnsi="Times New Roman"/>
          <w:sz w:val="20"/>
          <w:u w:val="single"/>
        </w:rPr>
        <w:t>subsection 2.2.1</w:t>
      </w:r>
      <w:r>
        <w:rPr>
          <w:rFonts w:ascii="Times New Roman" w:hAnsi="Times New Roman"/>
          <w:sz w:val="20"/>
        </w:rPr>
        <w:t xml:space="preserve">, Pro Rata, which can be sold without exceeding the Maximum Number of Securities; (C) third, to the extent that the Maximum Number of Securities has not been reached under the foregoing clauses (A) and (B), the Ordinary Shares or other equity securities that the Company desires to sell, which can be sold without exceeding the Maximum Number of Securities; and (D) fourth, to the extent that the Maximum Number of Securities has not been reached under the foregoing clauses (A), (B) and (C), the Ordinary Shares or other equity securities for the account of other persons or entities that the Company is obligated to register pursuant to separate written contractual arrangements with such persons or entities, which can be sold without exceeding the Maximum Number of Securities. </w:t>
      </w:r>
    </w:p>
    <w:p>
      <w:pPr>
        <w:pStyle w:val="TextBody"/>
        <w:spacing w:before="240" w:after="0"/>
        <w:jc w:val="left"/>
        <w:rPr>
          <w:rFonts w:ascii="Times New Roman" w:hAnsi="Times New Roman"/>
          <w:sz w:val="20"/>
        </w:rPr>
      </w:pPr>
      <w:r>
        <w:rPr>
          <w:rFonts w:ascii="Times New Roman" w:hAnsi="Times New Roman"/>
          <w:sz w:val="20"/>
        </w:rPr>
        <w:t xml:space="preserve">2.2.3 </w:t>
      </w:r>
      <w:r>
        <w:rPr>
          <w:rFonts w:ascii="Times New Roman" w:hAnsi="Times New Roman"/>
          <w:sz w:val="20"/>
          <w:u w:val="single"/>
        </w:rPr>
        <w:t>Piggyback Registration Withdrawal</w:t>
      </w:r>
      <w:r>
        <w:rPr>
          <w:rFonts w:ascii="Times New Roman" w:hAnsi="Times New Roman"/>
          <w:sz w:val="20"/>
        </w:rPr>
        <w:t xml:space="preserve">. Any Holder of Registrable Securities shall have the right to withdraw from a Piggyback Registration for any or no reason whatsoever upon written notification to the Company and the Underwriter or Underwriters (if any) of his, her or its intention to withdraw from such Piggyback Registration prior to the effectiveness of the Registration Statement filed with the Commission with respect to such Piggyback Registration. The Company (whether on its own good faith determination or as the result of a request for withdrawal by persons pursuant to separate written contractual obligations) may withdraw a Registration Statement filed with the Commission in connection with a Piggyback Registration at any time prior to the effectiveness of such Registration Statement. Notwithstanding anything to the contrary in this Agreement, the Company shall be responsible for the Registration Expenses incurred in connection with the Piggyback Registration prior to its withdrawal under this </w:t>
      </w:r>
      <w:r>
        <w:rPr>
          <w:rFonts w:ascii="Times New Roman" w:hAnsi="Times New Roman"/>
          <w:sz w:val="20"/>
          <w:u w:val="single"/>
        </w:rPr>
        <w:t>subsection 2.2.3</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2.2.4 </w:t>
      </w:r>
      <w:r>
        <w:rPr>
          <w:rFonts w:ascii="Times New Roman" w:hAnsi="Times New Roman"/>
          <w:sz w:val="20"/>
          <w:u w:val="single"/>
        </w:rPr>
        <w:t>Unlimited Piggyback Registration Rights</w:t>
      </w:r>
      <w:r>
        <w:rPr>
          <w:rFonts w:ascii="Times New Roman" w:hAnsi="Times New Roman"/>
          <w:sz w:val="20"/>
        </w:rPr>
        <w:t xml:space="preserve">. For purposes of clarity, any Registration effected pursuant to </w:t>
      </w:r>
      <w:r>
        <w:rPr>
          <w:rFonts w:ascii="Times New Roman" w:hAnsi="Times New Roman"/>
          <w:sz w:val="20"/>
          <w:u w:val="single"/>
        </w:rPr>
        <w:t>Section 2.2</w:t>
      </w:r>
      <w:r>
        <w:rPr>
          <w:rFonts w:ascii="Times New Roman" w:hAnsi="Times New Roman"/>
          <w:sz w:val="20"/>
        </w:rPr>
        <w:t xml:space="preserve"> hereof shall not be counted as a Registration pursuant to a Demand Registration effected under </w:t>
      </w:r>
      <w:r>
        <w:rPr>
          <w:rFonts w:ascii="Times New Roman" w:hAnsi="Times New Roman"/>
          <w:sz w:val="20"/>
          <w:u w:val="single"/>
        </w:rPr>
        <w:t>Section 2.1</w:t>
      </w:r>
      <w:r>
        <w:rPr>
          <w:rFonts w:ascii="Times New Roman" w:hAnsi="Times New Roman"/>
          <w:sz w:val="20"/>
        </w:rPr>
        <w:t xml:space="preserve"> hereof. </w:t>
      </w:r>
    </w:p>
    <w:p>
      <w:pPr>
        <w:pStyle w:val="TextBody"/>
        <w:spacing w:before="360" w:after="0"/>
        <w:jc w:val="left"/>
        <w:rPr>
          <w:rFonts w:ascii="Times New Roman" w:hAnsi="Times New Roman"/>
          <w:sz w:val="20"/>
        </w:rPr>
      </w:pPr>
      <w:r>
        <w:rPr>
          <w:rFonts w:ascii="Times New Roman" w:hAnsi="Times New Roman"/>
          <w:sz w:val="20"/>
        </w:rPr>
        <w:t xml:space="preserve">2.3 </w:t>
      </w:r>
      <w:r>
        <w:rPr>
          <w:rFonts w:ascii="Times New Roman" w:hAnsi="Times New Roman"/>
          <w:sz w:val="20"/>
          <w:u w:val="single"/>
        </w:rPr>
        <w:t>Shelf Registrations.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2.3.1 The Holders of Registrable Securities may at any time, and from time to time, request in writing that the Company, pursuant to Rule 415 under the Securities Act (or any successor rule promulgated thereafter by the Commission), register the resale of any or all of their Registrable Securities on Form S-3 or similar short form registration statement that may be available at such time (</w:t>
      </w:r>
      <w:r>
        <w:rPr>
          <w:rFonts w:ascii="Times New Roman" w:hAnsi="Times New Roman"/>
          <w:b/>
          <w:i/>
          <w:sz w:val="20"/>
        </w:rPr>
        <w:t>Form S-3</w:t>
      </w:r>
      <w:r>
        <w:rPr>
          <w:rFonts w:ascii="Times New Roman" w:hAnsi="Times New Roman"/>
          <w:sz w:val="20"/>
        </w:rPr>
        <w:t xml:space="preserve">), or if the Company is ineligible to use Form S-3, on Form S-1; a registration statement filed pursuant to this </w:t>
      </w:r>
      <w:r>
        <w:rPr>
          <w:rFonts w:ascii="Times New Roman" w:hAnsi="Times New Roman"/>
          <w:sz w:val="20"/>
          <w:u w:val="single"/>
        </w:rPr>
        <w:t>subsection 2.3</w:t>
      </w:r>
      <w:r>
        <w:rPr>
          <w:rFonts w:ascii="Times New Roman" w:hAnsi="Times New Roman"/>
          <w:sz w:val="20"/>
        </w:rPr>
        <w:t>.1 (a </w:t>
      </w:r>
      <w:r>
        <w:rPr>
          <w:rFonts w:ascii="Times New Roman" w:hAnsi="Times New Roman"/>
          <w:b/>
          <w:i/>
          <w:sz w:val="20"/>
        </w:rPr>
        <w:t>Shelf</w:t>
      </w:r>
      <w:r>
        <w:rPr>
          <w:rFonts w:ascii="Times New Roman" w:hAnsi="Times New Roman"/>
          <w:sz w:val="20"/>
        </w:rPr>
        <w:t xml:space="preserve">) shall provide for the resale of the Registrable Securities included therein pursuant to any method or combination of methods legally available to, and requested by, any Holder. Within three (3) days of the Companys receipt of a written request from a Holder or Holders of Registrable Securities for a Registration on a Shelf, the Company shall promptly give written notice of the proposed Registration to all other Holders of Registrable Securities, and each Holder of Registrable Securities who thereafter wishes to include all or a portion of such Holders Registrable Securities in such Registration shall so notify the Company, in writing, within three (3) business days after the receipt by the Holder of the notice from the Company. As soon as practicable thereafter, but not more than ten (10) days after the Companys initial receipt of such written request for a Registration on a Shelf, the Company shall register all or such portion of such Holders Registrable Securities as are specified in such written request, together with all or such portion of Registrable Securities of any other Holder or Holders joining in such request as are specified in the written notification given by such Holder or Holders; provided, however, that the Company shall not be obligated to effect any such Registration pursuant to this </w:t>
      </w:r>
      <w:r>
        <w:rPr>
          <w:rFonts w:ascii="Times New Roman" w:hAnsi="Times New Roman"/>
          <w:sz w:val="20"/>
          <w:u w:val="single"/>
        </w:rPr>
        <w:t>subsection 2.3.1</w:t>
      </w:r>
      <w:r>
        <w:rPr>
          <w:rFonts w:ascii="Times New Roman" w:hAnsi="Times New Roman"/>
          <w:sz w:val="20"/>
        </w:rPr>
        <w:t xml:space="preserve"> if the Holders of Registrable Securities, together with the Holders of any other equity securities of the Company entitled to inclusion in such Registration, propose to sell the Registrable Securities and such other equity securities (if any) at any aggregate price to the public of less than $10,000,000. The Company shall maintain each Shelf in accordance with the terms hereof, and shall prepare and file with the SEC such amendments, including post-effective amendments, and supplements as may be necessary to keep such Shelf continuously effective, available for use and in compliance with the provisions of the Securities Act until such time as there are no longer any Registrable Securities included on such Shelf. In the event the Company files a Shelf on Form S-1, the Company shall use its commercially reasonable efforts to convert the Form S-1 to a Form S-3 as soon as practicable after the Company is eligible to use Form S-3.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2.3.2 If any Shelf ceases to be effective under the Securities Act for any reason at any time while Registrable Securities included thereon are still outstanding, the Company shall use its commercially reasonable efforts to as promptly as is reasonably practicable cause such Shelf to again become effective under the Securities Act (including obtaining the prompt withdrawal of any order suspending the effectiveness of such Shelf), and shall use its commercially reasonable efforts to as promptly as is reasonably practicable amend such Shelf in a manner reasonably expected to result in the withdrawal of any order suspending the effectiveness of such Shelf or file an additional registration statement (a </w:t>
      </w:r>
      <w:r>
        <w:rPr>
          <w:rFonts w:ascii="Times New Roman" w:hAnsi="Times New Roman"/>
          <w:b/>
          <w:i/>
          <w:sz w:val="20"/>
        </w:rPr>
        <w:t>Subsequent Shelf Registration</w:t>
      </w:r>
      <w:r>
        <w:rPr>
          <w:rFonts w:ascii="Times New Roman" w:hAnsi="Times New Roman"/>
          <w:sz w:val="20"/>
        </w:rPr>
        <w:t>) registering the resale of all Registrable Securities including on such Shelf, and pursuant to any method or combination of methods legally available to, and requested by, any Holder. If a Subsequent Shelf Registration is filed, the Company shall use its commercially reasonable efforts to (i) cause such Subsequent Shelf Registration to become effective under the Securities Act as promptly as is reasonably practicable after the filing thereof and (ii) keep such Subsequent Shelf Registration continuously effective, available for use and in compliance with the provisions of the Securities Act until such time as there are no longer any Registrable Securities included thereon. Any such Subsequent Shelf Registration shall be on Form S-3 to the extent that the Company is eligible to use such form. Otherwise, such Subsequent Shelf Registration shall be on another appropriate form. In the event that any Holder holds Registrable Securities that are not registered for resale on a delayed or continuous basis, the Company, upon request of a Holder shall promptly use its commercially reasonable efforts to cause the resale of such Registrable Securities to be covered by either, at the Companys option, a Shelf (including by means of a post-effective amendment) or a Subsequent Shelf Registration and cause the same to become effective as soon as practicable after such filing and such Shelf or Subsequent Shelf Registration shall be subject to the terms hereof;</w:t>
      </w:r>
      <w:r>
        <w:rPr>
          <w:rFonts w:ascii="Times New Roman" w:hAnsi="Times New Roman"/>
          <w:sz w:val="20"/>
          <w:u w:val="single"/>
        </w:rPr>
        <w:t xml:space="preserve"> 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the Company shall only be required to cause such Registrable Securities to be so covered once annually after inquiry of the Holders. </w:t>
      </w:r>
    </w:p>
    <w:p>
      <w:pPr>
        <w:pStyle w:val="TextBody"/>
        <w:spacing w:before="240" w:after="0"/>
        <w:jc w:val="left"/>
        <w:rPr>
          <w:rFonts w:ascii="Times New Roman" w:hAnsi="Times New Roman"/>
          <w:sz w:val="20"/>
        </w:rPr>
      </w:pPr>
      <w:r>
        <w:rPr>
          <w:rFonts w:ascii="Times New Roman" w:hAnsi="Times New Roman"/>
          <w:sz w:val="20"/>
        </w:rPr>
        <w:t>2.3.3 At any time and from time to time after a Shelf has been declared effective by the Commission, the Sponsor may request to sell all or any portion of its Registrable Securities in an underwritten offering that is registered pursuant to the Shelf (each, an </w:t>
      </w:r>
      <w:r>
        <w:rPr>
          <w:rFonts w:ascii="Times New Roman" w:hAnsi="Times New Roman"/>
          <w:b/>
          <w:i/>
          <w:sz w:val="20"/>
        </w:rPr>
        <w:t>Underwritten Shelf Takedown</w:t>
      </w:r>
      <w:r>
        <w:rPr>
          <w:rFonts w:ascii="Times New Roman" w:hAnsi="Times New Roman"/>
          <w:sz w:val="20"/>
        </w:rPr>
        <w:t>);</w:t>
      </w:r>
      <w:r>
        <w:rPr>
          <w:rFonts w:ascii="Times New Roman" w:hAnsi="Times New Roman"/>
          <w:sz w:val="20"/>
          <w:u w:val="single"/>
        </w:rPr>
        <w:t xml:space="preserve"> provided</w:t>
      </w:r>
      <w:r>
        <w:rPr>
          <w:rFonts w:ascii="Times New Roman" w:hAnsi="Times New Roman"/>
          <w:sz w:val="20"/>
        </w:rPr>
        <w:t xml:space="preserve"> that the Company shall only be obligated to effect an Underwritten Shelf Takedown if such offering shall include securities with a total offering price (including piggyback securities and before deduction of underwriting discounts) reasonably expected to exceed, in the aggregate, $10,000,000. All requests for Underwritten Shelf Takedowns shall be made by giving written notice to the Company at least 48 hours prior to the public announcement of such Underwritten Shelf Takedown, which shall specify the approximate number of Registrable Securities proposed to be sold in the Underwritten Shelf Takedown and the expected price range (net of underwriting discounts and commissions) of such Underwritten Shelf Takedown. The Company shall include in any Underwritten Shelf Takedown the securities requested to be included by any holder (each a </w:t>
      </w:r>
      <w:r>
        <w:rPr>
          <w:rFonts w:ascii="Times New Roman" w:hAnsi="Times New Roman"/>
          <w:b/>
          <w:i/>
          <w:sz w:val="20"/>
        </w:rPr>
        <w:t>Takedown Requesting Holder</w:t>
      </w:r>
      <w:r>
        <w:rPr>
          <w:rFonts w:ascii="Times New Roman" w:hAnsi="Times New Roman"/>
          <w:sz w:val="20"/>
        </w:rPr>
        <w:t xml:space="preserve">) at least 24 hours prior to the public announcement of such Underwritten Shelf Takedown pursuant to written contractual piggyback registration rights of such holder (including to those set forth herein). The Sponsor shall have the right to select the underwriter(s) for such offering (which shall consist of one or more reputable nationally recognized investment banks), subject to the Companys prior approval which shall not be unreasonably withheld, conditioned or delayed. For purposes of clarity, any Registration effected pursuant to this </w:t>
      </w:r>
      <w:r>
        <w:rPr>
          <w:rFonts w:ascii="Times New Roman" w:hAnsi="Times New Roman"/>
          <w:sz w:val="20"/>
          <w:u w:val="single"/>
        </w:rPr>
        <w:t>subsection 2.3.3</w:t>
      </w:r>
      <w:r>
        <w:rPr>
          <w:rFonts w:ascii="Times New Roman" w:hAnsi="Times New Roman"/>
          <w:sz w:val="20"/>
        </w:rPr>
        <w:t xml:space="preserve"> shall not be counted as a Registration pursuant to a Demand Registration effected under </w:t>
      </w:r>
      <w:r>
        <w:rPr>
          <w:rFonts w:ascii="Times New Roman" w:hAnsi="Times New Roman"/>
          <w:sz w:val="20"/>
          <w:u w:val="single"/>
        </w:rPr>
        <w:t>Section 2.1</w:t>
      </w:r>
      <w:r>
        <w:rPr>
          <w:rFonts w:ascii="Times New Roman" w:hAnsi="Times New Roman"/>
          <w:sz w:val="20"/>
        </w:rPr>
        <w:t xml:space="preserve"> hereof. </w:t>
      </w:r>
    </w:p>
    <w:p>
      <w:pPr>
        <w:pStyle w:val="TextBody"/>
        <w:spacing w:before="240" w:after="0"/>
        <w:jc w:val="left"/>
        <w:rPr>
          <w:rFonts w:ascii="Times New Roman" w:hAnsi="Times New Roman"/>
          <w:sz w:val="20"/>
        </w:rPr>
      </w:pPr>
      <w:r>
        <w:rPr>
          <w:rFonts w:ascii="Times New Roman" w:hAnsi="Times New Roman"/>
          <w:sz w:val="20"/>
        </w:rPr>
        <w:t xml:space="preserve">2.3.4 If the managing Underwriter or Underwriters in an Underwritten Shelf Takedown, in good faith, advises the Company, the Sponsor and the Takedown Requesting Holders (if any) in writing that the dollar amount or number of Registrable Securities that the Sponsor and the Takedown Requesting Holders (if any) desire to sell, taken together with all other Ordinary Shares or other equity securities that the Company desires to sell, exceeds the Maximum Number of Securities, then the Company shall include in such Underwritten Shelf Takedown, as follows: (i) first, the Registrable Securities of the Sponsor that can be sold without exceeding the Maximum Number of Securities; (ii) second, to the extent that the Maximum Number of Securities has not been reached under the foregoing clause (i), the Ordinary Shares or other equity securities that the Company desires to sell, which can be sold without exceeding the Maximum Number of Securities; and (iii) third, to the extent that the Maximum Number of Securities has not been reached under the foregoing clauses (i) and (ii), the Ordinary Shares or other equity securities of the Takedown Requesting Holders, if any, that can be sold without exceeding the Maximum Number of Securities, determined Pro Rata based on the respective number of Registrable Securities that each Takedown Requesting Holder has so requested to be included in such Underwritten Shelf Takedown. </w:t>
      </w:r>
    </w:p>
    <w:p>
      <w:pPr>
        <w:pStyle w:val="TextBody"/>
        <w:spacing w:before="240" w:after="0"/>
        <w:jc w:val="left"/>
        <w:rPr>
          <w:rFonts w:ascii="Times New Roman" w:hAnsi="Times New Roman"/>
          <w:sz w:val="20"/>
        </w:rPr>
      </w:pPr>
      <w:r>
        <w:rPr>
          <w:rFonts w:ascii="Times New Roman" w:hAnsi="Times New Roman"/>
          <w:sz w:val="20"/>
        </w:rPr>
        <w:t xml:space="preserve">2.3.5 The Sponsor shall have the right to withdraw from an Underwritten Shelf Takedown for any or no reason whatsoever upon written notification to the Company and the Underwriter or Underwriters (if any) of its intention to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withdraw from such Underwritten Shelf Takedown prior to the public announcement of such Underwritten Shelf Takedown. Notwithstanding anything to the contrary in this Agreement, the Company shall be responsible for the Registration Expenses incurred in connection with an Underwritten Shelf Takedown prior to a withdrawal under this </w:t>
      </w:r>
      <w:r>
        <w:rPr>
          <w:rFonts w:ascii="Times New Roman" w:hAnsi="Times New Roman"/>
          <w:sz w:val="20"/>
          <w:u w:val="single"/>
        </w:rPr>
        <w:t>subsection 2.3.5</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2.4 </w:t>
      </w:r>
      <w:r>
        <w:rPr>
          <w:rFonts w:ascii="Times New Roman" w:hAnsi="Times New Roman"/>
          <w:sz w:val="20"/>
          <w:u w:val="single"/>
        </w:rPr>
        <w:t>Restrictions on Registration Rights</w:t>
      </w:r>
      <w:r>
        <w:rPr>
          <w:rFonts w:ascii="Times New Roman" w:hAnsi="Times New Roman"/>
          <w:sz w:val="20"/>
        </w:rPr>
        <w:t xml:space="preserve">. If (A) during the period starting with the date sixty (60) days prior to the Companys good faith estimate of the date of the filing of, and ending on a date one hundred and twenty (120) days after the effective date of, a Company initiated Registration and provided that the Company has delivered written notice to the Holders prior to receipt of a Demand Registration pursuant to subsection 2.1.1 and it continues to actively employ, in good faith, all reasonable efforts to cause the applicable Registration Statement to become effective; (B) the Holders have requested an Underwritten Registration and the Company and the Holders are unable to obtain the commitment of underwriters to firmly underwrite the offer; or (C) in the good faith judgment of the Board such Registration would be seriously detrimental to the Company and the Board concludes as a result that it is essential to defer the filing of such Registration Statement at such time, then in each case the Company shall furnish to such Holders a certificate signed by the Chairman of the Board stating that in the good faith judgment of the Board it would be seriously detrimental to the Company for such Registration Statement to be filed in the near future and that it is therefore essential to defer the filing of such Registration Statement. In such event, the Company shall have the right to defer such filing for a period of not more than thirty (30) days; provided, however, that the Company shall not defer its obligation in this manner more than once in any 12-month period. Notwithstanding anything to the contrary contained in this Agreement, no Registration shall be effected or permitted and no Registration Statement shall become effective, with respect to any Registrable Securities held by any Holder, until after the expiration of the Founder Shares Lock-Up Period or the Private Placement Lock-Up Period, as the case may be. </w:t>
      </w:r>
    </w:p>
    <w:p>
      <w:pPr>
        <w:pStyle w:val="TextBody"/>
        <w:spacing w:before="480" w:after="0"/>
        <w:jc w:val="center"/>
        <w:rPr>
          <w:rFonts w:ascii="Times New Roman" w:hAnsi="Times New Roman"/>
          <w:b/>
          <w:sz w:val="20"/>
        </w:rPr>
      </w:pPr>
      <w:r>
        <w:rPr>
          <w:rFonts w:ascii="Times New Roman" w:hAnsi="Times New Roman"/>
          <w:b/>
          <w:sz w:val="20"/>
        </w:rPr>
        <w:t xml:space="preserve">ARTICLE 3 </w:t>
      </w:r>
    </w:p>
    <w:p>
      <w:pPr>
        <w:pStyle w:val="TextBody"/>
        <w:spacing w:before="0" w:after="0"/>
        <w:jc w:val="center"/>
        <w:rPr>
          <w:rFonts w:ascii="Times New Roman" w:hAnsi="Times New Roman"/>
          <w:b/>
          <w:sz w:val="20"/>
        </w:rPr>
      </w:pPr>
      <w:r>
        <w:rPr>
          <w:rFonts w:ascii="Times New Roman" w:hAnsi="Times New Roman"/>
          <w:b/>
          <w:sz w:val="20"/>
        </w:rPr>
        <w:t xml:space="preserve">COMPANY PROCEDURES </w:t>
      </w:r>
    </w:p>
    <w:p>
      <w:pPr>
        <w:pStyle w:val="TextBody"/>
        <w:spacing w:before="240" w:after="0"/>
        <w:jc w:val="left"/>
        <w:rPr>
          <w:rFonts w:ascii="Times New Roman" w:hAnsi="Times New Roman"/>
          <w:sz w:val="20"/>
        </w:rPr>
      </w:pPr>
      <w:r>
        <w:rPr>
          <w:rFonts w:ascii="Times New Roman" w:hAnsi="Times New Roman"/>
          <w:sz w:val="20"/>
        </w:rPr>
        <w:t xml:space="preserve">3.1 </w:t>
      </w:r>
      <w:r>
        <w:rPr>
          <w:rFonts w:ascii="Times New Roman" w:hAnsi="Times New Roman"/>
          <w:sz w:val="20"/>
          <w:u w:val="single"/>
        </w:rPr>
        <w:t>General Procedure</w:t>
      </w:r>
      <w:r>
        <w:rPr>
          <w:rFonts w:ascii="Times New Roman" w:hAnsi="Times New Roman"/>
          <w:sz w:val="20"/>
        </w:rPr>
        <w:t xml:space="preserve">s. If at any time on or after the date the Company consummates a Business Combination the Company is required to effect the Registration of Registrable Securities, the Company shall use its best efforts to effect such Registration to permit the sale of such Registrable Securities in accordance with the intended plan of distribution thereof, and pursuant thereto the Company shall, as expeditiously as possible: </w:t>
      </w:r>
    </w:p>
    <w:p>
      <w:pPr>
        <w:pStyle w:val="TextBody"/>
        <w:spacing w:before="240" w:after="0"/>
        <w:jc w:val="left"/>
        <w:rPr>
          <w:rFonts w:ascii="Times New Roman" w:hAnsi="Times New Roman"/>
          <w:sz w:val="20"/>
        </w:rPr>
      </w:pPr>
      <w:r>
        <w:rPr>
          <w:rFonts w:ascii="Times New Roman" w:hAnsi="Times New Roman"/>
          <w:sz w:val="20"/>
        </w:rPr>
        <w:t xml:space="preserve">3.1.1 prepare and file with the Commission as soon as practicable a Registration Statement with respect to such Registrable Securities and use its reasonable best efforts to cause such Registration Statement to become effective and remain effective until all Registrable Securities covered by such Registration Statement have been sold; </w:t>
      </w:r>
    </w:p>
    <w:p>
      <w:pPr>
        <w:pStyle w:val="TextBody"/>
        <w:spacing w:before="240" w:after="0"/>
        <w:jc w:val="left"/>
        <w:rPr>
          <w:rFonts w:ascii="Times New Roman" w:hAnsi="Times New Roman"/>
          <w:sz w:val="20"/>
        </w:rPr>
      </w:pPr>
      <w:r>
        <w:rPr>
          <w:rFonts w:ascii="Times New Roman" w:hAnsi="Times New Roman"/>
          <w:sz w:val="20"/>
        </w:rPr>
        <w:t xml:space="preserve">3.1.2 prepare and file with the Commission such amendments and post-effective amendments to the Registration Statement, and such supplements to the Prospectus, as may be requested by the Holders or any Underwriter of Registrable Securities or as may be required by the rules, regulations or instructions applicable to the registration form used by the Company or by the Securities Act or rules and regulations thereunder to keep the Registration Statement effective until all Registrable Securities covered by such Registration Statement are sold in accordance with the intended plan of distribution set forth in such Registration Statement or supplement to the Prospectus; </w:t>
      </w:r>
    </w:p>
    <w:p>
      <w:pPr>
        <w:pStyle w:val="TextBody"/>
        <w:spacing w:before="240" w:after="0"/>
        <w:jc w:val="left"/>
        <w:rPr>
          <w:rFonts w:ascii="Times New Roman" w:hAnsi="Times New Roman"/>
          <w:sz w:val="20"/>
        </w:rPr>
      </w:pPr>
      <w:r>
        <w:rPr>
          <w:rFonts w:ascii="Times New Roman" w:hAnsi="Times New Roman"/>
          <w:sz w:val="20"/>
        </w:rPr>
        <w:t xml:space="preserve">3.1.3 prior to filing a Registration Statement or Prospectus, or any amendment or supplement thereto, furnish without charge to the Underwriters, if any, and the Holders of Registrable Securities included in such Registration, and such Holders legal counsel, copies of such Registration Statement as proposed to be filed, each amendment and supplement to such Registration Statement (in each case including all exhibits thereto and documents incorporated by reference therein), the Prospectus included in such Registration Statement (including each preliminary Prospectus), and such other documents as the Underwriters and the Holders of Registrable Securities included in such Registration or the legal counsel for any such Holders may request in order to facilitate the disposition of the Registrable Securities owned by such Holders; </w:t>
      </w:r>
    </w:p>
    <w:p>
      <w:pPr>
        <w:pStyle w:val="TextBody"/>
        <w:spacing w:before="240" w:after="0"/>
        <w:jc w:val="left"/>
        <w:rPr>
          <w:rFonts w:ascii="Times New Roman" w:hAnsi="Times New Roman"/>
          <w:sz w:val="20"/>
        </w:rPr>
      </w:pPr>
      <w:r>
        <w:rPr>
          <w:rFonts w:ascii="Times New Roman" w:hAnsi="Times New Roman"/>
          <w:sz w:val="20"/>
        </w:rPr>
        <w:t xml:space="preserve">3.1.4 prior to any public offering of Registrable Securities, use its best efforts to (i) register or qualify the Registrable Securities covered by the Registration Statement under such securities or blue sky laws of such jurisdictions in the United States as the Holders of Registrable Securities included in such Registration Statement (in light of their intended plan of distribution) may request and (ii) take such action necessary to cause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such Registrable Securities covered by the Registration Statement to be registered with or approved by such other governmental authorities as may be necessary by virtue of the business and operations of the Company and do any and all other acts and things that may be necessary or advisable to enable the Holders of Registrable Securities included in such Registration Statement to consummate the disposition of such Registrable Securities in such jurisdictions;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Company shall not be required to qualify generally to do business in any jurisdiction where it would not otherwise be required to qualify or take any action to which it would be subject to general service of process or taxation in any such jurisdiction where it is not then otherwise so subject; </w:t>
      </w:r>
    </w:p>
    <w:p>
      <w:pPr>
        <w:pStyle w:val="TextBody"/>
        <w:spacing w:before="240" w:after="0"/>
        <w:jc w:val="left"/>
        <w:rPr>
          <w:rFonts w:ascii="Times New Roman" w:hAnsi="Times New Roman"/>
          <w:sz w:val="20"/>
        </w:rPr>
      </w:pPr>
      <w:r>
        <w:rPr>
          <w:rFonts w:ascii="Times New Roman" w:hAnsi="Times New Roman"/>
          <w:sz w:val="20"/>
        </w:rPr>
        <w:t xml:space="preserve">3.1.5 cause all such Registrable Securities to be listed on each securities exchange or automated quotation system on which similar securities issued by the Company are then listed; </w:t>
      </w:r>
    </w:p>
    <w:p>
      <w:pPr>
        <w:pStyle w:val="TextBody"/>
        <w:spacing w:before="240" w:after="0"/>
        <w:jc w:val="left"/>
        <w:rPr>
          <w:rFonts w:ascii="Times New Roman" w:hAnsi="Times New Roman"/>
          <w:sz w:val="20"/>
        </w:rPr>
      </w:pPr>
      <w:r>
        <w:rPr>
          <w:rFonts w:ascii="Times New Roman" w:hAnsi="Times New Roman"/>
          <w:sz w:val="20"/>
        </w:rPr>
        <w:t xml:space="preserve">3.1.6 provide a transfer agent or warrant agent, as applicable, and registrar for all such Registrable Securities no later than the effective date of such Registration Statement; </w:t>
      </w:r>
    </w:p>
    <w:p>
      <w:pPr>
        <w:pStyle w:val="TextBody"/>
        <w:spacing w:before="240" w:after="0"/>
        <w:jc w:val="left"/>
        <w:rPr>
          <w:rFonts w:ascii="Times New Roman" w:hAnsi="Times New Roman"/>
          <w:sz w:val="20"/>
        </w:rPr>
      </w:pPr>
      <w:r>
        <w:rPr>
          <w:rFonts w:ascii="Times New Roman" w:hAnsi="Times New Roman"/>
          <w:sz w:val="20"/>
        </w:rPr>
        <w:t xml:space="preserve">3.1.7 advise each seller of such Registrable Securities, promptly after it shall receive notice or obtain knowledge thereof, of the issuance of any stop order by the Commission suspending the effectiveness of such Registration Statement or the initiation or threatening of any proceeding for such purpose and promptly use its reasonable best efforts to prevent the issuance of any stop order or to obtain its withdrawal if such stop order should be issued; </w:t>
      </w:r>
    </w:p>
    <w:p>
      <w:pPr>
        <w:pStyle w:val="TextBody"/>
        <w:spacing w:before="240" w:after="0"/>
        <w:jc w:val="left"/>
        <w:rPr>
          <w:rFonts w:ascii="Times New Roman" w:hAnsi="Times New Roman"/>
          <w:sz w:val="20"/>
        </w:rPr>
      </w:pPr>
      <w:r>
        <w:rPr>
          <w:rFonts w:ascii="Times New Roman" w:hAnsi="Times New Roman"/>
          <w:sz w:val="20"/>
        </w:rPr>
        <w:t xml:space="preserve">3.1.8 at least five (5) days prior to the filing of any Registration Statement or Prospectus or any amendment or supplement to such Registration Statement or Prospectus (other than by way of a document incorporated by reference) furnish a copy thereof to each seller of such Registrable Securities or its counsel; </w:t>
      </w:r>
    </w:p>
    <w:p>
      <w:pPr>
        <w:pStyle w:val="TextBody"/>
        <w:spacing w:before="240" w:after="0"/>
        <w:jc w:val="left"/>
        <w:rPr>
          <w:rFonts w:ascii="Times New Roman" w:hAnsi="Times New Roman"/>
          <w:sz w:val="20"/>
        </w:rPr>
      </w:pPr>
      <w:r>
        <w:rPr>
          <w:rFonts w:ascii="Times New Roman" w:hAnsi="Times New Roman"/>
          <w:sz w:val="20"/>
        </w:rPr>
        <w:t xml:space="preserve">3.1.9 notify the Holders at any time when a Prospectus relating to such Registration Statement is required to be delivered under the Securities Act, of the happening of any event as a result of which the Prospectus included in such Registration Statement, as then in effect, includes a Misstatement, and then to correct such Misstatement as set forth in </w:t>
      </w:r>
      <w:r>
        <w:rPr>
          <w:rFonts w:ascii="Times New Roman" w:hAnsi="Times New Roman"/>
          <w:sz w:val="20"/>
          <w:u w:val="single"/>
        </w:rPr>
        <w:t>Section 3.4</w:t>
      </w:r>
      <w:r>
        <w:rPr>
          <w:rFonts w:ascii="Times New Roman" w:hAnsi="Times New Roman"/>
          <w:sz w:val="20"/>
        </w:rPr>
        <w:t xml:space="preserve"> hereof; </w:t>
      </w:r>
    </w:p>
    <w:p>
      <w:pPr>
        <w:pStyle w:val="TextBody"/>
        <w:spacing w:before="240" w:after="0"/>
        <w:jc w:val="left"/>
        <w:rPr>
          <w:rFonts w:ascii="Times New Roman" w:hAnsi="Times New Roman"/>
          <w:sz w:val="20"/>
        </w:rPr>
      </w:pPr>
      <w:r>
        <w:rPr>
          <w:rFonts w:ascii="Times New Roman" w:hAnsi="Times New Roman"/>
          <w:sz w:val="20"/>
        </w:rPr>
        <w:t xml:space="preserve">3.1.10 permit a representative of the Holders, the Underwriters, if any, and any attorney or accountant retained by such Holders or Underwriter to participate, at each such persons own expense, in the preparation of the Registration Statement, and cause the Companys officers, directors and employees to supply all information reasonably requested by any such representative, Underwriter, attorney or accountant in connection with the Registration;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such representatives or Underwriters enter into a confidentiality agreement, in form and substance reasonably satisfactory to the Company, prior to the release or disclosure of any such information; </w:t>
      </w:r>
    </w:p>
    <w:p>
      <w:pPr>
        <w:pStyle w:val="TextBody"/>
        <w:spacing w:before="240" w:after="0"/>
        <w:jc w:val="left"/>
        <w:rPr>
          <w:rFonts w:ascii="Times New Roman" w:hAnsi="Times New Roman"/>
          <w:sz w:val="20"/>
        </w:rPr>
      </w:pPr>
      <w:r>
        <w:rPr>
          <w:rFonts w:ascii="Times New Roman" w:hAnsi="Times New Roman"/>
          <w:sz w:val="20"/>
        </w:rPr>
        <w:t xml:space="preserve">3.1.11 obtain a cold comfort letter from the Companys independent registered public accountants in the event of an Underwritten Registration, in customary form and covering such matters of the type customarily covered by cold comfort letters as the managing Underwriter may reasonably request, and reasonably satisfactory to a majority-in-interest of the participating Holders; </w:t>
      </w:r>
    </w:p>
    <w:p>
      <w:pPr>
        <w:pStyle w:val="TextBody"/>
        <w:spacing w:before="240" w:after="0"/>
        <w:jc w:val="left"/>
        <w:rPr>
          <w:rFonts w:ascii="Times New Roman" w:hAnsi="Times New Roman"/>
          <w:sz w:val="20"/>
        </w:rPr>
      </w:pPr>
      <w:r>
        <w:rPr>
          <w:rFonts w:ascii="Times New Roman" w:hAnsi="Times New Roman"/>
          <w:sz w:val="20"/>
        </w:rPr>
        <w:t xml:space="preserve">3.1.12 on the date the Registrable Securities are delivered for sale pursuant to such Registration, obtain an opinion, dated such date, of counsel representing the Company for the purposes of such Registration, addressed to the Holders, the placement agent or sales agent, if any, and the Underwriters, if any, covering such legal matters with respect to the Registration in respect of which such opinion is being given as the Holders, placement agent, sales agent, or Underwriter may reasonably request and as are customarily included in such opinions and negative assurance letters, and reasonably satisfactory to a majority in interest of the participating Holders; </w:t>
      </w:r>
    </w:p>
    <w:p>
      <w:pPr>
        <w:pStyle w:val="TextBody"/>
        <w:spacing w:before="240" w:after="0"/>
        <w:jc w:val="left"/>
        <w:rPr>
          <w:rFonts w:ascii="Times New Roman" w:hAnsi="Times New Roman"/>
          <w:sz w:val="20"/>
        </w:rPr>
      </w:pPr>
      <w:r>
        <w:rPr>
          <w:rFonts w:ascii="Times New Roman" w:hAnsi="Times New Roman"/>
          <w:sz w:val="20"/>
        </w:rPr>
        <w:t xml:space="preserve">3.1.13 in the event of any Underwritten Offering, enter into and perform its obligations under an underwriting agreement, in usual and customary form, with the managing Underwriter of such offering; </w:t>
      </w:r>
    </w:p>
    <w:p>
      <w:pPr>
        <w:pStyle w:val="TextBody"/>
        <w:spacing w:before="240" w:after="0"/>
        <w:jc w:val="left"/>
        <w:rPr>
          <w:rFonts w:ascii="Times New Roman" w:hAnsi="Times New Roman"/>
          <w:sz w:val="20"/>
        </w:rPr>
      </w:pPr>
      <w:r>
        <w:rPr>
          <w:rFonts w:ascii="Times New Roman" w:hAnsi="Times New Roman"/>
          <w:sz w:val="20"/>
        </w:rPr>
        <w:t xml:space="preserve">3.1.14 make available to its security holders, as soon as reasonably practicable, an earnings statement covering the period of at least twelve (12) months beginning with the first day of the Companys first full calendar quarter after the effective date of the Registration Statement which satisfies the provisions of Section 11(a) of the Securities Act and Rule 158 thereunder (or any successor rule promulgated thereafter by the Commission); </w:t>
      </w:r>
    </w:p>
    <w:p>
      <w:pPr>
        <w:pStyle w:val="TextBody"/>
        <w:spacing w:before="240" w:after="0"/>
        <w:jc w:val="left"/>
        <w:rPr>
          <w:rFonts w:ascii="Times New Roman" w:hAnsi="Times New Roman"/>
          <w:sz w:val="20"/>
        </w:rPr>
      </w:pPr>
      <w:r>
        <w:rPr>
          <w:rFonts w:ascii="Times New Roman" w:hAnsi="Times New Roman"/>
          <w:sz w:val="20"/>
        </w:rPr>
        <w:t xml:space="preserve">3.1.15 if the Registration involves the Registration of Registrable Securities involving gross proceeds in excess of $50,000,000, use its reasonable efforts to make available senior executives of the Company to participate in customary road show presentations that may be reasonably requested by the Underwriter in any Underwritten Offering; and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3.1.16 otherwise, in good faith, cooperate reasonably with, and take such customary actions as may reasonably be requested by the Holders, in connection with such Registration. </w:t>
      </w:r>
    </w:p>
    <w:p>
      <w:pPr>
        <w:pStyle w:val="TextBody"/>
        <w:spacing w:before="240" w:after="0"/>
        <w:jc w:val="left"/>
        <w:rPr>
          <w:rFonts w:ascii="Times New Roman" w:hAnsi="Times New Roman"/>
          <w:sz w:val="20"/>
        </w:rPr>
      </w:pPr>
      <w:r>
        <w:rPr>
          <w:rFonts w:ascii="Times New Roman" w:hAnsi="Times New Roman"/>
          <w:sz w:val="20"/>
        </w:rPr>
        <w:t xml:space="preserve">3.2 </w:t>
      </w:r>
      <w:r>
        <w:rPr>
          <w:rFonts w:ascii="Times New Roman" w:hAnsi="Times New Roman"/>
          <w:sz w:val="20"/>
          <w:u w:val="single"/>
        </w:rPr>
        <w:t>Registration Expenses</w:t>
      </w:r>
      <w:r>
        <w:rPr>
          <w:rFonts w:ascii="Times New Roman" w:hAnsi="Times New Roman"/>
          <w:sz w:val="20"/>
        </w:rPr>
        <w:t xml:space="preserve">. The Registration Expenses of all Registrations shall be borne by the Company. It is acknowledged by the Holders that the Holders shall bear all incremental selling expenses relating to the sale of Registrable Securities, such as Underwriters commissions and discounts, brokerage fees, Underwriter marketing costs and, other than as set forth in the definition of Registration Expenses, all reasonable fees and expenses of any legal counsel representing the Holders. </w:t>
      </w:r>
    </w:p>
    <w:p>
      <w:pPr>
        <w:pStyle w:val="TextBody"/>
        <w:spacing w:before="240" w:after="0"/>
        <w:jc w:val="left"/>
        <w:rPr>
          <w:rFonts w:ascii="Times New Roman" w:hAnsi="Times New Roman"/>
          <w:sz w:val="20"/>
        </w:rPr>
      </w:pPr>
      <w:r>
        <w:rPr>
          <w:rFonts w:ascii="Times New Roman" w:hAnsi="Times New Roman"/>
          <w:sz w:val="20"/>
        </w:rPr>
        <w:t xml:space="preserve">3.3 </w:t>
      </w:r>
      <w:r>
        <w:rPr>
          <w:rFonts w:ascii="Times New Roman" w:hAnsi="Times New Roman"/>
          <w:sz w:val="20"/>
          <w:u w:val="single"/>
        </w:rPr>
        <w:t>Requirements for Participation in Underwritten Offerings</w:t>
      </w:r>
      <w:r>
        <w:rPr>
          <w:rFonts w:ascii="Times New Roman" w:hAnsi="Times New Roman"/>
          <w:sz w:val="20"/>
        </w:rPr>
        <w:t xml:space="preserve">. No person may participate in any Underwritten Offering for equity securities of the Company pursuant to a Registration initiated by the Company hereunder unless such person (i) agrees to sell such persons securities on the basis provided in any underwriting arrangements approved by the Company and (ii) completes and executes all customary questionnaires, powers of attorney, indemnities, lock-up agreements, underwriting agreements and other customary documents as may be reasonably required under the terms of such underwriting arrangements. </w:t>
      </w:r>
    </w:p>
    <w:p>
      <w:pPr>
        <w:pStyle w:val="TextBody"/>
        <w:spacing w:before="240" w:after="0"/>
        <w:jc w:val="left"/>
        <w:rPr>
          <w:rFonts w:ascii="Times New Roman" w:hAnsi="Times New Roman"/>
          <w:sz w:val="20"/>
        </w:rPr>
      </w:pPr>
      <w:r>
        <w:rPr>
          <w:rFonts w:ascii="Times New Roman" w:hAnsi="Times New Roman"/>
          <w:sz w:val="20"/>
        </w:rPr>
        <w:t xml:space="preserve">3.4 </w:t>
      </w:r>
      <w:r>
        <w:rPr>
          <w:rFonts w:ascii="Times New Roman" w:hAnsi="Times New Roman"/>
          <w:sz w:val="20"/>
          <w:u w:val="single"/>
        </w:rPr>
        <w:t>Suspension of Sales; Adverse Disclosure</w:t>
      </w:r>
      <w:r>
        <w:rPr>
          <w:rFonts w:ascii="Times New Roman" w:hAnsi="Times New Roman"/>
          <w:sz w:val="20"/>
        </w:rPr>
        <w:t xml:space="preserve">. Upon receipt of written notice from the Company that a Registration Statement or Prospectus contains a Misstatement, each of the Holders shall forthwith discontinue disposition of Registrable Securities until it has received copies of a supplemented or amended Prospectus correcting the Misstatement (it being understood that the Company hereby covenants to prepare and file such supplement or amendment as soon as practicable after the time of such notice), or until it is advised in writing by the Company that the use of the Prospectus may be resumed. If the filing, initial effectiveness or continued use of a Registration Statement in respect of any Registration at any time would require the Company to make an Adverse Disclosure or would require the inclusion in such Registration Statement of financial statements that are unavailable to the Company for reasons beyond the Companys control, the Company may, upon giving prompt written notice of such action to the Holders, delay the filing or initial effectiveness of, or suspend use of, such Registration Statement for the shortest period of time, but in no event more than thirty (30) days, determined in good faith by the Company to be necessary for such purpose. In the event the Company exercises its rights under the preceding sentence, the Holders agree to suspend, immediately upon their receipt of the notice referred to above, their use of the Prospectus relating to any Registration in connection with any sale or offer to sell Registrable Securities. The Company shall immediately notify the Holders of the expiration of any period during which it exercised its rights under this Section 3.4. </w:t>
      </w:r>
    </w:p>
    <w:p>
      <w:pPr>
        <w:pStyle w:val="TextBody"/>
        <w:spacing w:before="240" w:after="0"/>
        <w:jc w:val="left"/>
        <w:rPr>
          <w:rFonts w:ascii="Times New Roman" w:hAnsi="Times New Roman"/>
          <w:sz w:val="20"/>
        </w:rPr>
      </w:pPr>
      <w:r>
        <w:rPr>
          <w:rFonts w:ascii="Times New Roman" w:hAnsi="Times New Roman"/>
          <w:sz w:val="20"/>
        </w:rPr>
        <w:t xml:space="preserve">3.5 </w:t>
      </w:r>
      <w:r>
        <w:rPr>
          <w:rFonts w:ascii="Times New Roman" w:hAnsi="Times New Roman"/>
          <w:sz w:val="20"/>
          <w:u w:val="single"/>
        </w:rPr>
        <w:t>Reporting Obligations</w:t>
      </w:r>
      <w:r>
        <w:rPr>
          <w:rFonts w:ascii="Times New Roman" w:hAnsi="Times New Roman"/>
          <w:sz w:val="20"/>
        </w:rPr>
        <w:t xml:space="preserve">. As long as any Holder shall own Registrable Securities, the Company, at all times while it shall be a reporting company under the Exchange Act, covenants to file timely (or obtain extensions in respect thereof and file within the applicable grace period) all reports required to be filed by the Company after the date hereof pursuant to Sections 13(a) or 15(d) of the Exchange Act and to promptly furnish the Holders with true and complete copies of all such filings. The Company further covenants that it shall take such further action as any Holder may reasonably request, all to the extent required from time to time to enable such Holder to sell Ordinary Shares held by such Holder without registration under the Securities Act within the limitation of the exemptions provided by Rule 144 promulgated under the Securities Act (or any successor rule promulgated thereafter by the Commission, to the extent that such rule or such successor rule is available to the Company), including providing any legal opinions. Upon the request of any Holder, the Company shall deliver to such Holder a written certification of a duly authorized officer as to whether it has complied with such requirements. </w:t>
      </w:r>
    </w:p>
    <w:p>
      <w:pPr>
        <w:pStyle w:val="TextBody"/>
        <w:spacing w:before="480" w:after="0"/>
        <w:jc w:val="center"/>
        <w:rPr>
          <w:rFonts w:ascii="Times New Roman" w:hAnsi="Times New Roman"/>
          <w:b/>
          <w:sz w:val="20"/>
        </w:rPr>
      </w:pPr>
      <w:r>
        <w:rPr>
          <w:rFonts w:ascii="Times New Roman" w:hAnsi="Times New Roman"/>
          <w:b/>
          <w:sz w:val="20"/>
        </w:rPr>
        <w:t xml:space="preserve">ARTICLE 4 </w:t>
      </w:r>
    </w:p>
    <w:p>
      <w:pPr>
        <w:pStyle w:val="TextBody"/>
        <w:spacing w:before="0" w:after="0"/>
        <w:jc w:val="center"/>
        <w:rPr>
          <w:rFonts w:ascii="Times New Roman" w:hAnsi="Times New Roman"/>
          <w:sz w:val="20"/>
        </w:rPr>
      </w:pPr>
      <w:r>
        <w:rPr>
          <w:rFonts w:ascii="Times New Roman" w:hAnsi="Times New Roman"/>
          <w:sz w:val="20"/>
        </w:rPr>
        <w:t xml:space="preserve">INDEMNIFICATION AND CONTRIBUTION </w:t>
      </w:r>
    </w:p>
    <w:p>
      <w:pPr>
        <w:pStyle w:val="TextBody"/>
        <w:spacing w:before="240" w:after="0"/>
        <w:jc w:val="left"/>
        <w:rPr>
          <w:rFonts w:ascii="Times New Roman" w:hAnsi="Times New Roman"/>
          <w:sz w:val="20"/>
        </w:rPr>
      </w:pPr>
      <w:r>
        <w:rPr>
          <w:rFonts w:ascii="Times New Roman" w:hAnsi="Times New Roman"/>
          <w:sz w:val="20"/>
        </w:rPr>
        <w:t xml:space="preserve">4.1 </w:t>
      </w:r>
      <w:r>
        <w:rPr>
          <w:rFonts w:ascii="Times New Roman" w:hAnsi="Times New Roman"/>
          <w:sz w:val="20"/>
          <w:u w:val="single"/>
        </w:rPr>
        <w:t>Indemnification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4.1.1 The Company agrees to indemnify, to the extent permitted by law, each Holder of Registrable Securities, its officers and directors and each person who controls such Holder (within the meaning of the Securities Act) against all losses, claims, damages, liabilities and expenses (including attorneys fees) caused by any untrue or alleged untrue statement of material fact contained in any Registration Statement, Prospectus or preliminary Prospectus or any amendment thereof or supplement thereto or any omission or alleged omission of a material fact required to be stated therein or necessary to make the statements therein not misleading, except insofar as the same are caused by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or contained in any information furnished in writing to the Company by such Holder expressly for use therein. The Company shall indemnify the Underwriters, their officers and directors and each person who controls such Underwriters (within the meaning of the Securities Act) to the same extent as provided in the foregoing with respect to the indemnification of the Holder. </w:t>
      </w:r>
    </w:p>
    <w:p>
      <w:pPr>
        <w:pStyle w:val="TextBody"/>
        <w:spacing w:before="240" w:after="0"/>
        <w:jc w:val="left"/>
        <w:rPr>
          <w:rFonts w:ascii="Times New Roman" w:hAnsi="Times New Roman"/>
          <w:sz w:val="20"/>
        </w:rPr>
      </w:pPr>
      <w:r>
        <w:rPr>
          <w:rFonts w:ascii="Times New Roman" w:hAnsi="Times New Roman"/>
          <w:sz w:val="20"/>
        </w:rPr>
        <w:t xml:space="preserve">4.1.2 In connection with any Registration Statement in which a Holder of Registrable Securities is participating, such Holder shall furnish to the Company in writing such information and affidavits as the Company reasonably requests for use in connection with any such Registration Statement or Prospectus and, to the extent permitted by law, shall indemnify the Company, its directors and officers and agents and each person who controls the Company (within the meaning of the Securities Act) against any losses, claims, damages, liabilities and expenses (including without limitation reasonable attorneys fees) resulting from any untrue statement of material fact contained in the Registration Statement, Prospectus or preliminary Prospectus or any amendment thereof or supplement thereto or any omission of a material fact required to be stated therein or necessary to make the statements therein not misleading, but only to the extent that such untrue statement or omission is contained in any information or affidavit so furnished in writing by such Holder expressly for use therein;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obligation to indemnify shall be several, not joint and several, among such Holders of Registrable Securities, and the liability of each such Holder of Registrable Securities shall be in proportion to and limited to the net proceeds received by such Holder from the sale of Registrable Securities pursuant to such Registration Statement. The Holders of Registrable Securities shall indemnify the Underwriters, their officers, directors and each person who controls such Underwriters (within the meaning of the Securities Act) to the same extent as provided in the foregoing with respect to indemnification of the Company. </w:t>
      </w:r>
    </w:p>
    <w:p>
      <w:pPr>
        <w:pStyle w:val="TextBody"/>
        <w:spacing w:before="240" w:after="0"/>
        <w:jc w:val="left"/>
        <w:rPr>
          <w:rFonts w:ascii="Times New Roman" w:hAnsi="Times New Roman"/>
          <w:sz w:val="20"/>
        </w:rPr>
      </w:pPr>
      <w:r>
        <w:rPr>
          <w:rFonts w:ascii="Times New Roman" w:hAnsi="Times New Roman"/>
          <w:sz w:val="20"/>
        </w:rPr>
        <w:t xml:space="preserve">4.1.3 Any person entitled to indemnification herein shall (i) give prompt written notice to the indemnifying party of any claim with respect to which it seeks indemnification (provided that the failure to give prompt notice shall not impair any persons right to indemnification hereunder to the extent such failure has not materially prejudiced the indemnifying party) and (ii) 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(but such consent shall not be unreasonably withheld). An indemnifying party who is not entitled to, or elects not to, assume the defense of a claim shall not be obligated to pay the fees and expenses of more than one counsel for all parties indemnified by such indemnifying party with respect to such claim, unless in the reasonable judgment of any indemnified party a conflict of interest may exist between such indemnified party and any other of such indemnified parties with respect to such claim. No indemnifying party shall, without the consent of the indemnified party, consent to the entry of any judgment or enter into any settlement which cannot be settled in all respects by the payment of money (and such money is so paid by the indemnifying party pursuant to the terms of such settlement) or which settlement does not include as an unconditional term thereof the giving by the claimant or plaintiff to such indemnified party of a release from all liability in respect to such claim or litigation. </w:t>
      </w:r>
    </w:p>
    <w:p>
      <w:pPr>
        <w:pStyle w:val="TextBody"/>
        <w:spacing w:before="240" w:after="0"/>
        <w:jc w:val="left"/>
        <w:rPr>
          <w:rFonts w:ascii="Times New Roman" w:hAnsi="Times New Roman"/>
          <w:sz w:val="20"/>
        </w:rPr>
      </w:pPr>
      <w:r>
        <w:rPr>
          <w:rFonts w:ascii="Times New Roman" w:hAnsi="Times New Roman"/>
          <w:sz w:val="20"/>
        </w:rPr>
        <w:t xml:space="preserve">4.1.4 The indemnification provided for under this Agreement shall remain in full force and effect regardless of any investigation made by or on behalf of the indemnified party or any officer, director or controlling person of such indemnified party and shall survive the transfer of securities. The Company and each Holder of Registrable Securities participating in an offering also agrees to make such provisions as are reasonably requested by any indemnified party for contribution to such party in the event the Companys or such Holders indemnification is unavailable for any reason. </w:t>
      </w:r>
    </w:p>
    <w:p>
      <w:pPr>
        <w:pStyle w:val="TextBody"/>
        <w:spacing w:before="240" w:after="0"/>
        <w:jc w:val="left"/>
        <w:rPr>
          <w:rFonts w:ascii="Times New Roman" w:hAnsi="Times New Roman"/>
          <w:sz w:val="20"/>
        </w:rPr>
      </w:pPr>
      <w:r>
        <w:rPr>
          <w:rFonts w:ascii="Times New Roman" w:hAnsi="Times New Roman"/>
          <w:sz w:val="20"/>
        </w:rPr>
        <w:t xml:space="preserve">4.1.5 If the indemnification provided under </w:t>
      </w:r>
      <w:r>
        <w:rPr>
          <w:rFonts w:ascii="Times New Roman" w:hAnsi="Times New Roman"/>
          <w:sz w:val="20"/>
          <w:u w:val="single"/>
        </w:rPr>
        <w:t>Section 4.1</w:t>
      </w:r>
      <w:r>
        <w:rPr>
          <w:rFonts w:ascii="Times New Roman" w:hAnsi="Times New Roman"/>
          <w:sz w:val="20"/>
        </w:rPr>
        <w:t xml:space="preserve"> hereof from the indemnifying party is unavailable or insufficient to hold harmless an indemnified party in respect of any losses, claims, damages, liabilities and expenses referred to herein, then the indemnifying party, in lieu of indemnifying the indemnified party, shall contribute to the amount paid or payable by the indemnified party as a result of such losses, claims, damages, liabilities and expenses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relates to information supplied by, such indemnifying party or indemnified party, and the indemnifying partys and indemnified partys relative intent, knowledge, access to information and opportunity to correct or prevent such action;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liability of any Holder under this </w:t>
      </w:r>
      <w:r>
        <w:rPr>
          <w:rFonts w:ascii="Times New Roman" w:hAnsi="Times New Roman"/>
          <w:sz w:val="20"/>
          <w:u w:val="single"/>
        </w:rPr>
        <w:t>subsection 4.1.5</w:t>
      </w:r>
      <w:r>
        <w:rPr>
          <w:rFonts w:ascii="Times New Roman" w:hAnsi="Times New Roman"/>
          <w:sz w:val="20"/>
        </w:rPr>
        <w:t xml:space="preserve"> shall be limited to the amount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of the net proceeds received by such Holder in such offering giving rise to such liability. The amount paid or payable by a party as a result of the losses or other liabilities referred to above shall be deemed to include, subject to the limitations set forth in </w:t>
      </w:r>
      <w:r>
        <w:rPr>
          <w:rFonts w:ascii="Times New Roman" w:hAnsi="Times New Roman"/>
          <w:sz w:val="20"/>
          <w:u w:val="single"/>
        </w:rPr>
        <w:t>subsections 4.1.1</w:t>
      </w:r>
      <w:r>
        <w:rPr>
          <w:rFonts w:ascii="Times New Roman" w:hAnsi="Times New Roman"/>
          <w:sz w:val="20"/>
        </w:rPr>
        <w:t xml:space="preserve">, </w:t>
      </w:r>
      <w:r>
        <w:rPr>
          <w:rFonts w:ascii="Times New Roman" w:hAnsi="Times New Roman"/>
          <w:sz w:val="20"/>
          <w:u w:val="single"/>
        </w:rPr>
        <w:t>4.1.2</w:t>
      </w:r>
      <w:r>
        <w:rPr>
          <w:rFonts w:ascii="Times New Roman" w:hAnsi="Times New Roman"/>
          <w:sz w:val="20"/>
        </w:rPr>
        <w:t xml:space="preserve"> and </w:t>
      </w:r>
      <w:r>
        <w:rPr>
          <w:rFonts w:ascii="Times New Roman" w:hAnsi="Times New Roman"/>
          <w:sz w:val="20"/>
          <w:u w:val="single"/>
        </w:rPr>
        <w:t>4.1.3</w:t>
      </w:r>
      <w:r>
        <w:rPr>
          <w:rFonts w:ascii="Times New Roman" w:hAnsi="Times New Roman"/>
          <w:sz w:val="20"/>
        </w:rPr>
        <w:t xml:space="preserve"> above, any legal or other fees, charges or expenses reasonably incurred by such party in connection with any investigation or proceeding. The parties hereto agree that it would not be just and equitable if contribution pursuant to this </w:t>
      </w:r>
      <w:r>
        <w:rPr>
          <w:rFonts w:ascii="Times New Roman" w:hAnsi="Times New Roman"/>
          <w:sz w:val="20"/>
          <w:u w:val="single"/>
        </w:rPr>
        <w:t>subsection 4.1.5</w:t>
      </w:r>
      <w:r>
        <w:rPr>
          <w:rFonts w:ascii="Times New Roman" w:hAnsi="Times New Roman"/>
          <w:sz w:val="20"/>
        </w:rPr>
        <w:t xml:space="preserve"> were determined by pro rata allocation or by any other method of allocation, which does not take account of the equitable considerations referred to in this </w:t>
      </w:r>
      <w:r>
        <w:rPr>
          <w:rFonts w:ascii="Times New Roman" w:hAnsi="Times New Roman"/>
          <w:sz w:val="20"/>
          <w:u w:val="single"/>
        </w:rPr>
        <w:t>subsection 4.1.5</w:t>
      </w:r>
      <w:r>
        <w:rPr>
          <w:rFonts w:ascii="Times New Roman" w:hAnsi="Times New Roman"/>
          <w:sz w:val="20"/>
        </w:rPr>
        <w:t xml:space="preserve">. No person guilty of fraudulent misrepresentation (within the meaning of Section 11(f) of the Securities Act) shall be entitled to contribution pursuant to this </w:t>
      </w:r>
      <w:r>
        <w:rPr>
          <w:rFonts w:ascii="Times New Roman" w:hAnsi="Times New Roman"/>
          <w:sz w:val="20"/>
          <w:u w:val="single"/>
        </w:rPr>
        <w:t>subsection 4.1.5</w:t>
      </w:r>
      <w:r>
        <w:rPr>
          <w:rFonts w:ascii="Times New Roman" w:hAnsi="Times New Roman"/>
          <w:sz w:val="20"/>
        </w:rPr>
        <w:t xml:space="preserve"> from any person who was not guilty of such fraudulent misrepresentation. </w:t>
      </w:r>
    </w:p>
    <w:p>
      <w:pPr>
        <w:pStyle w:val="TextBody"/>
        <w:spacing w:before="480" w:after="0"/>
        <w:jc w:val="center"/>
        <w:rPr>
          <w:rFonts w:ascii="Times New Roman" w:hAnsi="Times New Roman"/>
          <w:b/>
          <w:sz w:val="20"/>
        </w:rPr>
      </w:pPr>
      <w:r>
        <w:rPr>
          <w:rFonts w:ascii="Times New Roman" w:hAnsi="Times New Roman"/>
          <w:b/>
          <w:sz w:val="20"/>
        </w:rPr>
        <w:t xml:space="preserve">ARTICLE 5 </w:t>
      </w:r>
    </w:p>
    <w:p>
      <w:pPr>
        <w:pStyle w:val="TextBody"/>
        <w:spacing w:before="0" w:after="0"/>
        <w:jc w:val="center"/>
        <w:rPr>
          <w:rFonts w:ascii="Times New Roman" w:hAnsi="Times New Roman"/>
          <w:sz w:val="20"/>
        </w:rPr>
      </w:pPr>
      <w:r>
        <w:rPr>
          <w:rFonts w:ascii="Times New Roman" w:hAnsi="Times New Roman"/>
          <w:sz w:val="20"/>
        </w:rPr>
        <w:t xml:space="preserve">SHAREHOLDER RIGHTS </w:t>
      </w:r>
    </w:p>
    <w:p>
      <w:pPr>
        <w:pStyle w:val="TextBody"/>
        <w:spacing w:before="240" w:after="0"/>
        <w:jc w:val="left"/>
        <w:rPr>
          <w:rFonts w:ascii="Times New Roman" w:hAnsi="Times New Roman"/>
          <w:sz w:val="20"/>
        </w:rPr>
      </w:pPr>
      <w:r>
        <w:rPr>
          <w:rFonts w:ascii="Times New Roman" w:hAnsi="Times New Roman"/>
          <w:sz w:val="20"/>
        </w:rPr>
        <w:t xml:space="preserve">5.1 Subject to the terms and conditions of this Agreement, at any time and from time to time on or after the date that the Company consummates a Business Combination and for so long as the Sponsor holds any Registrable Securities: </w:t>
      </w:r>
    </w:p>
    <w:p>
      <w:pPr>
        <w:pStyle w:val="TextBody"/>
        <w:spacing w:before="240" w:after="0"/>
        <w:jc w:val="left"/>
        <w:rPr>
          <w:rFonts w:ascii="Times New Roman" w:hAnsi="Times New Roman"/>
          <w:sz w:val="20"/>
        </w:rPr>
      </w:pPr>
      <w:r>
        <w:rPr>
          <w:rFonts w:ascii="Times New Roman" w:hAnsi="Times New Roman"/>
          <w:sz w:val="20"/>
        </w:rPr>
        <w:t>5.1.1 The Sponsor shall have the right, but not the obligation, to designate three individuals to be appointed or nominated, as the case may be, for election to the Board (including any successor, each, a </w:t>
      </w:r>
      <w:r>
        <w:rPr>
          <w:rFonts w:ascii="Times New Roman" w:hAnsi="Times New Roman"/>
          <w:b/>
          <w:i/>
          <w:sz w:val="20"/>
        </w:rPr>
        <w:t>Nominee</w:t>
      </w:r>
      <w:r>
        <w:rPr>
          <w:rFonts w:ascii="Times New Roman" w:hAnsi="Times New Roman"/>
          <w:sz w:val="20"/>
        </w:rPr>
        <w:t xml:space="preserve">) by giving written notice to the Company on or before the time such information is reasonably requested by the Board or the Nominating Committee of the Board, as applicable, for inclusion in a proxy statement for a meeting of shareholders provided to the Sponsor. </w:t>
      </w:r>
    </w:p>
    <w:p>
      <w:pPr>
        <w:pStyle w:val="TextBody"/>
        <w:spacing w:before="240" w:after="0"/>
        <w:jc w:val="left"/>
        <w:rPr>
          <w:rFonts w:ascii="Times New Roman" w:hAnsi="Times New Roman"/>
          <w:sz w:val="20"/>
        </w:rPr>
      </w:pPr>
      <w:r>
        <w:rPr>
          <w:rFonts w:ascii="Times New Roman" w:hAnsi="Times New Roman"/>
          <w:sz w:val="20"/>
        </w:rPr>
        <w:t xml:space="preserve">5.1.2 The Company will, as promptly as practicable, use its best efforts to take all necessary and desirable actions (including, without limitation, calling special meetings of the Board and the shareholders and recommending, supporting and soliciting proxies) so that there are three Sponsor Directors serving on the Board at all times. </w:t>
      </w:r>
    </w:p>
    <w:p>
      <w:pPr>
        <w:pStyle w:val="TextBody"/>
        <w:spacing w:before="240" w:after="0"/>
        <w:jc w:val="left"/>
        <w:rPr>
          <w:rFonts w:ascii="Times New Roman" w:hAnsi="Times New Roman"/>
          <w:sz w:val="20"/>
        </w:rPr>
      </w:pPr>
      <w:r>
        <w:rPr>
          <w:rFonts w:ascii="Times New Roman" w:hAnsi="Times New Roman"/>
          <w:sz w:val="20"/>
        </w:rPr>
        <w:t xml:space="preserve">5.1.3 The Company shall, to the fullest extent permitted by applicable law, use its best efforts to take all actions necessary to ensure that: (i) each Nominee is included in the Boards slate of nominees to the shareholders of the Company for each election of Directors; and (ii) each Nominee is included in the proxy statement prepared by management of the Company in connection with soliciting proxies for every meeting of the shareholders of the Company called with respect to the election of members of the Board, and at every adjournment or postponement thereof, and on every action or approval by written consent of the shareholders of the Company or the Board with respect to the election of members of the Board. </w:t>
      </w:r>
    </w:p>
    <w:p>
      <w:pPr>
        <w:pStyle w:val="TextBody"/>
        <w:spacing w:before="240" w:after="0"/>
        <w:jc w:val="left"/>
        <w:rPr>
          <w:rFonts w:ascii="Times New Roman" w:hAnsi="Times New Roman"/>
          <w:sz w:val="20"/>
        </w:rPr>
      </w:pPr>
      <w:r>
        <w:rPr>
          <w:rFonts w:ascii="Times New Roman" w:hAnsi="Times New Roman"/>
          <w:sz w:val="20"/>
        </w:rPr>
        <w:t xml:space="preserve">5.1.4 If a vacancy occurs because of the death, disability, disqualification, resignation, or removal of a Sponsor Director or for any other reason, the Sponsor shall be entitled to designate such persons successor, and the Company will, as promptly as practicable following such designation, use its best efforts to take all necessary and desirable actions, to the fullest extent permitted by law, within its control such that such vacancy shall be filled with such successor Nominee. </w:t>
      </w:r>
    </w:p>
    <w:p>
      <w:pPr>
        <w:pStyle w:val="TextBody"/>
        <w:spacing w:before="240" w:after="0"/>
        <w:jc w:val="left"/>
        <w:rPr>
          <w:rFonts w:ascii="Times New Roman" w:hAnsi="Times New Roman"/>
          <w:sz w:val="20"/>
        </w:rPr>
      </w:pPr>
      <w:r>
        <w:rPr>
          <w:rFonts w:ascii="Times New Roman" w:hAnsi="Times New Roman"/>
          <w:sz w:val="20"/>
        </w:rPr>
        <w:t xml:space="preserve">5.1.5 If a Nominee is not elected because of such Nominees death, disability, disqualification, withdrawal as a nominee or for any other reason, the Sponsor shall be entitled to designate promptly another Nominee and the Company will take all necessary and desirable actions within its control such that the director position for which such Nominee was nominated shall not be filled pending such designation or the size of the Board shall be increased by one and such vacancy shall be filled with such successor Nominee as promptly as practicable following such designation. </w:t>
      </w:r>
    </w:p>
    <w:p>
      <w:pPr>
        <w:pStyle w:val="TextBody"/>
        <w:spacing w:before="240" w:after="0"/>
        <w:jc w:val="left"/>
        <w:rPr>
          <w:rFonts w:ascii="Times New Roman" w:hAnsi="Times New Roman"/>
          <w:sz w:val="20"/>
        </w:rPr>
      </w:pPr>
      <w:r>
        <w:rPr>
          <w:rFonts w:ascii="Times New Roman" w:hAnsi="Times New Roman"/>
          <w:sz w:val="20"/>
        </w:rPr>
        <w:t xml:space="preserve">5.1.6 As promptly as reasonably practicable following the request of any Sponsor Director, the Company shall enter into an indemnification agreement with such Sponsor Director, in the form entered into with the other members of the Board. The Company shall pay the reasonable, documented out-of-pocket expenses incurred by the Sponsor Director in connection with his or her services provided to or on behalf of the Company, including attending meetings or events attended explicitly on behalf of the Company at the Companys request. </w:t>
      </w:r>
    </w:p>
    <w:p>
      <w:pPr>
        <w:pStyle w:val="TextBody"/>
        <w:spacing w:before="240" w:after="0"/>
        <w:jc w:val="left"/>
        <w:rPr>
          <w:rFonts w:ascii="Times New Roman" w:hAnsi="Times New Roman"/>
          <w:sz w:val="20"/>
        </w:rPr>
      </w:pPr>
      <w:r>
        <w:rPr>
          <w:rFonts w:ascii="Times New Roman" w:hAnsi="Times New Roman"/>
          <w:sz w:val="20"/>
        </w:rPr>
        <w:t xml:space="preserve">5.1.7 The Company shall (i) purchase directors and officers liability insurance in an amount determined by the Board to be reasonable and customary and (ii) for so long as a Sponsor Director serves as a Director of the Company, maintain such coverage with respect to such Sponsor Director; </w:t>
      </w:r>
      <w:r>
        <w:rPr>
          <w:rFonts w:ascii="Times New Roman" w:hAnsi="Times New Roman"/>
          <w:i/>
          <w:sz w:val="20"/>
        </w:rPr>
        <w:t>provided that</w:t>
      </w:r>
      <w:r>
        <w:rPr>
          <w:rFonts w:ascii="Times New Roman" w:hAnsi="Times New Roman"/>
          <w:sz w:val="20"/>
        </w:rPr>
        <w:t xml:space="preserve"> upon removal or resignation of such Sponsor Director for any reason, the Company shall take all actions reasonably necessary to extend such directors and officers liability insurance coverage for a period of not less than six years from any such event in respect of any act or omission occurring at or prior to such event.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5.1.8 For so long as a Sponsor Director serves as a Director of the Company, the Company shall not amend, alter or repeal any right to indemnification or exculpation covering or benefiting any Director nominated pursuant to this Agreement as and to the extent consistent with applicable law, whether such right is contained in the Companys amended and restated memorandum and articles of association, each as amended, or another document (except to the extent such amendment or alteration permits the Company to provide broader indemnification or exculpation rights on a retroactive basis than permitted prior thereto). </w:t>
      </w:r>
    </w:p>
    <w:p>
      <w:pPr>
        <w:pStyle w:val="TextBody"/>
        <w:spacing w:before="240" w:after="0"/>
        <w:jc w:val="left"/>
        <w:rPr>
          <w:rFonts w:ascii="Times New Roman" w:hAnsi="Times New Roman"/>
          <w:sz w:val="20"/>
        </w:rPr>
      </w:pPr>
      <w:r>
        <w:rPr>
          <w:rFonts w:ascii="Times New Roman" w:hAnsi="Times New Roman"/>
          <w:sz w:val="20"/>
        </w:rPr>
        <w:t xml:space="preserve">5.1.9 Each Nominee may, but does not need to qualify as independent pursuant to listing standards of the New York Stock Exchange (or such other national securities exchange upon which the Companys securities are then listed). </w:t>
      </w:r>
    </w:p>
    <w:p>
      <w:pPr>
        <w:pStyle w:val="TextBody"/>
        <w:spacing w:before="240" w:after="0"/>
        <w:jc w:val="left"/>
        <w:rPr>
          <w:rFonts w:ascii="Times New Roman" w:hAnsi="Times New Roman"/>
          <w:sz w:val="20"/>
        </w:rPr>
      </w:pPr>
      <w:r>
        <w:rPr>
          <w:rFonts w:ascii="Times New Roman" w:hAnsi="Times New Roman"/>
          <w:sz w:val="20"/>
        </w:rPr>
        <w:t xml:space="preserve">5.1.10 Any Nominee will be subject to the Companys customary due diligence process, including its review of a completed questionnaire and a background check. Based on the foregoing, the Company may object to any Nominee provided (a) it does so in good faith, and (b) such objection is based upon any of the following: (i) such Nominee was convicted in a criminal proceeding or is a named subject of a pending criminal proceeding (excluding traffic violations and other minor offenses), (ii) such Nominee was the subject of any order, judgment, or decree not subsequently reversed, suspended or vacated of any court of competent jurisdiction, permanently or temporarily enjoining such proposed director from, or otherwise limiting, the following activities: (A) engaging in any type of business practice, or (B) engaging in any activity in connection with the purchase or sale of any security or in connection with any violation of federal or state securities laws, (iii) such Nominee was the subject of any order, judgment or decree, not subsequently reversed, suspended or vacated, of any federal or state authority barring, suspending or otherwise limiting for more than 60 days the right of such person to engage in any activity described in clause (ii)(B), or to be associated with persons engaged in such activity, (iv) such proposed director was found by a court of competent jurisdiction in a civil action or by the Commission to have violated any federal or state securities law, and the judgment in such civil action or finding by the Commission has not been subsequently reversed, suspended or vacated, or (v) such proposed director was the subject of, or a party to any federal or state judicial or administrative order, judgment, decree, or finding, not subsequently reversed, suspended or vacated, relating to a violation of any federal or state securities laws or regulations. In the event the Board reasonably finds the Nominee to be unsuitable based upon one or more of the foregoing clauses (i) through (v) and reasonably objects to the identified director, Sponsor shall be entitled to propose a different nominee to the Board within 30 calendar days of the Companys notice to Sponsor of its objection to the Nominee and such replacement Nominee shall be subject to the review process outlined above. </w:t>
      </w:r>
    </w:p>
    <w:p>
      <w:pPr>
        <w:pStyle w:val="TextBody"/>
        <w:spacing w:before="240" w:after="0"/>
        <w:jc w:val="left"/>
        <w:rPr>
          <w:rFonts w:ascii="Times New Roman" w:hAnsi="Times New Roman"/>
          <w:sz w:val="20"/>
        </w:rPr>
      </w:pPr>
      <w:r>
        <w:rPr>
          <w:rFonts w:ascii="Times New Roman" w:hAnsi="Times New Roman"/>
          <w:sz w:val="20"/>
        </w:rPr>
        <w:t xml:space="preserve">5.1.11 The Company shall take all necessary action to cause a Nominee chosen by the Sponsor, at the request of such Nominee to be elected to the board of directors (or similar governing body) of each material operating subsidiary of the Company. The Nominee, as applicable, shall have the right to attend (in person or remotely) any meetings of the board of directors (or similar governing body or committee thereof) of each subsidiary of the Company. </w:t>
      </w:r>
    </w:p>
    <w:p>
      <w:pPr>
        <w:pStyle w:val="TextBody"/>
        <w:spacing w:before="480" w:after="0"/>
        <w:jc w:val="center"/>
        <w:rPr>
          <w:rFonts w:ascii="Times New Roman" w:hAnsi="Times New Roman"/>
          <w:b/>
          <w:sz w:val="20"/>
        </w:rPr>
      </w:pPr>
      <w:r>
        <w:rPr>
          <w:rFonts w:ascii="Times New Roman" w:hAnsi="Times New Roman"/>
          <w:b/>
          <w:sz w:val="20"/>
        </w:rPr>
        <w:t xml:space="preserve">ARTICLE 6 </w:t>
      </w:r>
    </w:p>
    <w:p>
      <w:pPr>
        <w:pStyle w:val="TextBody"/>
        <w:spacing w:before="0" w:after="0"/>
        <w:jc w:val="center"/>
        <w:rPr>
          <w:rFonts w:ascii="Times New Roman" w:hAnsi="Times New Roman"/>
          <w:sz w:val="20"/>
        </w:rPr>
      </w:pPr>
      <w:r>
        <w:rPr>
          <w:rFonts w:ascii="Times New Roman" w:hAnsi="Times New Roman"/>
          <w:sz w:val="20"/>
        </w:rPr>
        <w:t xml:space="preserve">MISCELLANEOUS </w:t>
      </w:r>
    </w:p>
    <w:p>
      <w:pPr>
        <w:pStyle w:val="TextBody"/>
        <w:spacing w:before="240" w:after="0"/>
        <w:jc w:val="left"/>
        <w:rPr>
          <w:rFonts w:ascii="Times New Roman" w:hAnsi="Times New Roman"/>
          <w:sz w:val="20"/>
        </w:rPr>
      </w:pPr>
      <w:r>
        <w:rPr>
          <w:rFonts w:ascii="Times New Roman" w:hAnsi="Times New Roman"/>
          <w:sz w:val="20"/>
        </w:rPr>
        <w:t xml:space="preserve">6.1 </w:t>
      </w:r>
      <w:r>
        <w:rPr>
          <w:rFonts w:ascii="Times New Roman" w:hAnsi="Times New Roman"/>
          <w:sz w:val="20"/>
          <w:u w:val="single"/>
        </w:rPr>
        <w:t>Notices</w:t>
      </w:r>
      <w:r>
        <w:rPr>
          <w:rFonts w:ascii="Times New Roman" w:hAnsi="Times New Roman"/>
          <w:sz w:val="20"/>
        </w:rPr>
        <w:t xml:space="preserve">. Any notice or communication under this Agreement must be in writing and given by (i) deposit in the United States mail, addressed to the party to be notified, postage prepaid and registered or certified with return receipt requested, (ii) delivery in person or by courier service providing evidence of delivery, or (iii) transmission by hand delivery, electronic mail, telecopy, telegram or facsimile. Each notice or communication that is mailed, delivered, or transmitted in the manner described above shall be deemed sufficiently given, served, sent, and received, in the case of mailed notices, on the third business day following the date on which it is mailed and, in the case of notices delivered by courier service, hand delivery, electronic mail, telecopy, telegram or facsimile, at such time as it is delivered to the addressee (with the delivery receipt or the affidavit of messenger) or at such time as delivery is refused by the addressee upon presentation. Any notice or communication under this Agreement must be addressed, if to the Company, to: 200 Clarendon Street, 55th Floor, Boston, MA 02116, Attention: Christine Miller, with copy to: Kirkland &amp; Ellis LLP, 601 Lexington Avenue, New York, New York 10022, Attention: Christian O. Nagler and James S. Rowe, and, if to any Holder, at such Holders address or facsimile number as set forth in the Companys books and records. Any party may change its address for notice at any time and from time to time by written notice to the other parties hereto, and such change of address shall become effective thirty (30) days after delivery of such notice as provided in this Section 6.1.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6.2 </w:t>
      </w:r>
      <w:r>
        <w:rPr>
          <w:rFonts w:ascii="Times New Roman" w:hAnsi="Times New Roman"/>
          <w:sz w:val="20"/>
          <w:u w:val="single"/>
        </w:rPr>
        <w:t>Assignment; No Third Party Beneficiaries.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6.2.1 This Agreement and the rights, duties and obligations of the Company hereunder may not be assigned or delegated by the Company in whole or in part. </w:t>
      </w:r>
    </w:p>
    <w:p>
      <w:pPr>
        <w:pStyle w:val="TextBody"/>
        <w:spacing w:before="240" w:after="0"/>
        <w:jc w:val="left"/>
        <w:rPr>
          <w:rFonts w:ascii="Times New Roman" w:hAnsi="Times New Roman"/>
          <w:sz w:val="20"/>
        </w:rPr>
      </w:pPr>
      <w:r>
        <w:rPr>
          <w:rFonts w:ascii="Times New Roman" w:hAnsi="Times New Roman"/>
          <w:sz w:val="20"/>
        </w:rPr>
        <w:t xml:space="preserve">6.2.2 Prior to the expiration of the Founder Shares Lock-up Period or the Private Placement Lock-up Period, as the case may be, no Holder may assign or delegate such Holders rights, duties or obligations under this Agreement, in whole or in part, except in connection with a transfer of Registrable Securities by such Holder to a Permitted Transferee. </w:t>
      </w:r>
    </w:p>
    <w:p>
      <w:pPr>
        <w:pStyle w:val="TextBody"/>
        <w:spacing w:before="240" w:after="0"/>
        <w:jc w:val="left"/>
        <w:rPr>
          <w:rFonts w:ascii="Times New Roman" w:hAnsi="Times New Roman"/>
          <w:sz w:val="20"/>
        </w:rPr>
      </w:pPr>
      <w:r>
        <w:rPr>
          <w:rFonts w:ascii="Times New Roman" w:hAnsi="Times New Roman"/>
          <w:sz w:val="20"/>
        </w:rPr>
        <w:t xml:space="preserve">6.2.3 This Agreement and the provisions hereof shall be binding upon and shall inure to the benefit of each of the parties and its successors and the permitted assigns of the Holders, which shall include Permitted Transferees. </w:t>
      </w:r>
    </w:p>
    <w:p>
      <w:pPr>
        <w:pStyle w:val="TextBody"/>
        <w:spacing w:before="240" w:after="0"/>
        <w:jc w:val="left"/>
        <w:rPr>
          <w:rFonts w:ascii="Times New Roman" w:hAnsi="Times New Roman"/>
          <w:sz w:val="20"/>
        </w:rPr>
      </w:pPr>
      <w:r>
        <w:rPr>
          <w:rFonts w:ascii="Times New Roman" w:hAnsi="Times New Roman"/>
          <w:sz w:val="20"/>
        </w:rPr>
        <w:t xml:space="preserve">6.2.4 This Agreement shall not confer any rights or benefits on any persons that are not parties hereto, other than as expressly set forth in this Agreement and </w:t>
      </w:r>
      <w:r>
        <w:rPr>
          <w:rFonts w:ascii="Times New Roman" w:hAnsi="Times New Roman"/>
          <w:sz w:val="20"/>
          <w:u w:val="single"/>
        </w:rPr>
        <w:t>Section 6.2</w:t>
      </w:r>
      <w:r>
        <w:rPr>
          <w:rFonts w:ascii="Times New Roman" w:hAnsi="Times New Roman"/>
          <w:sz w:val="20"/>
        </w:rPr>
        <w:t xml:space="preserve"> hereof. </w:t>
      </w:r>
    </w:p>
    <w:p>
      <w:pPr>
        <w:pStyle w:val="TextBody"/>
        <w:spacing w:before="240" w:after="0"/>
        <w:jc w:val="left"/>
        <w:rPr>
          <w:rFonts w:ascii="Times New Roman" w:hAnsi="Times New Roman"/>
          <w:sz w:val="20"/>
        </w:rPr>
      </w:pPr>
      <w:r>
        <w:rPr>
          <w:rFonts w:ascii="Times New Roman" w:hAnsi="Times New Roman"/>
          <w:sz w:val="20"/>
        </w:rPr>
        <w:t xml:space="preserve">6.2.5 No assignment by any party hereto of such partys rights, duties and obligations hereunder shall be binding upon or obligate the Company unless and until the Company shall have received (i) written notice of such assignment as provided in </w:t>
      </w:r>
      <w:r>
        <w:rPr>
          <w:rFonts w:ascii="Times New Roman" w:hAnsi="Times New Roman"/>
          <w:sz w:val="20"/>
          <w:u w:val="single"/>
        </w:rPr>
        <w:t>Section 6.1</w:t>
      </w:r>
      <w:r>
        <w:rPr>
          <w:rFonts w:ascii="Times New Roman" w:hAnsi="Times New Roman"/>
          <w:sz w:val="20"/>
        </w:rPr>
        <w:t xml:space="preserve"> hereof and (ii) the written agreement of the assignee, in a form reasonably satisfactory to the Company, to be bound by the terms and provisions of this Agreement (which may be accomplished by an addendum or certificate of joinder to this Agreement). Any transfer or assignment made other than as provided in this </w:t>
      </w:r>
      <w:r>
        <w:rPr>
          <w:rFonts w:ascii="Times New Roman" w:hAnsi="Times New Roman"/>
          <w:sz w:val="20"/>
          <w:u w:val="single"/>
        </w:rPr>
        <w:t>Section 6.2</w:t>
      </w:r>
      <w:r>
        <w:rPr>
          <w:rFonts w:ascii="Times New Roman" w:hAnsi="Times New Roman"/>
          <w:sz w:val="20"/>
        </w:rPr>
        <w:t xml:space="preserve"> shall be null and void. </w:t>
      </w:r>
    </w:p>
    <w:p>
      <w:pPr>
        <w:pStyle w:val="TextBody"/>
        <w:spacing w:before="240" w:after="0"/>
        <w:jc w:val="left"/>
        <w:rPr>
          <w:rFonts w:ascii="Times New Roman" w:hAnsi="Times New Roman"/>
          <w:sz w:val="20"/>
        </w:rPr>
      </w:pPr>
      <w:r>
        <w:rPr>
          <w:rFonts w:ascii="Times New Roman" w:hAnsi="Times New Roman"/>
          <w:sz w:val="20"/>
        </w:rPr>
        <w:t xml:space="preserve">6.3 </w:t>
      </w:r>
      <w:r>
        <w:rPr>
          <w:rFonts w:ascii="Times New Roman" w:hAnsi="Times New Roman"/>
          <w:sz w:val="20"/>
          <w:u w:val="single"/>
        </w:rPr>
        <w:t>Severability</w:t>
      </w:r>
      <w:r>
        <w:rPr>
          <w:rFonts w:ascii="Times New Roman" w:hAnsi="Times New Roman"/>
          <w:sz w:val="20"/>
        </w:rPr>
        <w:t xml:space="preserve">. This Agreement shall be deemed severable, and the invalidity or unenforceability of any term or provision hereof shall not affect the validity or enforceability of this Agreement or of any other term or provision hereof. Furthermore, in lieu of any such invalid or unenforceable term or provision, the parties hereto intend that there shall be added as a part of this Agreement a provision as similar in terms to such invalid or unenforceable provision as may be possible that is valid and enforceable. </w:t>
      </w:r>
    </w:p>
    <w:p>
      <w:pPr>
        <w:pStyle w:val="TextBody"/>
        <w:spacing w:before="240" w:after="0"/>
        <w:jc w:val="left"/>
        <w:rPr>
          <w:rFonts w:ascii="Times New Roman" w:hAnsi="Times New Roman"/>
          <w:sz w:val="20"/>
        </w:rPr>
      </w:pPr>
      <w:r>
        <w:rPr>
          <w:rFonts w:ascii="Times New Roman" w:hAnsi="Times New Roman"/>
          <w:sz w:val="20"/>
        </w:rPr>
        <w:t xml:space="preserve">6.4 </w:t>
      </w:r>
      <w:r>
        <w:rPr>
          <w:rFonts w:ascii="Times New Roman" w:hAnsi="Times New Roman"/>
          <w:sz w:val="20"/>
          <w:u w:val="single"/>
        </w:rPr>
        <w:t>Counterparts</w:t>
      </w:r>
      <w:r>
        <w:rPr>
          <w:rFonts w:ascii="Times New Roman" w:hAnsi="Times New Roman"/>
          <w:sz w:val="20"/>
        </w:rPr>
        <w:t xml:space="preserve">. This Agreement may be executed in multiple counterparts (including facsimile or PDF counterparts), each of which shall be deemed an original, and all of which together shall constitute the same instrument, but only one of which need be produced. </w:t>
      </w:r>
    </w:p>
    <w:p>
      <w:pPr>
        <w:pStyle w:val="TextBody"/>
        <w:spacing w:before="240" w:after="0"/>
        <w:jc w:val="left"/>
        <w:rPr>
          <w:rFonts w:ascii="Times New Roman" w:hAnsi="Times New Roman"/>
          <w:sz w:val="20"/>
        </w:rPr>
      </w:pPr>
      <w:r>
        <w:rPr>
          <w:rFonts w:ascii="Times New Roman" w:hAnsi="Times New Roman"/>
          <w:sz w:val="20"/>
        </w:rPr>
        <w:t xml:space="preserve">6.5 </w:t>
      </w:r>
      <w:r>
        <w:rPr>
          <w:rFonts w:ascii="Times New Roman" w:hAnsi="Times New Roman"/>
          <w:sz w:val="20"/>
          <w:u w:val="single"/>
        </w:rPr>
        <w:t>Entire Agreement</w:t>
      </w:r>
      <w:r>
        <w:rPr>
          <w:rFonts w:ascii="Times New Roman" w:hAnsi="Times New Roman"/>
          <w:sz w:val="20"/>
        </w:rPr>
        <w:t xml:space="preserve">. This Agreement (including all agreements entered into pursuant hereto and all certificates and instruments delivered pursuant hereto and thereto) constitute the entire agreement of the parties with respect to the subject matter hereof and supersede all prior and contemporaneous agreements, representations, understandings, negotiations and discussions between the parties, whether oral or written. </w:t>
      </w:r>
    </w:p>
    <w:p>
      <w:pPr>
        <w:pStyle w:val="TextBody"/>
        <w:spacing w:before="240" w:after="0"/>
        <w:jc w:val="left"/>
        <w:rPr>
          <w:rFonts w:ascii="Times New Roman" w:hAnsi="Times New Roman"/>
          <w:sz w:val="20"/>
        </w:rPr>
      </w:pPr>
      <w:r>
        <w:rPr>
          <w:rFonts w:ascii="Times New Roman" w:hAnsi="Times New Roman"/>
          <w:sz w:val="20"/>
        </w:rPr>
        <w:t xml:space="preserve">6.6 </w:t>
      </w:r>
      <w:r>
        <w:rPr>
          <w:rFonts w:ascii="Times New Roman" w:hAnsi="Times New Roman"/>
          <w:sz w:val="20"/>
          <w:u w:val="single"/>
        </w:rPr>
        <w:t>Governing Law; Venue</w:t>
      </w:r>
      <w:r>
        <w:rPr>
          <w:rFonts w:ascii="Times New Roman" w:hAnsi="Times New Roman"/>
          <w:sz w:val="20"/>
        </w:rPr>
        <w:t xml:space="preserve">. NOTWITHSTANDING THE PLACE WHERE THIS AGREEMENT MAY BE EXECUTED BY ANY OF THE PARTIES HERETO, THE PARTIES EXPRESSLY AGREE THAT THIS AGREEMENT SHALL BE GOVERNED BY AND CONSTRUED UNDER THE LAWS OF THE STATE OF NEW YORK AS APPLIED TO AGREEMENTS AMONG NEW YORK RESIDENTS ENTERED INTO AND TO BE PERFORMED ENTIRELY WITHIN NEW YORK, WITHOUT REGARD TO THE CONFLICT OF LAW PROVISIONS OF SUCH JURISDICTION. </w:t>
      </w:r>
    </w:p>
    <w:p>
      <w:pPr>
        <w:pStyle w:val="TextBody"/>
        <w:spacing w:before="240" w:after="0"/>
        <w:jc w:val="left"/>
        <w:rPr>
          <w:rFonts w:ascii="Times New Roman" w:hAnsi="Times New Roman"/>
          <w:sz w:val="20"/>
        </w:rPr>
      </w:pPr>
      <w:r>
        <w:rPr>
          <w:rFonts w:ascii="Times New Roman" w:hAnsi="Times New Roman"/>
          <w:sz w:val="20"/>
        </w:rPr>
        <w:t xml:space="preserve">6.7 </w:t>
      </w:r>
      <w:r>
        <w:rPr>
          <w:rFonts w:ascii="Times New Roman" w:hAnsi="Times New Roman"/>
          <w:b/>
          <w:sz w:val="20"/>
          <w:u w:val="single"/>
        </w:rPr>
        <w:t>WAIVER OF TRIAL BY JURY</w:t>
      </w:r>
      <w:r>
        <w:rPr>
          <w:rFonts w:ascii="Times New Roman" w:hAnsi="Times New Roman"/>
          <w:b/>
          <w:sz w:val="20"/>
        </w:rPr>
        <w:t>. EACH PARTY HEREBY IRREVOCABLY AND UNCONDITIONALLY WAIVES THE RIGHT TO A TRIAL BY JURY IN ANY ACTION, SUIT, COUNTERCLAIM OR OTHER PROCEEDING (WHETHER BASED ON CONTRACT, TORT OR OTHERWISE) ARISING OUT OF, CONNECTED WITH OR RELATING TO THIS AGREEMENT, THE TRANSACTIONS CONTEMPLATED HEREBY, OR THE ACTIONS OF THE SPONSOR IN THE NEGOTIATION, ADMINISTRATION, PERFORMANCE OR ENFORCEMENT HEREOF.</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6.8 </w:t>
      </w:r>
      <w:r>
        <w:rPr>
          <w:rFonts w:ascii="Times New Roman" w:hAnsi="Times New Roman"/>
          <w:sz w:val="20"/>
          <w:u w:val="single"/>
        </w:rPr>
        <w:t>Amendments and Modifications</w:t>
      </w:r>
      <w:r>
        <w:rPr>
          <w:rFonts w:ascii="Times New Roman" w:hAnsi="Times New Roman"/>
          <w:sz w:val="20"/>
        </w:rPr>
        <w:t xml:space="preserve">. Upon the written consent of the Company and the Holders of at least a majority in interest of the Registrable Securities at the time in question, compliance with any of the provisions, covenants and conditions set forth in this Agreement may be waived, or any of such provisions, covenants or conditions may be amended or modified; provided, however, that notwithstanding the foregoing, any amendment hereto or waiver hereof that adversely affects one Holder, solely in its capacity as a holder of the shares of the Company, in a manner that is materially different from the other Holders (in such capacity) shall require the consent of the Holder so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affected. No course of dealing between any Holder or the Company and any other party hereto or any failure or delay on the part of a Holder or the Company in exercising any rights or remedies under this Agreement shall operate as a waiver of any rights or remedies of any Holder or the Company. No single or partial exercise of any rights or remedies under this Agreement by a party shall operate as a waiver or preclude the exercise of any other rights or remedies hereunder or thereunder by such party. </w:t>
      </w:r>
    </w:p>
    <w:p>
      <w:pPr>
        <w:pStyle w:val="TextBody"/>
        <w:spacing w:before="240" w:after="0"/>
        <w:jc w:val="left"/>
        <w:rPr>
          <w:rFonts w:ascii="Times New Roman" w:hAnsi="Times New Roman"/>
          <w:sz w:val="20"/>
        </w:rPr>
      </w:pPr>
      <w:r>
        <w:rPr>
          <w:rFonts w:ascii="Times New Roman" w:hAnsi="Times New Roman"/>
          <w:sz w:val="20"/>
        </w:rPr>
        <w:t xml:space="preserve">6.9 </w:t>
      </w:r>
      <w:r>
        <w:rPr>
          <w:rFonts w:ascii="Times New Roman" w:hAnsi="Times New Roman"/>
          <w:sz w:val="20"/>
          <w:u w:val="single"/>
        </w:rPr>
        <w:t>Titles and Headings</w:t>
      </w:r>
      <w:r>
        <w:rPr>
          <w:rFonts w:ascii="Times New Roman" w:hAnsi="Times New Roman"/>
          <w:sz w:val="20"/>
        </w:rPr>
        <w:t xml:space="preserve">. Titles and headings of sections of this Agreement are for convenience only and shall not affect the construction of any provision of this Agreement. </w:t>
      </w:r>
    </w:p>
    <w:p>
      <w:pPr>
        <w:pStyle w:val="TextBody"/>
        <w:spacing w:before="240" w:after="0"/>
        <w:jc w:val="left"/>
        <w:rPr>
          <w:rFonts w:ascii="Times New Roman" w:hAnsi="Times New Roman"/>
          <w:sz w:val="20"/>
        </w:rPr>
      </w:pPr>
      <w:r>
        <w:rPr>
          <w:rFonts w:ascii="Times New Roman" w:hAnsi="Times New Roman"/>
          <w:sz w:val="20"/>
        </w:rPr>
        <w:t xml:space="preserve">6.10 </w:t>
      </w:r>
      <w:r>
        <w:rPr>
          <w:rFonts w:ascii="Times New Roman" w:hAnsi="Times New Roman"/>
          <w:sz w:val="20"/>
          <w:u w:val="single"/>
        </w:rPr>
        <w:t>Waivers and Extensions</w:t>
      </w:r>
      <w:r>
        <w:rPr>
          <w:rFonts w:ascii="Times New Roman" w:hAnsi="Times New Roman"/>
          <w:sz w:val="20"/>
        </w:rPr>
        <w:t xml:space="preserve">. Any party to this Agreement may waive any right, breach or default which such party has the right to waive, provided that such waiver will not be effective against the waiving party unless it is in writing, is signed by such party, and specifically refers to this Agreement. Waivers may be made in advance or after the right waived has arisen or the breach or default waived has occurred. Any waiver may be conditional. No waiver of any breach of any agreement or provision herein contained shall be deemed a waiver of any preceding or succeeding breach thereof nor of any other agreement or provision herein contained. No waiver or extension of time for performance of any obligations or acts shall be deemed a waiver or extension of the time for performance of any other obligations or acts. </w:t>
      </w:r>
    </w:p>
    <w:p>
      <w:pPr>
        <w:pStyle w:val="TextBody"/>
        <w:spacing w:before="240" w:after="0"/>
        <w:jc w:val="left"/>
        <w:rPr>
          <w:rFonts w:ascii="Times New Roman" w:hAnsi="Times New Roman"/>
          <w:sz w:val="20"/>
        </w:rPr>
      </w:pPr>
      <w:r>
        <w:rPr>
          <w:rFonts w:ascii="Times New Roman" w:hAnsi="Times New Roman"/>
          <w:sz w:val="20"/>
        </w:rPr>
        <w:t xml:space="preserve">6.11 </w:t>
      </w:r>
      <w:r>
        <w:rPr>
          <w:rFonts w:ascii="Times New Roman" w:hAnsi="Times New Roman"/>
          <w:sz w:val="20"/>
          <w:u w:val="single"/>
        </w:rPr>
        <w:t>Remedies Cumulative</w:t>
      </w:r>
      <w:r>
        <w:rPr>
          <w:rFonts w:ascii="Times New Roman" w:hAnsi="Times New Roman"/>
          <w:sz w:val="20"/>
        </w:rPr>
        <w:t xml:space="preserve">. In the event that the Company fails to observe or perform any covenant or agreement to be observed or performed under this Agreement, the Holders may proceed to protect and enforce its rights by suit in equity or action at law, whether for specific performance of any term contained in this Agreement or for an injunction against the breach of any such term or in aid of the exercise of any power granted in this Agreement or to enforce any other legal or equitable right, or to take any one or more of such actions, without being required to post a bond. None of the rights, powers or remedies conferred under this Agreement shall be mutually exclusive, and each such right, power or remedy shall be cumulative and in addition to any other right, power or remedy, whether conferred by this Agreement or now or hereafter available at law, in equity, by statute or otherwise. </w:t>
      </w:r>
    </w:p>
    <w:p>
      <w:pPr>
        <w:pStyle w:val="TextBody"/>
        <w:spacing w:before="240" w:after="0"/>
        <w:jc w:val="left"/>
        <w:rPr>
          <w:rFonts w:ascii="Times New Roman" w:hAnsi="Times New Roman"/>
          <w:sz w:val="20"/>
        </w:rPr>
      </w:pPr>
      <w:r>
        <w:rPr>
          <w:rFonts w:ascii="Times New Roman" w:hAnsi="Times New Roman"/>
          <w:sz w:val="20"/>
        </w:rPr>
        <w:t xml:space="preserve">6.12 </w:t>
      </w:r>
      <w:r>
        <w:rPr>
          <w:rFonts w:ascii="Times New Roman" w:hAnsi="Times New Roman"/>
          <w:sz w:val="20"/>
          <w:u w:val="single"/>
        </w:rPr>
        <w:t>Other Registration Rights</w:t>
      </w:r>
      <w:r>
        <w:rPr>
          <w:rFonts w:ascii="Times New Roman" w:hAnsi="Times New Roman"/>
          <w:sz w:val="20"/>
        </w:rPr>
        <w:t xml:space="preserve">. The Company represents and warrants that no person, other than a Holder of Registrable Securities, has any right to require the Company to register any securities of the Company for sale or to include such securities of the Company in any Registration filed by the Company for the sale of securities for its own account or for the account of any other person. Further, the Company represents and warrants that this Agreement supersedes any other registration rights agreement or agreement with similar terms and conditions and in the event of a conflict between any such agreement or agreements and this Agreement, the terms of this Agreement shall prevail. </w:t>
      </w:r>
    </w:p>
    <w:p>
      <w:pPr>
        <w:pStyle w:val="TextBody"/>
        <w:spacing w:before="240" w:after="0"/>
        <w:jc w:val="left"/>
        <w:rPr>
          <w:rFonts w:ascii="Times New Roman" w:hAnsi="Times New Roman"/>
          <w:sz w:val="20"/>
        </w:rPr>
      </w:pPr>
      <w:r>
        <w:rPr>
          <w:rFonts w:ascii="Times New Roman" w:hAnsi="Times New Roman"/>
          <w:sz w:val="20"/>
        </w:rPr>
        <w:t xml:space="preserve">6.13 </w:t>
      </w:r>
      <w:r>
        <w:rPr>
          <w:rFonts w:ascii="Times New Roman" w:hAnsi="Times New Roman"/>
          <w:sz w:val="20"/>
          <w:u w:val="single"/>
        </w:rPr>
        <w:t>Term</w:t>
      </w:r>
      <w:r>
        <w:rPr>
          <w:rFonts w:ascii="Times New Roman" w:hAnsi="Times New Roman"/>
          <w:sz w:val="20"/>
        </w:rPr>
        <w:t xml:space="preserve">. This Agreement shall terminate upon the earlier of (i) the tenth anniversary of the date of this Agreement and (ii) the date as of which no Registrable Securities remain outstanding. The provisions of Section 3.5 and </w:t>
      </w:r>
      <w:r>
        <w:rPr>
          <w:rFonts w:ascii="Times New Roman" w:hAnsi="Times New Roman"/>
          <w:i/>
          <w:sz w:val="20"/>
        </w:rPr>
        <w:t>Article IV</w:t>
      </w:r>
      <w:r>
        <w:rPr>
          <w:rFonts w:ascii="Times New Roman" w:hAnsi="Times New Roman"/>
          <w:sz w:val="20"/>
        </w:rPr>
        <w:t xml:space="preserve"> shall survive any termination. </w:t>
      </w:r>
    </w:p>
    <w:p>
      <w:pPr>
        <w:pStyle w:val="TextBody"/>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PAGES FOLLOW</w:t>
      </w:r>
      <w:r>
        <w:rPr>
          <w:rFonts w:ascii="Times New Roman" w:hAnsi="Times New Roman"/>
          <w:sz w:val="20"/>
        </w:rPr>
        <w:t xml:space="preserve">]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undersigned have caused this Agreement to be executed as of the date first written above.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672"/>
        <w:gridCol w:w="61"/>
        <w:gridCol w:w="3349"/>
      </w:tblGrid>
      <w:tr>
        <w:trPr/>
        <w:tc>
          <w:tcPr>
            <w:tcW w:w="672"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sz w:val="4"/>
                <w:szCs w:val="4"/>
              </w:rPr>
            </w:pPr>
            <w:r>
              <w:rPr>
                <w:sz w:val="4"/>
                <w:szCs w:val="4"/>
              </w:rPr>
            </w:r>
          </w:p>
        </w:tc>
        <w:tc>
          <w:tcPr>
            <w:tcW w:w="3349"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pPr>
            <w:r>
              <w:rPr/>
              <w:t>COMPANY:</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b/>
              </w:rPr>
            </w:pPr>
            <w:r>
              <w:rPr>
                <w:b/>
              </w:rPr>
              <w:t>ARCLIGHT CLEAN TRANSITION CORP. II</w:t>
            </w:r>
          </w:p>
        </w:tc>
      </w:tr>
      <w:tr>
        <w:trPr>
          <w:trHeight w:val="240" w:hRule="atLeast"/>
        </w:trPr>
        <w:tc>
          <w:tcPr>
            <w:tcW w:w="672" w:type="dxa"/>
            <w:tcBorders/>
            <w:shd w:fill="auto" w:val="clear"/>
            <w:vAlign w:val="center"/>
          </w:tcPr>
          <w:p>
            <w:pPr>
              <w:pStyle w:val="TableContents"/>
              <w:spacing w:before="0" w:after="283"/>
              <w:rPr>
                <w:sz w:val="4"/>
                <w:szCs w:val="4"/>
              </w:rPr>
            </w:pPr>
            <w:r>
              <w:rPr>
                <w:sz w:val="4"/>
                <w:szCs w:val="4"/>
              </w:rPr>
            </w:r>
          </w:p>
        </w:tc>
        <w:tc>
          <w:tcPr>
            <w:tcW w:w="3410" w:type="dxa"/>
            <w:gridSpan w:val="2"/>
            <w:tcBorders/>
            <w:shd w:fill="auto" w:val="clear"/>
            <w:vAlign w:val="center"/>
          </w:tcPr>
          <w:p>
            <w:pPr>
              <w:pStyle w:val="TableContents"/>
              <w:spacing w:before="0" w:after="283"/>
              <w:rPr>
                <w:sz w:val="4"/>
                <w:szCs w:val="4"/>
              </w:rPr>
            </w:pPr>
            <w:r>
              <w:rPr>
                <w:sz w:val="4"/>
                <w:szCs w:val="4"/>
              </w:rPr>
            </w:r>
          </w:p>
        </w:tc>
      </w:tr>
      <w:tr>
        <w:trPr/>
        <w:tc>
          <w:tcPr>
            <w:tcW w:w="672" w:type="dxa"/>
            <w:tcBorders/>
            <w:shd w:fill="auto" w:val="clear"/>
          </w:tcPr>
          <w:p>
            <w:pPr>
              <w:pStyle w:val="TableContents"/>
              <w:spacing w:before="0" w:after="283"/>
              <w:rPr/>
            </w:pPr>
            <w:r>
              <w:rPr/>
              <w:t>By:</w:t>
            </w:r>
          </w:p>
        </w:tc>
        <w:tc>
          <w:tcPr>
            <w:tcW w:w="61" w:type="dxa"/>
            <w:tcBorders/>
            <w:shd w:fill="auto" w:val="clear"/>
            <w:vAlign w:val="bottom"/>
          </w:tcPr>
          <w:p>
            <w:pPr>
              <w:pStyle w:val="TableContents"/>
              <w:spacing w:before="0" w:after="283"/>
              <w:rPr/>
            </w:pPr>
            <w:r>
              <w:rPr/>
              <w:t> </w:t>
            </w:r>
          </w:p>
        </w:tc>
        <w:tc>
          <w:tcPr>
            <w:tcW w:w="3349" w:type="dxa"/>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John F. Erhard</w:t>
            </w:r>
          </w:p>
        </w:tc>
      </w:tr>
      <w:tr>
        <w:trPr/>
        <w:tc>
          <w:tcPr>
            <w:tcW w:w="672" w:type="dxa"/>
            <w:tcBorders/>
            <w:shd w:fill="auto" w:val="clear"/>
          </w:tcPr>
          <w:p>
            <w:pPr>
              <w:pStyle w:val="TableContents"/>
              <w:spacing w:before="0" w:after="283"/>
              <w:rPr/>
            </w:pPr>
            <w:r>
              <w:rPr/>
              <w:t>Name:</w:t>
            </w:r>
          </w:p>
        </w:tc>
        <w:tc>
          <w:tcPr>
            <w:tcW w:w="61" w:type="dxa"/>
            <w:tcBorders/>
            <w:shd w:fill="auto" w:val="clear"/>
            <w:vAlign w:val="bottom"/>
          </w:tcPr>
          <w:p>
            <w:pPr>
              <w:pStyle w:val="TableContents"/>
              <w:spacing w:before="0" w:after="283"/>
              <w:rPr/>
            </w:pPr>
            <w:r>
              <w:rPr/>
              <w:t> </w:t>
            </w:r>
          </w:p>
        </w:tc>
        <w:tc>
          <w:tcPr>
            <w:tcW w:w="3349" w:type="dxa"/>
            <w:tcBorders/>
            <w:shd w:fill="auto" w:val="clear"/>
          </w:tcPr>
          <w:p>
            <w:pPr>
              <w:pStyle w:val="TableContents"/>
              <w:spacing w:before="0" w:after="283"/>
              <w:rPr/>
            </w:pPr>
            <w:r>
              <w:rPr/>
              <w:t>John F. Erhard</w:t>
            </w:r>
          </w:p>
        </w:tc>
      </w:tr>
      <w:tr>
        <w:trPr/>
        <w:tc>
          <w:tcPr>
            <w:tcW w:w="672" w:type="dxa"/>
            <w:tcBorders/>
            <w:shd w:fill="auto" w:val="clear"/>
          </w:tcPr>
          <w:p>
            <w:pPr>
              <w:pStyle w:val="TableContents"/>
              <w:spacing w:before="0" w:after="283"/>
              <w:rPr/>
            </w:pPr>
            <w:r>
              <w:rPr/>
              <w:t>Title:</w:t>
            </w:r>
          </w:p>
        </w:tc>
        <w:tc>
          <w:tcPr>
            <w:tcW w:w="61" w:type="dxa"/>
            <w:tcBorders/>
            <w:shd w:fill="auto" w:val="clear"/>
            <w:vAlign w:val="bottom"/>
          </w:tcPr>
          <w:p>
            <w:pPr>
              <w:pStyle w:val="TableContents"/>
              <w:spacing w:before="0" w:after="283"/>
              <w:rPr/>
            </w:pPr>
            <w:r>
              <w:rPr/>
              <w:t> </w:t>
            </w:r>
          </w:p>
        </w:tc>
        <w:tc>
          <w:tcPr>
            <w:tcW w:w="3349" w:type="dxa"/>
            <w:tcBorders/>
            <w:shd w:fill="auto" w:val="clear"/>
          </w:tcPr>
          <w:p>
            <w:pPr>
              <w:pStyle w:val="TableContents"/>
              <w:spacing w:before="0" w:after="283"/>
              <w:rPr/>
            </w:pPr>
            <w:r>
              <w:rPr/>
              <w:t>President and Chief Executive Officer</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Registration and Shareholder Rights Agreement</w:t>
      </w:r>
      <w:r>
        <w:rPr>
          <w:rFonts w:ascii="Times New Roman" w:hAnsi="Times New Roman"/>
          <w:sz w:val="20"/>
        </w:rPr>
        <w:t xml:space="preserve">] </w:t>
      </w:r>
      <w:r>
        <w:br w:type="page"/>
      </w:r>
    </w:p>
    <w:p>
      <w:pPr>
        <w:pStyle w:val="HorizontalLine"/>
        <w:pBdr>
          <w:bottom w:val="double" w:sz="6" w:space="0" w:color="808080"/>
        </w:pBdr>
        <w:rPr/>
      </w:pPr>
      <w:r>
        <w:rPr/>
      </w:r>
    </w:p>
    <w:tbl>
      <w:tblPr>
        <w:tblW w:w="2000" w:type="pct"/>
        <w:jc w:val="right"/>
        <w:tblInd w:w="0" w:type="dxa"/>
        <w:tblCellMar>
          <w:top w:w="0" w:type="dxa"/>
          <w:left w:w="0" w:type="dxa"/>
          <w:bottom w:w="0" w:type="dxa"/>
          <w:right w:w="0" w:type="dxa"/>
        </w:tblCellMar>
      </w:tblPr>
      <w:tblGrid>
        <w:gridCol w:w="664"/>
        <w:gridCol w:w="60"/>
        <w:gridCol w:w="3358"/>
      </w:tblGrid>
      <w:tr>
        <w:trPr/>
        <w:tc>
          <w:tcPr>
            <w:tcW w:w="66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358"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pPr>
            <w:r>
              <w:rPr/>
              <w:t>HOLDERS:</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0"/>
              <w:rPr>
                <w:rFonts w:ascii="Times New Roman" w:hAnsi="Times New Roman"/>
                <w:sz w:val="20"/>
              </w:rPr>
            </w:pPr>
            <w:r>
              <w:rPr>
                <w:rFonts w:ascii="Times New Roman" w:hAnsi="Times New Roman"/>
                <w:b/>
                <w:sz w:val="20"/>
              </w:rPr>
              <w:t xml:space="preserve">ARCLIGHT CTC HOLDINGS II, L.P., </w:t>
            </w:r>
            <w:r>
              <w:rPr>
                <w:rFonts w:ascii="Times New Roman" w:hAnsi="Times New Roman"/>
                <w:sz w:val="20"/>
              </w:rPr>
              <w:t>a Delaware limited partnership</w:t>
            </w:r>
          </w:p>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By: ACTC HOLDINGS GP II, LLC, its general partner</w:t>
            </w:r>
          </w:p>
          <w:p>
            <w:pPr>
              <w:pStyle w:val="TableContents"/>
              <w:spacing w:before="0" w:after="0"/>
              <w:rPr>
                <w:rFonts w:ascii="Times New Roman" w:hAnsi="Times New Roman"/>
                <w:sz w:val="20"/>
              </w:rPr>
            </w:pPr>
            <w:r>
              <w:rPr>
                <w:rFonts w:ascii="Times New Roman" w:hAnsi="Times New Roman"/>
                <w:sz w:val="20"/>
              </w:rPr>
              <w:t>By: ArcLight Capital Holdings, LLC, its Manager</w:t>
            </w:r>
          </w:p>
          <w:p>
            <w:pPr>
              <w:pStyle w:val="TableContents"/>
              <w:spacing w:before="0" w:after="0"/>
              <w:rPr>
                <w:rFonts w:ascii="Times New Roman" w:hAnsi="Times New Roman"/>
                <w:sz w:val="20"/>
              </w:rPr>
            </w:pPr>
            <w:r>
              <w:rPr>
                <w:rFonts w:ascii="Times New Roman" w:hAnsi="Times New Roman"/>
                <w:sz w:val="20"/>
              </w:rPr>
              <w:t>By: ACHP II, L.P., its Managing Member</w:t>
            </w:r>
          </w:p>
          <w:p>
            <w:pPr>
              <w:pStyle w:val="TableContents"/>
              <w:spacing w:before="0" w:after="20"/>
              <w:rPr>
                <w:rFonts w:ascii="Times New Roman" w:hAnsi="Times New Roman"/>
                <w:sz w:val="20"/>
              </w:rPr>
            </w:pPr>
            <w:r>
              <w:rPr>
                <w:rFonts w:ascii="Times New Roman" w:hAnsi="Times New Roman"/>
                <w:sz w:val="20"/>
              </w:rPr>
              <w:t>By: ACH GP, LLC, its General Partner</w:t>
            </w:r>
          </w:p>
        </w:tc>
      </w:tr>
      <w:tr>
        <w:trPr>
          <w:trHeight w:val="240" w:hRule="atLeast"/>
        </w:trPr>
        <w:tc>
          <w:tcPr>
            <w:tcW w:w="664" w:type="dxa"/>
            <w:tcBorders/>
            <w:shd w:fill="auto" w:val="clear"/>
            <w:vAlign w:val="center"/>
          </w:tcPr>
          <w:p>
            <w:pPr>
              <w:pStyle w:val="TableContents"/>
              <w:spacing w:before="0" w:after="283"/>
              <w:rPr>
                <w:sz w:val="4"/>
                <w:szCs w:val="4"/>
              </w:rPr>
            </w:pPr>
            <w:r>
              <w:rPr>
                <w:sz w:val="4"/>
                <w:szCs w:val="4"/>
              </w:rPr>
            </w:r>
          </w:p>
        </w:tc>
        <w:tc>
          <w:tcPr>
            <w:tcW w:w="3418" w:type="dxa"/>
            <w:gridSpan w:val="2"/>
            <w:tcBorders/>
            <w:shd w:fill="auto" w:val="clear"/>
            <w:vAlign w:val="center"/>
          </w:tcPr>
          <w:p>
            <w:pPr>
              <w:pStyle w:val="TableContents"/>
              <w:spacing w:before="0" w:after="283"/>
              <w:rPr>
                <w:sz w:val="4"/>
                <w:szCs w:val="4"/>
              </w:rPr>
            </w:pPr>
            <w:r>
              <w:rPr>
                <w:sz w:val="4"/>
                <w:szCs w:val="4"/>
              </w:rPr>
            </w:r>
          </w:p>
        </w:tc>
      </w:tr>
      <w:tr>
        <w:trPr/>
        <w:tc>
          <w:tcPr>
            <w:tcW w:w="664" w:type="dxa"/>
            <w:tcBorders/>
            <w:shd w:fill="auto" w:val="clear"/>
          </w:tcPr>
          <w:p>
            <w:pPr>
              <w:pStyle w:val="TableContents"/>
              <w:spacing w:before="0" w:after="283"/>
              <w:rPr/>
            </w:pPr>
            <w:r>
              <w:rPr/>
              <w:t>By:</w:t>
            </w:r>
          </w:p>
        </w:tc>
        <w:tc>
          <w:tcPr>
            <w:tcW w:w="60" w:type="dxa"/>
            <w:tcBorders/>
            <w:shd w:fill="auto" w:val="clear"/>
            <w:vAlign w:val="bottom"/>
          </w:tcPr>
          <w:p>
            <w:pPr>
              <w:pStyle w:val="TableContents"/>
              <w:spacing w:before="0" w:after="283"/>
              <w:rPr/>
            </w:pPr>
            <w:r>
              <w:rPr/>
              <w:t> </w:t>
            </w:r>
          </w:p>
        </w:tc>
        <w:tc>
          <w:tcPr>
            <w:tcW w:w="3358" w:type="dxa"/>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Daniel R. Revers</w:t>
            </w:r>
          </w:p>
        </w:tc>
      </w:tr>
      <w:tr>
        <w:trPr/>
        <w:tc>
          <w:tcPr>
            <w:tcW w:w="664" w:type="dxa"/>
            <w:tcBorders/>
            <w:shd w:fill="auto" w:val="clear"/>
          </w:tcPr>
          <w:p>
            <w:pPr>
              <w:pStyle w:val="TableContents"/>
              <w:spacing w:before="0" w:after="283"/>
              <w:rPr/>
            </w:pPr>
            <w:r>
              <w:rPr/>
              <w:t>Name:</w:t>
            </w:r>
          </w:p>
        </w:tc>
        <w:tc>
          <w:tcPr>
            <w:tcW w:w="60" w:type="dxa"/>
            <w:tcBorders/>
            <w:shd w:fill="auto" w:val="clear"/>
            <w:vAlign w:val="bottom"/>
          </w:tcPr>
          <w:p>
            <w:pPr>
              <w:pStyle w:val="TableContents"/>
              <w:spacing w:before="0" w:after="283"/>
              <w:rPr/>
            </w:pPr>
            <w:r>
              <w:rPr/>
              <w:t> </w:t>
            </w:r>
          </w:p>
        </w:tc>
        <w:tc>
          <w:tcPr>
            <w:tcW w:w="3358" w:type="dxa"/>
            <w:tcBorders/>
            <w:shd w:fill="auto" w:val="clear"/>
          </w:tcPr>
          <w:p>
            <w:pPr>
              <w:pStyle w:val="TableContents"/>
              <w:spacing w:before="0" w:after="283"/>
              <w:rPr/>
            </w:pPr>
            <w:r>
              <w:rPr/>
              <w:t>Daniel R. Revers</w:t>
            </w:r>
          </w:p>
        </w:tc>
      </w:tr>
      <w:tr>
        <w:trPr/>
        <w:tc>
          <w:tcPr>
            <w:tcW w:w="664" w:type="dxa"/>
            <w:tcBorders/>
            <w:shd w:fill="auto" w:val="clear"/>
          </w:tcPr>
          <w:p>
            <w:pPr>
              <w:pStyle w:val="TableContents"/>
              <w:spacing w:before="0" w:after="283"/>
              <w:rPr/>
            </w:pPr>
            <w:r>
              <w:rPr/>
              <w:t>Title:</w:t>
            </w:r>
          </w:p>
        </w:tc>
        <w:tc>
          <w:tcPr>
            <w:tcW w:w="60" w:type="dxa"/>
            <w:tcBorders/>
            <w:shd w:fill="auto" w:val="clear"/>
            <w:vAlign w:val="bottom"/>
          </w:tcPr>
          <w:p>
            <w:pPr>
              <w:pStyle w:val="TableContents"/>
              <w:spacing w:before="0" w:after="283"/>
              <w:rPr/>
            </w:pPr>
            <w:r>
              <w:rPr/>
              <w:t> </w:t>
            </w:r>
          </w:p>
        </w:tc>
        <w:tc>
          <w:tcPr>
            <w:tcW w:w="3358" w:type="dxa"/>
            <w:tcBorders/>
            <w:shd w:fill="auto" w:val="clear"/>
          </w:tcPr>
          <w:p>
            <w:pPr>
              <w:pStyle w:val="TableContents"/>
              <w:spacing w:before="0" w:after="283"/>
              <w:rPr/>
            </w:pPr>
            <w:r>
              <w:rPr/>
              <w:t>Managert</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Registration and Shareholder Rights Agreement</w:t>
      </w:r>
      <w:r>
        <w:rPr>
          <w:rFonts w:ascii="Times New Roman" w:hAnsi="Times New Roman"/>
          <w:sz w:val="20"/>
        </w:rPr>
        <w:t xml:space="preserve">] </w:t>
      </w:r>
      <w:r>
        <w:br w:type="page"/>
      </w:r>
    </w:p>
    <w:p>
      <w:pPr>
        <w:pStyle w:val="HorizontalLine"/>
        <w:pBdr>
          <w:bottom w:val="double" w:sz="6" w:space="0" w:color="808080"/>
        </w:pBdr>
        <w:rPr/>
      </w:pPr>
      <w:r>
        <w:rPr/>
      </w:r>
    </w:p>
    <w:tbl>
      <w:tblPr>
        <w:tblW w:w="2000" w:type="pct"/>
        <w:jc w:val="right"/>
        <w:tblInd w:w="0" w:type="dxa"/>
        <w:tblCellMar>
          <w:top w:w="0" w:type="dxa"/>
          <w:left w:w="0" w:type="dxa"/>
          <w:bottom w:w="0" w:type="dxa"/>
          <w:right w:w="0" w:type="dxa"/>
        </w:tblCellMar>
      </w:tblPr>
      <w:tblGrid>
        <w:gridCol w:w="376"/>
        <w:gridCol w:w="60"/>
        <w:gridCol w:w="3646"/>
      </w:tblGrid>
      <w:tr>
        <w:trPr/>
        <w:tc>
          <w:tcPr>
            <w:tcW w:w="37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646" w:type="dxa"/>
            <w:tcBorders/>
            <w:shd w:fill="auto" w:val="clear"/>
            <w:vAlign w:val="center"/>
          </w:tcPr>
          <w:p>
            <w:pPr>
              <w:pStyle w:val="TableContents"/>
              <w:spacing w:before="0" w:after="283"/>
              <w:rPr>
                <w:sz w:val="4"/>
                <w:szCs w:val="4"/>
              </w:rPr>
            </w:pPr>
            <w:r>
              <w:rPr>
                <w:sz w:val="4"/>
                <w:szCs w:val="4"/>
              </w:rPr>
            </w:r>
          </w:p>
        </w:tc>
      </w:tr>
      <w:tr>
        <w:trPr/>
        <w:tc>
          <w:tcPr>
            <w:tcW w:w="376" w:type="dxa"/>
            <w:tcBorders/>
            <w:shd w:fill="auto" w:val="clear"/>
          </w:tcPr>
          <w:p>
            <w:pPr>
              <w:pStyle w:val="TableContents"/>
              <w:spacing w:before="0" w:after="283"/>
              <w:rPr/>
            </w:pPr>
            <w:r>
              <w:rPr/>
              <w:t>By:</w:t>
            </w:r>
          </w:p>
        </w:tc>
        <w:tc>
          <w:tcPr>
            <w:tcW w:w="60" w:type="dxa"/>
            <w:tcBorders/>
            <w:shd w:fill="auto" w:val="clear"/>
            <w:vAlign w:val="bottom"/>
          </w:tcPr>
          <w:p>
            <w:pPr>
              <w:pStyle w:val="TableContents"/>
              <w:spacing w:before="0" w:after="283"/>
              <w:rPr/>
            </w:pPr>
            <w:r>
              <w:rPr/>
              <w:t> </w:t>
            </w:r>
          </w:p>
        </w:tc>
        <w:tc>
          <w:tcPr>
            <w:tcW w:w="3646" w:type="dxa"/>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Arno Harris</w:t>
            </w:r>
          </w:p>
        </w:tc>
      </w:tr>
      <w:tr>
        <w:trPr/>
        <w:tc>
          <w:tcPr>
            <w:tcW w:w="376"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46" w:type="dxa"/>
            <w:tcBorders/>
            <w:shd w:fill="auto" w:val="clear"/>
          </w:tcPr>
          <w:p>
            <w:pPr>
              <w:pStyle w:val="TableContents"/>
              <w:spacing w:before="0" w:after="283"/>
              <w:rPr/>
            </w:pPr>
            <w:r>
              <w:rPr/>
              <w:t>Arno Harris</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Registration and Shareholder Rights Agreement</w:t>
      </w:r>
      <w:r>
        <w:rPr>
          <w:rFonts w:ascii="Times New Roman" w:hAnsi="Times New Roman"/>
          <w:sz w:val="20"/>
        </w:rPr>
        <w:t xml:space="preserve">] </w:t>
      </w:r>
      <w:r>
        <w:br w:type="page"/>
      </w:r>
    </w:p>
    <w:p>
      <w:pPr>
        <w:pStyle w:val="HorizontalLine"/>
        <w:pBdr>
          <w:bottom w:val="double" w:sz="6" w:space="0" w:color="808080"/>
        </w:pBdr>
        <w:rPr/>
      </w:pPr>
      <w:r>
        <w:rPr/>
      </w:r>
    </w:p>
    <w:tbl>
      <w:tblPr>
        <w:tblW w:w="2000" w:type="pct"/>
        <w:jc w:val="right"/>
        <w:tblInd w:w="0" w:type="dxa"/>
        <w:tblCellMar>
          <w:top w:w="0" w:type="dxa"/>
          <w:left w:w="0" w:type="dxa"/>
          <w:bottom w:w="0" w:type="dxa"/>
          <w:right w:w="0" w:type="dxa"/>
        </w:tblCellMar>
      </w:tblPr>
      <w:tblGrid>
        <w:gridCol w:w="379"/>
        <w:gridCol w:w="61"/>
        <w:gridCol w:w="3642"/>
      </w:tblGrid>
      <w:tr>
        <w:trPr/>
        <w:tc>
          <w:tcPr>
            <w:tcW w:w="379"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sz w:val="4"/>
                <w:szCs w:val="4"/>
              </w:rPr>
            </w:pPr>
            <w:r>
              <w:rPr>
                <w:sz w:val="4"/>
                <w:szCs w:val="4"/>
              </w:rPr>
            </w:r>
          </w:p>
        </w:tc>
        <w:tc>
          <w:tcPr>
            <w:tcW w:w="3642" w:type="dxa"/>
            <w:tcBorders/>
            <w:shd w:fill="auto" w:val="clear"/>
            <w:vAlign w:val="center"/>
          </w:tcPr>
          <w:p>
            <w:pPr>
              <w:pStyle w:val="TableContents"/>
              <w:spacing w:before="0" w:after="283"/>
              <w:rPr>
                <w:sz w:val="4"/>
                <w:szCs w:val="4"/>
              </w:rPr>
            </w:pPr>
            <w:r>
              <w:rPr>
                <w:sz w:val="4"/>
                <w:szCs w:val="4"/>
              </w:rPr>
            </w:r>
          </w:p>
        </w:tc>
      </w:tr>
      <w:tr>
        <w:trPr/>
        <w:tc>
          <w:tcPr>
            <w:tcW w:w="379" w:type="dxa"/>
            <w:tcBorders/>
            <w:shd w:fill="auto" w:val="clear"/>
          </w:tcPr>
          <w:p>
            <w:pPr>
              <w:pStyle w:val="TableContents"/>
              <w:spacing w:before="0" w:after="283"/>
              <w:rPr/>
            </w:pPr>
            <w:r>
              <w:rPr/>
              <w:t>By:</w:t>
            </w:r>
          </w:p>
        </w:tc>
        <w:tc>
          <w:tcPr>
            <w:tcW w:w="61" w:type="dxa"/>
            <w:tcBorders/>
            <w:shd w:fill="auto" w:val="clear"/>
            <w:vAlign w:val="bottom"/>
          </w:tcPr>
          <w:p>
            <w:pPr>
              <w:pStyle w:val="TableContents"/>
              <w:spacing w:before="0" w:after="283"/>
              <w:rPr/>
            </w:pPr>
            <w:r>
              <w:rPr/>
              <w:t> </w:t>
            </w:r>
          </w:p>
        </w:tc>
        <w:tc>
          <w:tcPr>
            <w:tcW w:w="3642" w:type="dxa"/>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Ja-Chin Audrey Lee</w:t>
            </w:r>
          </w:p>
        </w:tc>
      </w:tr>
      <w:tr>
        <w:trPr/>
        <w:tc>
          <w:tcPr>
            <w:tcW w:w="379" w:type="dxa"/>
            <w:tcBorders/>
            <w:shd w:fill="auto" w:val="clear"/>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pPr>
            <w:r>
              <w:rPr/>
              <w:t> </w:t>
            </w:r>
          </w:p>
        </w:tc>
        <w:tc>
          <w:tcPr>
            <w:tcW w:w="3642" w:type="dxa"/>
            <w:tcBorders/>
            <w:shd w:fill="auto" w:val="clear"/>
          </w:tcPr>
          <w:p>
            <w:pPr>
              <w:pStyle w:val="TableContents"/>
              <w:spacing w:before="0" w:after="283"/>
              <w:rPr/>
            </w:pPr>
            <w:r>
              <w:rPr/>
              <w:t>Ja-Chin Audrey Lee</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Registration and Shareholder Rights Agreement</w:t>
      </w:r>
      <w:r>
        <w:rPr>
          <w:rFonts w:ascii="Times New Roman" w:hAnsi="Times New Roman"/>
          <w:sz w:val="20"/>
        </w:rPr>
        <w:t xml:space="preserve">] </w:t>
      </w:r>
      <w:r>
        <w:br w:type="page"/>
      </w:r>
    </w:p>
    <w:p>
      <w:pPr>
        <w:pStyle w:val="HorizontalLine"/>
        <w:pBdr>
          <w:bottom w:val="double" w:sz="6" w:space="0" w:color="808080"/>
        </w:pBdr>
        <w:rPr/>
      </w:pPr>
      <w:r>
        <w:rPr/>
      </w:r>
    </w:p>
    <w:tbl>
      <w:tblPr>
        <w:tblW w:w="2000" w:type="pct"/>
        <w:jc w:val="right"/>
        <w:tblInd w:w="0" w:type="dxa"/>
        <w:tblCellMar>
          <w:top w:w="0" w:type="dxa"/>
          <w:left w:w="0" w:type="dxa"/>
          <w:bottom w:w="0" w:type="dxa"/>
          <w:right w:w="0" w:type="dxa"/>
        </w:tblCellMar>
      </w:tblPr>
      <w:tblGrid>
        <w:gridCol w:w="374"/>
        <w:gridCol w:w="60"/>
        <w:gridCol w:w="3648"/>
      </w:tblGrid>
      <w:tr>
        <w:trPr/>
        <w:tc>
          <w:tcPr>
            <w:tcW w:w="37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648" w:type="dxa"/>
            <w:tcBorders/>
            <w:shd w:fill="auto" w:val="clear"/>
            <w:vAlign w:val="center"/>
          </w:tcPr>
          <w:p>
            <w:pPr>
              <w:pStyle w:val="TableContents"/>
              <w:spacing w:before="0" w:after="283"/>
              <w:rPr>
                <w:sz w:val="4"/>
                <w:szCs w:val="4"/>
              </w:rPr>
            </w:pPr>
            <w:r>
              <w:rPr>
                <w:sz w:val="4"/>
                <w:szCs w:val="4"/>
              </w:rPr>
            </w:r>
          </w:p>
        </w:tc>
      </w:tr>
      <w:tr>
        <w:trPr/>
        <w:tc>
          <w:tcPr>
            <w:tcW w:w="374" w:type="dxa"/>
            <w:tcBorders/>
            <w:shd w:fill="auto" w:val="clear"/>
          </w:tcPr>
          <w:p>
            <w:pPr>
              <w:pStyle w:val="TableContents"/>
              <w:spacing w:before="0" w:after="283"/>
              <w:rPr/>
            </w:pPr>
            <w:r>
              <w:rPr/>
              <w:t>By:</w:t>
            </w:r>
          </w:p>
        </w:tc>
        <w:tc>
          <w:tcPr>
            <w:tcW w:w="60" w:type="dxa"/>
            <w:tcBorders/>
            <w:shd w:fill="auto" w:val="clear"/>
            <w:vAlign w:val="bottom"/>
          </w:tcPr>
          <w:p>
            <w:pPr>
              <w:pStyle w:val="TableContents"/>
              <w:spacing w:before="0" w:after="283"/>
              <w:rPr/>
            </w:pPr>
            <w:r>
              <w:rPr/>
              <w:t> </w:t>
            </w:r>
          </w:p>
        </w:tc>
        <w:tc>
          <w:tcPr>
            <w:tcW w:w="3648" w:type="dxa"/>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Brian Goncher</w:t>
            </w:r>
          </w:p>
        </w:tc>
      </w:tr>
      <w:tr>
        <w:trPr/>
        <w:tc>
          <w:tcPr>
            <w:tcW w:w="374"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48" w:type="dxa"/>
            <w:tcBorders/>
            <w:shd w:fill="auto" w:val="clear"/>
          </w:tcPr>
          <w:p>
            <w:pPr>
              <w:pStyle w:val="TableContents"/>
              <w:spacing w:before="0" w:after="283"/>
              <w:rPr/>
            </w:pPr>
            <w:r>
              <w:rPr/>
              <w:t>Brian Goncher</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i/>
          <w:sz w:val="20"/>
        </w:rPr>
        <w:t>[Signature Page to Registration and Shareholder Rights Agreement</w:t>
      </w:r>
      <w:r>
        <w:rPr>
          <w:rFonts w:ascii="Times New Roman" w:hAnsi="Times New Roman"/>
          <w:sz w:val="20"/>
        </w:rPr>
        <w:t xml:space="preserve">] </w:t>
      </w:r>
      <w:r>
        <w:br w:type="page"/>
      </w:r>
    </w:p>
    <w:p>
      <w:pPr>
        <w:pStyle w:val="HorizontalLine"/>
        <w:pBdr>
          <w:bottom w:val="double" w:sz="6" w:space="0" w:color="808080"/>
        </w:pBdr>
        <w:rPr/>
      </w:pPr>
      <w:r>
        <w:rPr/>
      </w:r>
    </w:p>
    <w:tbl>
      <w:tblPr>
        <w:tblW w:w="2000" w:type="pct"/>
        <w:jc w:val="right"/>
        <w:tblInd w:w="0" w:type="dxa"/>
        <w:tblCellMar>
          <w:top w:w="0" w:type="dxa"/>
          <w:left w:w="0" w:type="dxa"/>
          <w:bottom w:w="0" w:type="dxa"/>
          <w:right w:w="0" w:type="dxa"/>
        </w:tblCellMar>
      </w:tblPr>
      <w:tblGrid>
        <w:gridCol w:w="376"/>
        <w:gridCol w:w="61"/>
        <w:gridCol w:w="3645"/>
      </w:tblGrid>
      <w:tr>
        <w:trPr/>
        <w:tc>
          <w:tcPr>
            <w:tcW w:w="376"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sz w:val="4"/>
                <w:szCs w:val="4"/>
              </w:rPr>
            </w:pPr>
            <w:r>
              <w:rPr>
                <w:sz w:val="4"/>
                <w:szCs w:val="4"/>
              </w:rPr>
            </w:r>
          </w:p>
        </w:tc>
        <w:tc>
          <w:tcPr>
            <w:tcW w:w="3645" w:type="dxa"/>
            <w:tcBorders/>
            <w:shd w:fill="auto" w:val="clear"/>
            <w:vAlign w:val="center"/>
          </w:tcPr>
          <w:p>
            <w:pPr>
              <w:pStyle w:val="TableContents"/>
              <w:spacing w:before="0" w:after="283"/>
              <w:rPr>
                <w:sz w:val="4"/>
                <w:szCs w:val="4"/>
              </w:rPr>
            </w:pPr>
            <w:r>
              <w:rPr>
                <w:sz w:val="4"/>
                <w:szCs w:val="4"/>
              </w:rPr>
            </w:r>
          </w:p>
        </w:tc>
      </w:tr>
      <w:tr>
        <w:trPr/>
        <w:tc>
          <w:tcPr>
            <w:tcW w:w="376" w:type="dxa"/>
            <w:tcBorders/>
            <w:shd w:fill="auto" w:val="clear"/>
          </w:tcPr>
          <w:p>
            <w:pPr>
              <w:pStyle w:val="TableContents"/>
              <w:spacing w:before="0" w:after="283"/>
              <w:rPr/>
            </w:pPr>
            <w:r>
              <w:rPr/>
              <w:t>By:</w:t>
            </w:r>
          </w:p>
        </w:tc>
        <w:tc>
          <w:tcPr>
            <w:tcW w:w="61" w:type="dxa"/>
            <w:tcBorders/>
            <w:shd w:fill="auto" w:val="clear"/>
            <w:vAlign w:val="bottom"/>
          </w:tcPr>
          <w:p>
            <w:pPr>
              <w:pStyle w:val="TableContents"/>
              <w:spacing w:before="0" w:after="283"/>
              <w:rPr/>
            </w:pPr>
            <w:r>
              <w:rPr/>
              <w:t> </w:t>
            </w:r>
          </w:p>
        </w:tc>
        <w:tc>
          <w:tcPr>
            <w:tcW w:w="3645" w:type="dxa"/>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Steven Berkenfeld</w:t>
            </w:r>
          </w:p>
        </w:tc>
      </w:tr>
      <w:tr>
        <w:trPr/>
        <w:tc>
          <w:tcPr>
            <w:tcW w:w="376" w:type="dxa"/>
            <w:tcBorders/>
            <w:shd w:fill="auto" w:val="clear"/>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pPr>
            <w:r>
              <w:rPr/>
              <w:t> </w:t>
            </w:r>
          </w:p>
        </w:tc>
        <w:tc>
          <w:tcPr>
            <w:tcW w:w="3645" w:type="dxa"/>
            <w:tcBorders/>
            <w:shd w:fill="auto" w:val="clear"/>
          </w:tcPr>
          <w:p>
            <w:pPr>
              <w:pStyle w:val="TableContents"/>
              <w:spacing w:before="0" w:after="283"/>
              <w:rPr/>
            </w:pPr>
            <w:r>
              <w:rPr/>
              <w:t>Steven Berkenfeld</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i/>
          <w:sz w:val="20"/>
        </w:rPr>
        <w:t>[Signature Page to Registration and Shareholder Rights Agreement</w:t>
      </w:r>
      <w:r>
        <w:rPr>
          <w:rFonts w:ascii="Times New Roman" w:hAnsi="Times New Roman"/>
          <w:sz w:val="20"/>
        </w:rPr>
        <w:t xml:space="preserve">] </w:t>
      </w:r>
      <w:r>
        <w:br w:type="page"/>
      </w:r>
    </w:p>
    <w:p>
      <w:pPr>
        <w:pStyle w:val="TextBody"/>
        <w:spacing w:before="0" w:after="0"/>
        <w:jc w:val="right"/>
        <w:rPr>
          <w:rFonts w:ascii="Times New Roman" w:hAnsi="Times New Roman"/>
          <w:b/>
          <w:sz w:val="20"/>
        </w:rPr>
      </w:pPr>
      <w:bookmarkStart w:id="14" w:name="d167128dex104.htm"/>
      <w:bookmarkStart w:id="15" w:name="ksd167128dex104"/>
      <w:bookmarkEnd w:id="14"/>
      <w:bookmarkEnd w:id="15"/>
      <w:r>
        <w:rPr>
          <w:rFonts w:ascii="Times New Roman" w:hAnsi="Times New Roman"/>
          <w:b/>
          <w:sz w:val="20"/>
        </w:rPr>
        <w:t xml:space="preserve">Exhibit 10.4 </w:t>
      </w:r>
    </w:p>
    <w:p>
      <w:pPr>
        <w:pStyle w:val="TextBody"/>
        <w:spacing w:before="240" w:after="0"/>
        <w:jc w:val="right"/>
        <w:rPr>
          <w:rFonts w:ascii="Times New Roman" w:hAnsi="Times New Roman"/>
          <w:sz w:val="20"/>
        </w:rPr>
      </w:pPr>
      <w:r>
        <w:rPr>
          <w:rFonts w:ascii="Times New Roman" w:hAnsi="Times New Roman"/>
          <w:sz w:val="20"/>
        </w:rPr>
        <w:t xml:space="preserve">March 25, 2021 </w:t>
      </w:r>
    </w:p>
    <w:p>
      <w:pPr>
        <w:pStyle w:val="TextBody"/>
        <w:spacing w:before="240" w:after="0"/>
        <w:jc w:val="left"/>
        <w:rPr>
          <w:rFonts w:ascii="Times New Roman" w:hAnsi="Times New Roman"/>
          <w:sz w:val="20"/>
        </w:rPr>
      </w:pPr>
      <w:r>
        <w:rPr>
          <w:rFonts w:ascii="Times New Roman" w:hAnsi="Times New Roman"/>
          <w:sz w:val="20"/>
        </w:rPr>
        <w:t xml:space="preserve">ArcLight Clean Transition Corp. II </w:t>
      </w:r>
    </w:p>
    <w:p>
      <w:pPr>
        <w:pStyle w:val="TextBody"/>
        <w:spacing w:before="0" w:after="0"/>
        <w:jc w:val="left"/>
        <w:rPr>
          <w:rFonts w:ascii="Times New Roman" w:hAnsi="Times New Roman"/>
          <w:sz w:val="20"/>
        </w:rPr>
      </w:pPr>
      <w:r>
        <w:rPr>
          <w:rFonts w:ascii="Times New Roman" w:hAnsi="Times New Roman"/>
          <w:sz w:val="20"/>
        </w:rPr>
        <w:t xml:space="preserve">200 Clarendon Street, 55th Floor </w:t>
      </w:r>
    </w:p>
    <w:p>
      <w:pPr>
        <w:pStyle w:val="TextBody"/>
        <w:spacing w:before="0" w:after="0"/>
        <w:jc w:val="left"/>
        <w:rPr>
          <w:rFonts w:ascii="Times New Roman" w:hAnsi="Times New Roman"/>
          <w:sz w:val="20"/>
        </w:rPr>
      </w:pPr>
      <w:r>
        <w:rPr>
          <w:rFonts w:ascii="Times New Roman" w:hAnsi="Times New Roman"/>
          <w:sz w:val="20"/>
        </w:rPr>
        <w:t xml:space="preserve">Boston MA 02116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10"/>
        <w:gridCol w:w="9288"/>
      </w:tblGrid>
      <w:tr>
        <w:trPr/>
        <w:tc>
          <w:tcPr>
            <w:tcW w:w="407"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Re:</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u w:val="single"/>
              </w:rPr>
              <w:t>Initial Public Offering</w:t>
            </w:r>
            <w:r>
              <w:rPr>
                <w:rFonts w:ascii="Times New Roman" w:hAnsi="Times New Roman"/>
                <w:sz w:val="20"/>
              </w:rPr>
              <w:t xml:space="preserve"> </w:t>
            </w:r>
          </w:p>
        </w:tc>
      </w:tr>
    </w:tbl>
    <w:p>
      <w:pPr>
        <w:pStyle w:val="TextBody"/>
        <w:spacing w:before="240" w:after="0"/>
        <w:jc w:val="left"/>
        <w:rPr>
          <w:rFonts w:ascii="Times New Roman" w:hAnsi="Times New Roman"/>
          <w:sz w:val="20"/>
        </w:rPr>
      </w:pPr>
      <w:r>
        <w:rPr>
          <w:rFonts w:ascii="Times New Roman" w:hAnsi="Times New Roman"/>
          <w:sz w:val="20"/>
        </w:rPr>
        <w:t xml:space="preserve">Ladies and Gentlemen: </w:t>
      </w:r>
    </w:p>
    <w:p>
      <w:pPr>
        <w:pStyle w:val="TextBody"/>
        <w:spacing w:before="240" w:after="0"/>
        <w:jc w:val="left"/>
        <w:rPr>
          <w:rFonts w:ascii="Times New Roman" w:hAnsi="Times New Roman"/>
          <w:sz w:val="20"/>
        </w:rPr>
      </w:pPr>
      <w:r>
        <w:rPr>
          <w:rFonts w:ascii="Times New Roman" w:hAnsi="Times New Roman"/>
          <w:sz w:val="20"/>
        </w:rPr>
        <w:t>This letter (this </w:t>
      </w:r>
      <w:r>
        <w:rPr>
          <w:rFonts w:ascii="Times New Roman" w:hAnsi="Times New Roman"/>
          <w:b/>
          <w:i/>
          <w:sz w:val="20"/>
        </w:rPr>
        <w:t>Letter Agreement</w:t>
      </w:r>
      <w:r>
        <w:rPr>
          <w:rFonts w:ascii="Times New Roman" w:hAnsi="Times New Roman"/>
          <w:sz w:val="20"/>
        </w:rPr>
        <w:t>) is being delivered to you in accordance with the Underwriting Agreement (the </w:t>
      </w:r>
      <w:r>
        <w:rPr>
          <w:rFonts w:ascii="Times New Roman" w:hAnsi="Times New Roman"/>
          <w:b/>
          <w:i/>
          <w:sz w:val="20"/>
        </w:rPr>
        <w:t>Underwriting Agreement</w:t>
      </w:r>
      <w:r>
        <w:rPr>
          <w:rFonts w:ascii="Times New Roman" w:hAnsi="Times New Roman"/>
          <w:sz w:val="20"/>
        </w:rPr>
        <w:t>) entered into by and among ArcLight Clean Transition Corp. II, a Cayman Islands exempted company (the </w:t>
      </w:r>
      <w:r>
        <w:rPr>
          <w:rFonts w:ascii="Times New Roman" w:hAnsi="Times New Roman"/>
          <w:b/>
          <w:i/>
          <w:sz w:val="20"/>
        </w:rPr>
        <w:t>Company</w:t>
      </w:r>
      <w:r>
        <w:rPr>
          <w:rFonts w:ascii="Times New Roman" w:hAnsi="Times New Roman"/>
          <w:sz w:val="20"/>
        </w:rPr>
        <w:t>), Citigroup Global Markets Inc. and Barclays Capital Inc. as the underwriters (the </w:t>
      </w:r>
      <w:r>
        <w:rPr>
          <w:rFonts w:ascii="Times New Roman" w:hAnsi="Times New Roman"/>
          <w:b/>
          <w:i/>
          <w:sz w:val="20"/>
        </w:rPr>
        <w:t>Underwriters</w:t>
      </w:r>
      <w:r>
        <w:rPr>
          <w:rFonts w:ascii="Times New Roman" w:hAnsi="Times New Roman"/>
          <w:sz w:val="20"/>
        </w:rPr>
        <w:t>), relating to an underwritten initial public offering (the </w:t>
      </w:r>
      <w:r>
        <w:rPr>
          <w:rFonts w:ascii="Times New Roman" w:hAnsi="Times New Roman"/>
          <w:b/>
          <w:i/>
          <w:sz w:val="20"/>
        </w:rPr>
        <w:t>Public Offering</w:t>
      </w:r>
      <w:r>
        <w:rPr>
          <w:rFonts w:ascii="Times New Roman" w:hAnsi="Times New Roman"/>
          <w:sz w:val="20"/>
        </w:rPr>
        <w:t>) of 31,625,000 of the Companys units (including 4,125,000 units that may be purchased pursuant to the Underwriters option to purchase additional units, the </w:t>
      </w:r>
      <w:r>
        <w:rPr>
          <w:rFonts w:ascii="Times New Roman" w:hAnsi="Times New Roman"/>
          <w:b/>
          <w:i/>
          <w:sz w:val="20"/>
        </w:rPr>
        <w:t>Units</w:t>
      </w:r>
      <w:r>
        <w:rPr>
          <w:rFonts w:ascii="Times New Roman" w:hAnsi="Times New Roman"/>
          <w:sz w:val="20"/>
        </w:rPr>
        <w:t>), each comprising of one of the Companys Class A ordinary shares, par value $0.0001 per share (the </w:t>
      </w:r>
      <w:r>
        <w:rPr>
          <w:rFonts w:ascii="Times New Roman" w:hAnsi="Times New Roman"/>
          <w:b/>
          <w:i/>
          <w:sz w:val="20"/>
        </w:rPr>
        <w:t>Ordinary Shares</w:t>
      </w:r>
      <w:r>
        <w:rPr>
          <w:rFonts w:ascii="Times New Roman" w:hAnsi="Times New Roman"/>
          <w:sz w:val="20"/>
        </w:rPr>
        <w:t>), and one-fifth of one redeemable warrant (each whole warrant, a </w:t>
      </w:r>
      <w:r>
        <w:rPr>
          <w:rFonts w:ascii="Times New Roman" w:hAnsi="Times New Roman"/>
          <w:b/>
          <w:i/>
          <w:sz w:val="20"/>
        </w:rPr>
        <w:t>Warrant</w:t>
      </w:r>
      <w:r>
        <w:rPr>
          <w:rFonts w:ascii="Times New Roman" w:hAnsi="Times New Roman"/>
          <w:sz w:val="20"/>
        </w:rPr>
        <w:t>). Each Warrant entitles the holder thereof to purchase one Ordinary Share at a price of $11.50 per share, subject to adjustment. The Units will be sold in the Public Offering pursuant to a registration statement on Form S-1 and a prospectus (the </w:t>
      </w:r>
      <w:r>
        <w:rPr>
          <w:rFonts w:ascii="Times New Roman" w:hAnsi="Times New Roman"/>
          <w:b/>
          <w:i/>
          <w:sz w:val="20"/>
        </w:rPr>
        <w:t>Prospectus</w:t>
      </w:r>
      <w:r>
        <w:rPr>
          <w:rFonts w:ascii="Times New Roman" w:hAnsi="Times New Roman"/>
          <w:sz w:val="20"/>
        </w:rPr>
        <w:t>) filed by the Company with the U.S. Securities and Exchange Commission (the </w:t>
      </w:r>
      <w:r>
        <w:rPr>
          <w:rFonts w:ascii="Times New Roman" w:hAnsi="Times New Roman"/>
          <w:b/>
          <w:i/>
          <w:sz w:val="20"/>
        </w:rPr>
        <w:t>Commission</w:t>
      </w:r>
      <w:r>
        <w:rPr>
          <w:rFonts w:ascii="Times New Roman" w:hAnsi="Times New Roman"/>
          <w:sz w:val="20"/>
        </w:rPr>
        <w:t xml:space="preserve">). Certain capitalized terms used herein are defined in </w:t>
      </w:r>
      <w:r>
        <w:rPr>
          <w:rFonts w:ascii="Times New Roman" w:hAnsi="Times New Roman"/>
          <w:sz w:val="20"/>
          <w:u w:val="single"/>
        </w:rPr>
        <w:t>paragraph 1</w:t>
      </w:r>
      <w:r>
        <w:rPr>
          <w:rFonts w:ascii="Times New Roman" w:hAnsi="Times New Roman"/>
          <w:sz w:val="20"/>
        </w:rPr>
        <w:t xml:space="preserve"> hereof. </w:t>
      </w:r>
    </w:p>
    <w:p>
      <w:pPr>
        <w:pStyle w:val="TextBody"/>
        <w:spacing w:before="240" w:after="0"/>
        <w:jc w:val="left"/>
        <w:rPr>
          <w:rFonts w:ascii="Times New Roman" w:hAnsi="Times New Roman"/>
          <w:sz w:val="20"/>
        </w:rPr>
      </w:pPr>
      <w:r>
        <w:rPr>
          <w:rFonts w:ascii="Times New Roman" w:hAnsi="Times New Roman"/>
          <w:sz w:val="20"/>
        </w:rPr>
        <w:t>In order to induce the Company and the Underwriter to enter into the Underwriting Agreement and to proceed with the Public Offering and for other good and valuable consideration, the receipt and sufficiency of which are hereby acknowledged, ArcLight CTC Holdings II, L.P. (the </w:t>
      </w:r>
      <w:r>
        <w:rPr>
          <w:rFonts w:ascii="Times New Roman" w:hAnsi="Times New Roman"/>
          <w:b/>
          <w:i/>
          <w:sz w:val="20"/>
        </w:rPr>
        <w:t>Sponsor</w:t>
      </w:r>
      <w:r>
        <w:rPr>
          <w:rFonts w:ascii="Times New Roman" w:hAnsi="Times New Roman"/>
          <w:sz w:val="20"/>
        </w:rPr>
        <w:t>) and each of the undersigned (each, an </w:t>
      </w:r>
      <w:r>
        <w:rPr>
          <w:rFonts w:ascii="Times New Roman" w:hAnsi="Times New Roman"/>
          <w:b/>
          <w:i/>
          <w:sz w:val="20"/>
        </w:rPr>
        <w:t>Insider</w:t>
      </w:r>
      <w:r>
        <w:rPr>
          <w:rFonts w:ascii="Times New Roman" w:hAnsi="Times New Roman"/>
          <w:sz w:val="20"/>
        </w:rPr>
        <w:t> and, collectively, the </w:t>
      </w:r>
      <w:r>
        <w:rPr>
          <w:rFonts w:ascii="Times New Roman" w:hAnsi="Times New Roman"/>
          <w:b/>
          <w:i/>
          <w:sz w:val="20"/>
        </w:rPr>
        <w:t>Insiders</w:t>
      </w:r>
      <w:r>
        <w:rPr>
          <w:rFonts w:ascii="Times New Roman" w:hAnsi="Times New Roman"/>
          <w:sz w:val="20"/>
        </w:rPr>
        <w:t xml:space="preserve">) hereby agree with the Company as follows: </w:t>
      </w:r>
    </w:p>
    <w:p>
      <w:pPr>
        <w:pStyle w:val="TextBody"/>
        <w:spacing w:before="240" w:after="0"/>
        <w:jc w:val="left"/>
        <w:rPr>
          <w:rFonts w:ascii="Times New Roman" w:hAnsi="Times New Roman"/>
          <w:sz w:val="20"/>
        </w:rPr>
      </w:pPr>
      <w:r>
        <w:rPr>
          <w:rFonts w:ascii="Times New Roman" w:hAnsi="Times New Roman"/>
          <w:sz w:val="20"/>
        </w:rPr>
        <w:t>1.    </w:t>
      </w:r>
      <w:r>
        <w:rPr>
          <w:rFonts w:ascii="Times New Roman" w:hAnsi="Times New Roman"/>
          <w:sz w:val="20"/>
          <w:u w:val="single"/>
        </w:rPr>
        <w:t>Definitions</w:t>
      </w:r>
      <w:r>
        <w:rPr>
          <w:rFonts w:ascii="Times New Roman" w:hAnsi="Times New Roman"/>
          <w:sz w:val="20"/>
        </w:rPr>
        <w:t>. As used herein, (i) </w:t>
      </w:r>
      <w:r>
        <w:rPr>
          <w:rFonts w:ascii="Times New Roman" w:hAnsi="Times New Roman"/>
          <w:b/>
          <w:i/>
          <w:sz w:val="20"/>
        </w:rPr>
        <w:t>Business Combination</w:t>
      </w:r>
      <w:r>
        <w:rPr>
          <w:rFonts w:ascii="Times New Roman" w:hAnsi="Times New Roman"/>
          <w:sz w:val="20"/>
        </w:rPr>
        <w:t> shall mean a merger, share exchange, asset acquisition, share purchase, reorganization or similar business combination with one or more businesses or entities; (ii) </w:t>
      </w:r>
      <w:r>
        <w:rPr>
          <w:rFonts w:ascii="Times New Roman" w:hAnsi="Times New Roman"/>
          <w:b/>
          <w:i/>
          <w:sz w:val="20"/>
        </w:rPr>
        <w:t>Founder Shares</w:t>
      </w:r>
      <w:r>
        <w:rPr>
          <w:rFonts w:ascii="Times New Roman" w:hAnsi="Times New Roman"/>
          <w:sz w:val="20"/>
        </w:rPr>
        <w:t> shall mean the 7,906,250 Class B ordinary shares of the Company, par value $0.0001 per share, outstanding prior to the consummation of the Public Offering; (iii) </w:t>
      </w:r>
      <w:r>
        <w:rPr>
          <w:rFonts w:ascii="Times New Roman" w:hAnsi="Times New Roman"/>
          <w:b/>
          <w:i/>
          <w:sz w:val="20"/>
        </w:rPr>
        <w:t>Private Placement Warrants</w:t>
      </w:r>
      <w:r>
        <w:rPr>
          <w:rFonts w:ascii="Times New Roman" w:hAnsi="Times New Roman"/>
          <w:sz w:val="20"/>
        </w:rPr>
        <w:t> shall mean the warrants to purchase Ordinary Shares of the Company that will be acquired by the Sponsor for an aggregate purchase price of $8,500,000 (or up to $9,325,000 if the Underwriters exercise their option to purchase additional units), or $1.00 per Warrant, in a private placement that shall close simultaneously with the consummation of the Public Offering (including Ordinary Shares issuable upon conversion thereof); (iv) </w:t>
      </w:r>
      <w:r>
        <w:rPr>
          <w:rFonts w:ascii="Times New Roman" w:hAnsi="Times New Roman"/>
          <w:b/>
          <w:i/>
          <w:sz w:val="20"/>
        </w:rPr>
        <w:t>Public Shareholders</w:t>
      </w:r>
      <w:r>
        <w:rPr>
          <w:rFonts w:ascii="Times New Roman" w:hAnsi="Times New Roman"/>
          <w:sz w:val="20"/>
        </w:rPr>
        <w:t> shall mean the holders of Ordinary Shares included in the Units issued in the Public Offering; (v) </w:t>
      </w:r>
      <w:r>
        <w:rPr>
          <w:rFonts w:ascii="Times New Roman" w:hAnsi="Times New Roman"/>
          <w:b/>
          <w:i/>
          <w:sz w:val="20"/>
        </w:rPr>
        <w:t>Public Shares</w:t>
      </w:r>
      <w:r>
        <w:rPr>
          <w:rFonts w:ascii="Times New Roman" w:hAnsi="Times New Roman"/>
          <w:sz w:val="20"/>
        </w:rPr>
        <w:t> shall mean the Ordinary Shares included in the Units issued in the Public Offering; (vi) </w:t>
      </w:r>
      <w:r>
        <w:rPr>
          <w:rFonts w:ascii="Times New Roman" w:hAnsi="Times New Roman"/>
          <w:b/>
          <w:i/>
          <w:sz w:val="20"/>
        </w:rPr>
        <w:t>Trust Account</w:t>
      </w:r>
      <w:r>
        <w:rPr>
          <w:rFonts w:ascii="Times New Roman" w:hAnsi="Times New Roman"/>
          <w:sz w:val="20"/>
        </w:rPr>
        <w:t> shall mean the trust account into which a portion of the net proceeds of the Public Offering and the sale of the Private Placement Warrants shall be deposited; (vii) </w:t>
      </w:r>
      <w:r>
        <w:rPr>
          <w:rFonts w:ascii="Times New Roman" w:hAnsi="Times New Roman"/>
          <w:b/>
          <w:i/>
          <w:sz w:val="20"/>
        </w:rPr>
        <w:t>Transfer</w:t>
      </w:r>
      <w:r>
        <w:rPr>
          <w:rFonts w:ascii="Times New Roman" w:hAnsi="Times New Roman"/>
          <w:sz w:val="20"/>
        </w:rPr>
        <w:t xml:space="preserve"> shall mean the (a) sale of, offer to sell, contract or agreement to sell, hypothecate, pledge, grant of any option to purchase or otherwise dispose of or agreement to dispose of, directly or indirectly, or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establishment or increase of a put equivalent position or liquidation with respect to or decrease of a call equivalent position within the meaning of Section 16 of the Securities Exchange Act of 1934, as amended, and the rules and regulations of the Commission promulgated thereunder with respect to, any security, (b) entry into any swap or other arrangement that transfers to another, in whole or in part, any of the economic consequences of ownership of any security, whether any such transaction is to be settled by delivery of such securities, in cash or otherwise, or (c) public announcement of any intention to effect any transaction specified in clause (a) or (b); and (viii) </w:t>
      </w:r>
      <w:r>
        <w:rPr>
          <w:rFonts w:ascii="Times New Roman" w:hAnsi="Times New Roman"/>
          <w:b/>
          <w:i/>
          <w:sz w:val="20"/>
        </w:rPr>
        <w:t>Charter</w:t>
      </w:r>
      <w:r>
        <w:rPr>
          <w:rFonts w:ascii="Times New Roman" w:hAnsi="Times New Roman"/>
          <w:sz w:val="20"/>
        </w:rPr>
        <w:t xml:space="preserve"> shall mean the Companys Amended and Restated Memorandum and Articles of Association, as the same may be amended from time to time. </w:t>
      </w:r>
    </w:p>
    <w:p>
      <w:pPr>
        <w:pStyle w:val="TextBody"/>
        <w:spacing w:before="360" w:after="0"/>
        <w:jc w:val="left"/>
        <w:rPr>
          <w:rFonts w:ascii="Times New Roman" w:hAnsi="Times New Roman"/>
          <w:sz w:val="20"/>
        </w:rPr>
      </w:pPr>
      <w:r>
        <w:rPr>
          <w:rFonts w:ascii="Times New Roman" w:hAnsi="Times New Roman"/>
          <w:sz w:val="20"/>
        </w:rPr>
        <w:t>2.    </w:t>
      </w:r>
      <w:r>
        <w:rPr>
          <w:rFonts w:ascii="Times New Roman" w:hAnsi="Times New Roman"/>
          <w:sz w:val="20"/>
          <w:u w:val="single"/>
        </w:rPr>
        <w:t>Representations and Warranties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(a)    The Sponsor and each Insider, with respect to itself, herself or himself, represent and warrant to the Company that it, she or he has the full right and power, without violating any agreement to which it, she or he is bound (including, without limitation, any non-competition or non-solicitation agreement with any employer or former employer), to enter into this Letter Agreement, as applicable, and to serve as an officer of the Company and/or a director on the Companys Board of Director (the </w:t>
      </w:r>
      <w:r>
        <w:rPr>
          <w:rFonts w:ascii="Times New Roman" w:hAnsi="Times New Roman"/>
          <w:b/>
          <w:i/>
          <w:sz w:val="20"/>
        </w:rPr>
        <w:t>Board</w:t>
      </w:r>
      <w:r>
        <w:rPr>
          <w:rFonts w:ascii="Times New Roman" w:hAnsi="Times New Roman"/>
          <w:sz w:val="20"/>
        </w:rPr>
        <w:t xml:space="preserve">), as applicable, and each Insider hereby consents to being named in the Prospectus, road show and any other materials as an officer and/or director of the Company, as applicable. </w:t>
      </w:r>
    </w:p>
    <w:p>
      <w:pPr>
        <w:pStyle w:val="TextBody"/>
        <w:spacing w:before="240" w:after="0"/>
        <w:jc w:val="left"/>
        <w:rPr>
          <w:rFonts w:ascii="Times New Roman" w:hAnsi="Times New Roman"/>
          <w:sz w:val="20"/>
        </w:rPr>
      </w:pPr>
      <w:r>
        <w:rPr>
          <w:rFonts w:ascii="Times New Roman" w:hAnsi="Times New Roman"/>
          <w:sz w:val="20"/>
        </w:rPr>
        <w:t xml:space="preserve">(b)    Each Insider represents and warrants, with respect to herself or himself, that such Insiders biographical information furnished to the Company (including any such information included in the Prospectus) is true and accurate in all material respects and does not omit any material information with respect to such Insiders background. The Insiders questionnaire furnished to the Company is true and accurate in all material respects. Each Insider represents and warrants that such Insider is not subject to or a respondent in any legal action for, any injunction, cease-and-desist order or order or stipulation to desist or refrain from any act or practice relating to the offering of securities in any jurisdiction; such Insider has never been convicted of, or pleaded guilty to, any crime (i) involving fraud, (ii) relating to any financial transaction or handling of funds of another person, or (iii) pertaining to any dealings in any securities and such Insider is not currently a defendant in any such criminal proceeding; and such Insider has never been suspended or expelled from membership in any securities or commodities exchange or association or had a securities or commodities license or registration denied, suspended or revoked. </w:t>
      </w:r>
    </w:p>
    <w:p>
      <w:pPr>
        <w:pStyle w:val="TextBody"/>
        <w:spacing w:before="240" w:after="0"/>
        <w:jc w:val="left"/>
        <w:rPr>
          <w:rFonts w:ascii="Times New Roman" w:hAnsi="Times New Roman"/>
          <w:sz w:val="20"/>
        </w:rPr>
      </w:pPr>
      <w:r>
        <w:rPr>
          <w:rFonts w:ascii="Times New Roman" w:hAnsi="Times New Roman"/>
          <w:sz w:val="20"/>
        </w:rPr>
        <w:t>3.    </w:t>
      </w:r>
      <w:r>
        <w:rPr>
          <w:rFonts w:ascii="Times New Roman" w:hAnsi="Times New Roman"/>
          <w:sz w:val="20"/>
          <w:u w:val="single"/>
        </w:rPr>
        <w:t>Business Combination Vote</w:t>
      </w:r>
      <w:r>
        <w:rPr>
          <w:rFonts w:ascii="Times New Roman" w:hAnsi="Times New Roman"/>
          <w:sz w:val="20"/>
        </w:rPr>
        <w:t xml:space="preserve">. It is acknowledged and agreed that the Company shall not enter into a definitive agreement regarding a proposed Business Combination without the prior consent of the Sponsor. The Sponsor and each Insider, with respect to itself or herself or himself, agrees that if the Company seeks shareholder approval of a proposed initial Business Combination, then in connection with such proposed initial Business Combination, it, she or he, as applicable, shall vote all Founder Shares and any Public Shares held by it, her or him, as applicable, in favor of such proposed initial Business Combination (including any proposals recommended by the Board in connection with such Business Combination) and not redeem any Public Shares held by it, her or him, as applicable, in connection with such shareholder approval.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4.    </w:t>
      </w:r>
      <w:r>
        <w:rPr>
          <w:rFonts w:ascii="Times New Roman" w:hAnsi="Times New Roman"/>
          <w:sz w:val="20"/>
          <w:u w:val="single"/>
        </w:rPr>
        <w:t>Failure to Consummate a Business Combination; Trust Account Waiver</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(a)    The Sponsor and each Insider hereby agree, with respect to itself, herself or himself, that in the event that the Company fails to consummate its initial Business Combination within the time period set forth in the Charter, the Sponsor and each Insider shall take all reasonable steps to cause the Company to (i) cease all operations except for the purpose of winding up; (ii) as promptly as reasonably possible but not more than 10 business days thereafter, redeem 100% of the Public Shares, at a per-share price, payable in cash, equal to the aggregate amount then on deposit in the Trust Account, including interest earned on the funds held in the Trust Account and not previously released to the Company to pay income taxes (less up to $100,000 of interest to pay dissolution expenses), divided by the number of then 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the Companys remaining shareholders and the Board, liquidate and dissolve, subject in each case of to the Companys obligations under Cayman Islands law to provide for claims of creditors and in all cases subject to the other requirements of applicable law. The Sponsor and each Insider agree not to propose any amendment to the Charter (i) that would modify the substance or timing of the Companys obligation to provide holders of the Public Shares the right to have their shares redeemed in connection with an initial Business Combination or to redeem 100% of the Public Shares if the Company does not complete an initial Business Combination within the required time period set forth in the Charter or (ii) with respect to any provision relating to the rights of holders of Public Shares unless the Company provides its Public Shareholders with the opportunity to redeem their Public Shares upon approval of any such amendment at a per-share price, payable in cash, equal to the aggregate amount then on deposit in the Trust Account, including interest earned on the funds held in the Trust Account and not previously released to the Company to pay taxes, if any, divided by the number of then-outstanding Public Shares. </w:t>
      </w:r>
    </w:p>
    <w:p>
      <w:pPr>
        <w:pStyle w:val="TextBody"/>
        <w:spacing w:before="240" w:after="0"/>
        <w:jc w:val="left"/>
        <w:rPr>
          <w:rFonts w:ascii="Times New Roman" w:hAnsi="Times New Roman"/>
          <w:sz w:val="20"/>
        </w:rPr>
      </w:pPr>
      <w:r>
        <w:rPr>
          <w:rFonts w:ascii="Times New Roman" w:hAnsi="Times New Roman"/>
          <w:sz w:val="20"/>
        </w:rPr>
        <w:t xml:space="preserve">(b)    The Sponsor and each Insider, with respect to itself, herself or himself, acknowledges that it, she or he has no right, title, interest or claim of any kind in or to any monies held in the Trust Account or any other asset of the Company as a result of any liquidation of the Company with respect to the Founder Shares held by it, her or him, if any. The Sponsor and each of the Insiders hereby further waive, with respect to any Founder Shares and Public Shares held by it, her or him, as applicable, any redemption rights it, she or he may have in connection with the consummation of a Business Combination, including, without limitation, any such rights available in the context of a shareholder vote to approve such Business Combination or a shareholder vote to approve an amendment to the Charter (i) that would modify the substance or timing of the Companys obligation to provide holders of the Public Shares the right to have their shares redeemed in connection with an initial Business Combination or to redeem 100% of the Public Shares if the Company has not consummated an initial Business Combination within the time period set forth in the Charter or (ii) with respect to any provision relating to the rights of holders of Public Shares (although the Sponsor and the Insiders shall be entitled to liquidation rights with respect to any Public Shares they hold if the Company fails to consummate a Business Combination within the required time period set forth in the Charter).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5.    </w:t>
      </w:r>
      <w:r>
        <w:rPr>
          <w:rFonts w:ascii="Times New Roman" w:hAnsi="Times New Roman"/>
          <w:sz w:val="20"/>
          <w:u w:val="single"/>
        </w:rPr>
        <w:t>Lock-up; Transfer Restrictions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(a)    The Sponsor and the Insiders agree that they shall not Transfer any Founder Shares (the </w:t>
      </w:r>
      <w:r>
        <w:rPr>
          <w:rFonts w:ascii="Times New Roman" w:hAnsi="Times New Roman"/>
          <w:b/>
          <w:i/>
          <w:sz w:val="20"/>
        </w:rPr>
        <w:t>Founder Shares Lock-up</w:t>
      </w:r>
      <w:r>
        <w:rPr>
          <w:rFonts w:ascii="Times New Roman" w:hAnsi="Times New Roman"/>
          <w:sz w:val="20"/>
        </w:rPr>
        <w:t>) until the earliest of (A) one year after the completion of an initial Business Combination and (B) the date following the completion of an initial Business Combination on which the Company completes a liquidation, merger, share exchange or other similar transaction that results in all of the Companys shareholders having the right to exchange their Ordinary Shares for cash, securities or other property (the </w:t>
      </w:r>
      <w:r>
        <w:rPr>
          <w:rFonts w:ascii="Times New Roman" w:hAnsi="Times New Roman"/>
          <w:b/>
          <w:i/>
          <w:sz w:val="20"/>
        </w:rPr>
        <w:t>Founder Shares Lock-up Period</w:t>
      </w:r>
      <w:r>
        <w:rPr>
          <w:rFonts w:ascii="Times New Roman" w:hAnsi="Times New Roman"/>
          <w:sz w:val="20"/>
        </w:rPr>
        <w:t xml:space="preserve">). Notwithstanding the foregoing, if, subsequent to a Business Combination, the closing price of the Ordinary Shares equals or exceeds $12.00 per share (as adjusted for share sub-divisions, share capitalizations, share consolidations, reorganizations, recapitalizations and the like) for any 20 trading days within a 30-trading day period commencing at least 150 days after the Companys initial Business Combination, the Founder Shares shall be released from the Founder Shares Lock-up. </w:t>
      </w:r>
    </w:p>
    <w:p>
      <w:pPr>
        <w:pStyle w:val="TextBody"/>
        <w:spacing w:before="240" w:after="0"/>
        <w:jc w:val="left"/>
        <w:rPr>
          <w:rFonts w:ascii="Times New Roman" w:hAnsi="Times New Roman"/>
          <w:sz w:val="20"/>
        </w:rPr>
      </w:pPr>
      <w:r>
        <w:rPr>
          <w:rFonts w:ascii="Times New Roman" w:hAnsi="Times New Roman"/>
          <w:sz w:val="20"/>
        </w:rPr>
        <w:t xml:space="preserve">(b)    The Sponsor and Insiders agree that they shall not effectuate any Transfer of Private Placement Warrants or Ordinary Shares underlying such warrants until 30 days after the completion of an initial Business Combination. </w:t>
      </w:r>
    </w:p>
    <w:p>
      <w:pPr>
        <w:pStyle w:val="TextBody"/>
        <w:spacing w:before="240" w:after="0"/>
        <w:jc w:val="left"/>
        <w:rPr>
          <w:rFonts w:ascii="Times New Roman" w:hAnsi="Times New Roman"/>
          <w:sz w:val="20"/>
        </w:rPr>
      </w:pPr>
      <w:r>
        <w:rPr>
          <w:rFonts w:ascii="Times New Roman" w:hAnsi="Times New Roman"/>
          <w:sz w:val="20"/>
        </w:rPr>
        <w:t xml:space="preserve">(c)    Notwithstanding the provisions set forth in </w:t>
      </w:r>
      <w:r>
        <w:rPr>
          <w:rFonts w:ascii="Times New Roman" w:hAnsi="Times New Roman"/>
          <w:sz w:val="20"/>
          <w:u w:val="single"/>
        </w:rPr>
        <w:t>paragraphs 5(a)</w:t>
      </w:r>
      <w:r>
        <w:rPr>
          <w:rFonts w:ascii="Times New Roman" w:hAnsi="Times New Roman"/>
          <w:sz w:val="20"/>
        </w:rPr>
        <w:t xml:space="preserve"> and </w:t>
      </w:r>
      <w:r>
        <w:rPr>
          <w:rFonts w:ascii="Times New Roman" w:hAnsi="Times New Roman"/>
          <w:sz w:val="20"/>
          <w:u w:val="single"/>
        </w:rPr>
        <w:t>(b)</w:t>
      </w:r>
      <w:r>
        <w:rPr>
          <w:rFonts w:ascii="Times New Roman" w:hAnsi="Times New Roman"/>
          <w:sz w:val="20"/>
        </w:rPr>
        <w:t xml:space="preserve">, Transfers of the Founder Shares, Private Placement Warrants and Ordinary Shares underlying the Private Placement Warrants are permitted: (a) to the Companys officers or directors, any affiliate or family member of any of the Companys officers or directors, any members or partners of the Sponsor or their affiliates, any affiliates of the Sponsor, or any employees of such affiliates; (b) in the case of an individual, by gift to a member of one of the individuals immediate family or to a trust, the beneficiary of which is a member of the individuals immediate family, an affiliate of such person or to a charitable organization; (c) in the case of an individual, by virtue of laws of descent and distribution upon death of the individual; (d) in the case of an individual, pursuant to a qualified domestic relations order; (e) by private sales or transfers made in connection with any forward purchase agreement or similar arrangement or in connection with the consummation of a Business Combination at prices no greater than the price at which the Founder Shares, Private Placement Warrants or Ordinary Shares, as applicable, were originally purchased; (f) by virtue of the Sponsors organizational documents upon liquidation or dissolution of the Sponsor; (g) to the Company for no value for cancellation in connection with the consummation of an initial Business Combination; (h) in the event of the Companys liquidation prior to the completion of a Business Combination; or (i) in the event of completion of a liquidation, merger, share exchange or other similar transaction which results in all of the Companys Public Shareholders having the right to exchange their Ordinary Shares for cash, securities or other property subsequent to the completion of an initial Business Combination;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the case of clauses (a) through (f) these permitted transferees must enter into a written agreement agreeing to be bound by the transfer restrictions set forth in this Agreement. </w:t>
      </w:r>
    </w:p>
    <w:p>
      <w:pPr>
        <w:pStyle w:val="TextBody"/>
        <w:spacing w:before="240" w:after="0"/>
        <w:jc w:val="left"/>
        <w:rPr>
          <w:rFonts w:ascii="Times New Roman" w:hAnsi="Times New Roman"/>
          <w:sz w:val="20"/>
        </w:rPr>
      </w:pPr>
      <w:r>
        <w:rPr>
          <w:rFonts w:ascii="Times New Roman" w:hAnsi="Times New Roman"/>
          <w:sz w:val="20"/>
        </w:rPr>
        <w:t xml:space="preserve">(d)    During the period commencing on the effective date of the Underwriting Agreement and ending 180 days after such date, the Sponsor and each Insider shall not, without the prior written consent of the Underwriters, Transfer any Units, Ordinary Shares, Warrants or any other securities convertible into, or exercisable or exchangeable for, Ordinary Shares held by it, her or him, as applicable, subject to certain exceptions enumerated in Section [6(h)] of the Underwriting Agreement.1 </w:t>
      </w:r>
    </w:p>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1 </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[NTD: To confirm if UA transfer exceptions match up with those in Section 5 of agreement w/r/t founder shares]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6.    </w:t>
      </w:r>
      <w:r>
        <w:rPr>
          <w:rFonts w:ascii="Times New Roman" w:hAnsi="Times New Roman"/>
          <w:sz w:val="20"/>
          <w:u w:val="single"/>
        </w:rPr>
        <w:t>Remedies</w:t>
      </w:r>
      <w:r>
        <w:rPr>
          <w:rFonts w:ascii="Times New Roman" w:hAnsi="Times New Roman"/>
          <w:sz w:val="20"/>
        </w:rPr>
        <w:t xml:space="preserve">. The Sponsor and each of the Insiders hereby agree and acknowledge that (i) each of the Underwriters and the Company would be irreparably injured in the event of a breach by the Sponsor or such Insider of its, her or his obligations, as applicable under </w:t>
      </w:r>
      <w:r>
        <w:rPr>
          <w:rFonts w:ascii="Times New Roman" w:hAnsi="Times New Roman"/>
          <w:sz w:val="20"/>
          <w:u w:val="single"/>
        </w:rPr>
        <w:t>paragraphs 3</w:t>
      </w:r>
      <w:r>
        <w:rPr>
          <w:rFonts w:ascii="Times New Roman" w:hAnsi="Times New Roman"/>
          <w:sz w:val="20"/>
        </w:rPr>
        <w:t xml:space="preserve">, </w:t>
      </w:r>
      <w:r>
        <w:rPr>
          <w:rFonts w:ascii="Times New Roman" w:hAnsi="Times New Roman"/>
          <w:sz w:val="20"/>
          <w:u w:val="single"/>
        </w:rPr>
        <w:t>4</w:t>
      </w:r>
      <w:r>
        <w:rPr>
          <w:rFonts w:ascii="Times New Roman" w:hAnsi="Times New Roman"/>
          <w:sz w:val="20"/>
        </w:rPr>
        <w:t xml:space="preserve">, </w:t>
      </w:r>
      <w:r>
        <w:rPr>
          <w:rFonts w:ascii="Times New Roman" w:hAnsi="Times New Roman"/>
          <w:sz w:val="20"/>
          <w:u w:val="single"/>
        </w:rPr>
        <w:t>5</w:t>
      </w:r>
      <w:r>
        <w:rPr>
          <w:rFonts w:ascii="Times New Roman" w:hAnsi="Times New Roman"/>
          <w:sz w:val="20"/>
        </w:rPr>
        <w:t xml:space="preserve">, </w:t>
      </w:r>
      <w:r>
        <w:rPr>
          <w:rFonts w:ascii="Times New Roman" w:hAnsi="Times New Roman"/>
          <w:sz w:val="20"/>
          <w:u w:val="single"/>
        </w:rPr>
        <w:t>7</w:t>
      </w:r>
      <w:r>
        <w:rPr>
          <w:rFonts w:ascii="Times New Roman" w:hAnsi="Times New Roman"/>
          <w:sz w:val="20"/>
        </w:rPr>
        <w:t xml:space="preserve">, </w:t>
      </w:r>
      <w:r>
        <w:rPr>
          <w:rFonts w:ascii="Times New Roman" w:hAnsi="Times New Roman"/>
          <w:sz w:val="20"/>
          <w:u w:val="single"/>
        </w:rPr>
        <w:t>10</w:t>
      </w:r>
      <w:r>
        <w:rPr>
          <w:rFonts w:ascii="Times New Roman" w:hAnsi="Times New Roman"/>
          <w:sz w:val="20"/>
        </w:rPr>
        <w:t xml:space="preserve"> and </w:t>
      </w:r>
      <w:r>
        <w:rPr>
          <w:rFonts w:ascii="Times New Roman" w:hAnsi="Times New Roman"/>
          <w:sz w:val="20"/>
          <w:u w:val="single"/>
        </w:rPr>
        <w:t>11</w:t>
      </w:r>
      <w:r>
        <w:rPr>
          <w:rFonts w:ascii="Times New Roman" w:hAnsi="Times New Roman"/>
          <w:sz w:val="20"/>
        </w:rPr>
        <w:t xml:space="preserve">, (ii) monetary damages may not be an adequate remedy for such breach and (iii) the non-breaching party shall be entitled to injunctive relief, in addition to any other remedy that such party may have in law or in equity, in the event of such breach. </w:t>
      </w:r>
    </w:p>
    <w:p>
      <w:pPr>
        <w:pStyle w:val="TextBody"/>
        <w:spacing w:before="240" w:after="0"/>
        <w:jc w:val="left"/>
        <w:rPr>
          <w:rFonts w:ascii="Times New Roman" w:hAnsi="Times New Roman"/>
          <w:sz w:val="20"/>
        </w:rPr>
      </w:pPr>
      <w:r>
        <w:rPr>
          <w:rFonts w:ascii="Times New Roman" w:hAnsi="Times New Roman"/>
          <w:sz w:val="20"/>
        </w:rPr>
        <w:t>7.    </w:t>
      </w:r>
      <w:r>
        <w:rPr>
          <w:rFonts w:ascii="Times New Roman" w:hAnsi="Times New Roman"/>
          <w:sz w:val="20"/>
          <w:u w:val="single"/>
        </w:rPr>
        <w:t>Payments by the Company</w:t>
      </w:r>
      <w:r>
        <w:rPr>
          <w:rFonts w:ascii="Times New Roman" w:hAnsi="Times New Roman"/>
          <w:sz w:val="20"/>
        </w:rPr>
        <w:t xml:space="preserve">. Except as disclosed in the Prospectus, neither the Sponsor nor any affiliate of the Sponsor nor any director or officer of the Company nor any affiliate of the officers shall receive from the Company any finders fee, reimbursement, consulting fee, monies in respect of any payment of a loan or other compensation prior to, or in connection with any services rendered in order to effectuate the consummation of the Companys initial Business Combination (regardless of the type of transaction that it is). </w:t>
      </w:r>
    </w:p>
    <w:p>
      <w:pPr>
        <w:pStyle w:val="TextBody"/>
        <w:spacing w:before="240" w:after="0"/>
        <w:jc w:val="left"/>
        <w:rPr>
          <w:rFonts w:ascii="Times New Roman" w:hAnsi="Times New Roman"/>
          <w:sz w:val="20"/>
        </w:rPr>
      </w:pPr>
      <w:r>
        <w:rPr>
          <w:rFonts w:ascii="Times New Roman" w:hAnsi="Times New Roman"/>
          <w:sz w:val="20"/>
        </w:rPr>
        <w:t>8.    </w:t>
      </w:r>
      <w:r>
        <w:rPr>
          <w:rFonts w:ascii="Times New Roman" w:hAnsi="Times New Roman"/>
          <w:sz w:val="20"/>
          <w:u w:val="single"/>
        </w:rPr>
        <w:t>Director and Officer Liability Insurance</w:t>
      </w:r>
      <w:r>
        <w:rPr>
          <w:rFonts w:ascii="Times New Roman" w:hAnsi="Times New Roman"/>
          <w:sz w:val="20"/>
        </w:rPr>
        <w:t xml:space="preserve">. The Company will maintain an insurance policy or policies providing directors and officers liability insurance, and the Insiders shall be covered by such policy or policies, in accordance with its or their terms, to the maximum extent of the coverage available for any of the Companys directors or officers. </w:t>
      </w:r>
    </w:p>
    <w:p>
      <w:pPr>
        <w:pStyle w:val="TextBody"/>
        <w:spacing w:before="240" w:after="0"/>
        <w:jc w:val="left"/>
        <w:rPr>
          <w:rFonts w:ascii="Times New Roman" w:hAnsi="Times New Roman"/>
          <w:sz w:val="20"/>
        </w:rPr>
      </w:pPr>
      <w:r>
        <w:rPr>
          <w:rFonts w:ascii="Times New Roman" w:hAnsi="Times New Roman"/>
          <w:sz w:val="20"/>
        </w:rPr>
        <w:t>9.    </w:t>
      </w:r>
      <w:r>
        <w:rPr>
          <w:rFonts w:ascii="Times New Roman" w:hAnsi="Times New Roman"/>
          <w:sz w:val="20"/>
          <w:u w:val="single"/>
        </w:rPr>
        <w:t>Termination</w:t>
      </w:r>
      <w:r>
        <w:rPr>
          <w:rFonts w:ascii="Times New Roman" w:hAnsi="Times New Roman"/>
          <w:sz w:val="20"/>
        </w:rPr>
        <w:t xml:space="preserve">. This Letter Agreement shall terminate on the earlier of (i) the expiration of the Founder Shares Lock-up Period and (ii) the liquidation of the Company. </w:t>
      </w:r>
    </w:p>
    <w:p>
      <w:pPr>
        <w:pStyle w:val="TextBody"/>
        <w:spacing w:before="240" w:after="0"/>
        <w:jc w:val="left"/>
        <w:rPr>
          <w:rFonts w:ascii="Times New Roman" w:hAnsi="Times New Roman"/>
          <w:sz w:val="20"/>
        </w:rPr>
      </w:pPr>
      <w:r>
        <w:rPr>
          <w:rFonts w:ascii="Times New Roman" w:hAnsi="Times New Roman"/>
          <w:sz w:val="20"/>
        </w:rPr>
        <w:t>10.    </w:t>
      </w:r>
      <w:r>
        <w:rPr>
          <w:rFonts w:ascii="Times New Roman" w:hAnsi="Times New Roman"/>
          <w:sz w:val="20"/>
          <w:u w:val="single"/>
        </w:rPr>
        <w:t>Indemnification</w:t>
      </w:r>
      <w:r>
        <w:rPr>
          <w:rFonts w:ascii="Times New Roman" w:hAnsi="Times New Roman"/>
          <w:sz w:val="20"/>
        </w:rPr>
        <w:t>. In the event of the liquidation of the Trust Account upon the failure of the Company to consummate its initial Business Combination within the time period set forth in the Charter, the Sponsor (the </w:t>
      </w:r>
      <w:r>
        <w:rPr>
          <w:rFonts w:ascii="Times New Roman" w:hAnsi="Times New Roman"/>
          <w:b/>
          <w:i/>
          <w:sz w:val="20"/>
        </w:rPr>
        <w:t>Indemnitor</w:t>
      </w:r>
      <w:r>
        <w:rPr>
          <w:rFonts w:ascii="Times New Roman" w:hAnsi="Times New Roman"/>
          <w:sz w:val="20"/>
        </w:rPr>
        <w:t>) agrees to indemnify and hold harmless the Company against any and all loss, liability, claim, damage and expense whatsoever (including, but not limited to, any and all legal or other expenses reasonably incurred in investigating, preparing or defending against any litigation, whether pending or threatened) to which the Company may become subject as a result of any claim by (i) any third party for services rendered or products sold to the Company (except for the Companys independent auditors) or (ii) any prospective target business with which the Company has discussed entering into a transaction agreement (a </w:t>
      </w:r>
      <w:r>
        <w:rPr>
          <w:rFonts w:ascii="Times New Roman" w:hAnsi="Times New Roman"/>
          <w:b/>
          <w:i/>
          <w:sz w:val="20"/>
        </w:rPr>
        <w:t>Target</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such indemnification of the Company by the Indemnitor (x) shall apply only to the extent necessary to ensure that such claims by a third party for services rendered or products sold to the Company or a Target do not reduce the amount of funds in the Trust Account to below the lesser of (i) $10.00 per Public Share and (ii) the actual amount per Public Share held in the Trust Account as of the date of the liquidation of the Trust Account if less than $10.00 per Public Share due to reductions in the value of the trust assets, in each case net of interest that may be withdrawn to pay the Companys tax obligations, (y) shall not apply to any claims by a third party or Target who executed a waiver of any and all rights to the monies held in the Trust Account (whether or not such waiver is enforceable) and (z) shall not apply to any claims under the Companys indemnity of the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Underwriters against certain liabilities, including liabilities under the Securities Act of 1933, as amended. The Indemnitor shall have the right to defend against any such claim with counsel of its choice reasonably satisfactory to the Company if, within 15 days following written receipt of notice of the claim to the Indemnitor, the Indemnitor notifies the Company in writing that it shall undertake such defense. </w:t>
      </w:r>
    </w:p>
    <w:p>
      <w:pPr>
        <w:pStyle w:val="TextBody"/>
        <w:spacing w:before="240" w:after="0"/>
        <w:jc w:val="left"/>
        <w:rPr>
          <w:rFonts w:ascii="Times New Roman" w:hAnsi="Times New Roman"/>
          <w:sz w:val="20"/>
        </w:rPr>
      </w:pPr>
      <w:r>
        <w:rPr>
          <w:rFonts w:ascii="Times New Roman" w:hAnsi="Times New Roman"/>
          <w:sz w:val="20"/>
        </w:rPr>
        <w:t>11.    </w:t>
      </w:r>
      <w:r>
        <w:rPr>
          <w:rFonts w:ascii="Times New Roman" w:hAnsi="Times New Roman"/>
          <w:sz w:val="20"/>
          <w:u w:val="single"/>
        </w:rPr>
        <w:t>Forfeiture of Founder Shares.</w:t>
      </w:r>
      <w:r>
        <w:rPr>
          <w:rFonts w:ascii="Times New Roman" w:hAnsi="Times New Roman"/>
          <w:sz w:val="20"/>
        </w:rPr>
        <w:t xml:space="preserve"> To the extent that the Underwriters do not exercise their option to purchase additional Units within 45 days from the date of the Prospectus in full (as further described in the Prospectus), the Sponsor agrees to automatically surrender to the Company for no consideration, for cancellation at no cost, an aggregate number of Founder Shares so that the number of Founder Shares will equal of 20% of the sum of the total number of Ordinary Shares and Founder Shares outstanding at such time. The Sponsor and Insiders further agree that to the extent that the size of the Public Offering is increased or decreased, the Company will effect a share capitalization or a share repurchase, as applicable, with respect to the Founder Shares immediately prior to the consummation of the Public Offering in such amount as to maintain the number of Founder Shares at 20% of the sum of the total number of Ordinary Shares and Founder Shares outstanding at such time. </w:t>
      </w:r>
    </w:p>
    <w:p>
      <w:pPr>
        <w:pStyle w:val="TextBody"/>
        <w:spacing w:before="240" w:after="0"/>
        <w:jc w:val="left"/>
        <w:rPr>
          <w:rFonts w:ascii="Times New Roman" w:hAnsi="Times New Roman"/>
          <w:sz w:val="20"/>
        </w:rPr>
      </w:pPr>
      <w:r>
        <w:rPr>
          <w:rFonts w:ascii="Times New Roman" w:hAnsi="Times New Roman"/>
          <w:sz w:val="20"/>
        </w:rPr>
        <w:t>12.    </w:t>
      </w:r>
      <w:r>
        <w:rPr>
          <w:rFonts w:ascii="Times New Roman" w:hAnsi="Times New Roman"/>
          <w:sz w:val="20"/>
          <w:u w:val="single"/>
        </w:rPr>
        <w:t>Entire Agreement</w:t>
      </w:r>
      <w:r>
        <w:rPr>
          <w:rFonts w:ascii="Times New Roman" w:hAnsi="Times New Roman"/>
          <w:sz w:val="20"/>
        </w:rPr>
        <w:t xml:space="preserve">. This Letter Agreement constitutes the entire agreement and understanding of the parties hereto in respect of the subject matter hereof and supersedes all prior understandings, agreements or representations by or among the parties hereto, written or oral, to the extent they relate in any way to the subject matter hereof or the transactions contemplated hereby. This Letter Agreement may not be changed, amended, modified or waived (other than to correct a typographical error) as to any particular provision, except by a written instrument executed by all parties hereto. </w:t>
      </w:r>
    </w:p>
    <w:p>
      <w:pPr>
        <w:pStyle w:val="TextBody"/>
        <w:spacing w:before="240" w:after="0"/>
        <w:jc w:val="left"/>
        <w:rPr>
          <w:rFonts w:ascii="Times New Roman" w:hAnsi="Times New Roman"/>
          <w:sz w:val="20"/>
        </w:rPr>
      </w:pPr>
      <w:r>
        <w:rPr>
          <w:rFonts w:ascii="Times New Roman" w:hAnsi="Times New Roman"/>
          <w:sz w:val="20"/>
        </w:rPr>
        <w:t>13.    </w:t>
      </w:r>
      <w:r>
        <w:rPr>
          <w:rFonts w:ascii="Times New Roman" w:hAnsi="Times New Roman"/>
          <w:sz w:val="20"/>
          <w:u w:val="single"/>
        </w:rPr>
        <w:t>Assignment</w:t>
      </w:r>
      <w:r>
        <w:rPr>
          <w:rFonts w:ascii="Times New Roman" w:hAnsi="Times New Roman"/>
          <w:sz w:val="20"/>
        </w:rPr>
        <w:t xml:space="preserve">. No party hereto may assign either this Letter Agreement or any of its rights, interests or obligations hereunder without the prior written consent of the other parties. Any purported assignment in violation of this paragraph shall be void and ineffectual and shall not operate to transfer or assign any interest or title to the purported assignee. This Letter Agreement shall be binding on the Sponsor, each of the Insiders and each of their respective successors, heirs, personal representatives and assigns and permitted transferees. </w:t>
      </w:r>
    </w:p>
    <w:p>
      <w:pPr>
        <w:pStyle w:val="TextBody"/>
        <w:spacing w:before="240" w:after="0"/>
        <w:jc w:val="left"/>
        <w:rPr>
          <w:rFonts w:ascii="Times New Roman" w:hAnsi="Times New Roman"/>
          <w:sz w:val="20"/>
        </w:rPr>
      </w:pPr>
      <w:r>
        <w:rPr>
          <w:rFonts w:ascii="Times New Roman" w:hAnsi="Times New Roman"/>
          <w:sz w:val="20"/>
        </w:rPr>
        <w:t>14.    </w:t>
      </w:r>
      <w:r>
        <w:rPr>
          <w:rFonts w:ascii="Times New Roman" w:hAnsi="Times New Roman"/>
          <w:sz w:val="20"/>
          <w:u w:val="single"/>
        </w:rPr>
        <w:t>Counterparts</w:t>
      </w:r>
      <w:r>
        <w:rPr>
          <w:rFonts w:ascii="Times New Roman" w:hAnsi="Times New Roman"/>
          <w:sz w:val="20"/>
        </w:rPr>
        <w:t xml:space="preserve">. This Letter Agreement may be executed in any number of original , electronic or facsimile counterparts, and each of such counterparts shall for all purposes be deemed to be an original, and all such counterparts shall together constitute but one and the same instrument. </w:t>
      </w:r>
    </w:p>
    <w:p>
      <w:pPr>
        <w:pStyle w:val="TextBody"/>
        <w:spacing w:before="240" w:after="0"/>
        <w:jc w:val="left"/>
        <w:rPr>
          <w:rFonts w:ascii="Times New Roman" w:hAnsi="Times New Roman"/>
          <w:sz w:val="20"/>
        </w:rPr>
      </w:pPr>
      <w:r>
        <w:rPr>
          <w:rFonts w:ascii="Times New Roman" w:hAnsi="Times New Roman"/>
          <w:sz w:val="20"/>
        </w:rPr>
        <w:t>15.    </w:t>
      </w:r>
      <w:r>
        <w:rPr>
          <w:rFonts w:ascii="Times New Roman" w:hAnsi="Times New Roman"/>
          <w:sz w:val="20"/>
          <w:u w:val="single"/>
        </w:rPr>
        <w:t>Effect of Headings</w:t>
      </w:r>
      <w:r>
        <w:rPr>
          <w:rFonts w:ascii="Times New Roman" w:hAnsi="Times New Roman"/>
          <w:sz w:val="20"/>
        </w:rPr>
        <w:t xml:space="preserve">. The paragraph headings herein are for convenience only and are not part of this Letter Agreement and shall not affect the interpretation thereof. </w:t>
      </w:r>
    </w:p>
    <w:p>
      <w:pPr>
        <w:pStyle w:val="TextBody"/>
        <w:spacing w:before="240" w:after="0"/>
        <w:jc w:val="left"/>
        <w:rPr>
          <w:rFonts w:ascii="Times New Roman" w:hAnsi="Times New Roman"/>
          <w:sz w:val="20"/>
        </w:rPr>
      </w:pPr>
      <w:r>
        <w:rPr>
          <w:rFonts w:ascii="Times New Roman" w:hAnsi="Times New Roman"/>
          <w:sz w:val="20"/>
        </w:rPr>
        <w:t>16.    </w:t>
      </w:r>
      <w:r>
        <w:rPr>
          <w:rFonts w:ascii="Times New Roman" w:hAnsi="Times New Roman"/>
          <w:sz w:val="20"/>
          <w:u w:val="single"/>
        </w:rPr>
        <w:t>Severability</w:t>
      </w:r>
      <w:r>
        <w:rPr>
          <w:rFonts w:ascii="Times New Roman" w:hAnsi="Times New Roman"/>
          <w:sz w:val="20"/>
        </w:rPr>
        <w:t xml:space="preserve">. This Letter Agreement shall be deemed severable, and the invalidity or unenforceability of any term or provision hereof shall not affect the validity or enforceability of this Letter Agreement or of any other term or provision hereof. Furthermore, in lieu of any such invalid or unenforceable term or provision, the parties hereto intend that there shall be added as a part of this Letter Agreement a provision as similar in terms to such invalid or unenforceable provision as may be possible and be valid and enforceable.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17.    </w:t>
      </w:r>
      <w:r>
        <w:rPr>
          <w:rFonts w:ascii="Times New Roman" w:hAnsi="Times New Roman"/>
          <w:sz w:val="20"/>
          <w:u w:val="single"/>
        </w:rPr>
        <w:t>Governing Law</w:t>
      </w:r>
      <w:r>
        <w:rPr>
          <w:rFonts w:ascii="Times New Roman" w:hAnsi="Times New Roman"/>
          <w:sz w:val="20"/>
        </w:rPr>
        <w:t xml:space="preserve">. This Letter Agreement shall be governed by and construed and enforced in accordance with the laws of the State of New York, without giving effect to conflicts of law principles that would result in the application of the substantive laws of another jurisdiction. The parties hereto (i) all agree that any action, proceeding, claim or dispute arising out of, or relating in any way to, this Letter Agreement shall be brought and enforced in the courts of New York City, in the State of New York, and irrevocably submit to such jurisdiction and venue, which jurisdiction and venue shall be exclusive, (ii) waive any objection to such exclusive jurisdiction and venue or that such courts represent an inconvenient forum and (iii) waives any right to a trial by jury in any action, suit or proceeding to enforce or defend any right under this Letter Agreement, and agrees that any such action, suit or proceeding will be tried before a court and not before a jury. </w:t>
      </w:r>
    </w:p>
    <w:p>
      <w:pPr>
        <w:pStyle w:val="TextBody"/>
        <w:spacing w:before="240" w:after="0"/>
        <w:jc w:val="left"/>
        <w:rPr>
          <w:rFonts w:ascii="Times New Roman" w:hAnsi="Times New Roman"/>
          <w:sz w:val="20"/>
        </w:rPr>
      </w:pPr>
      <w:r>
        <w:rPr>
          <w:rFonts w:ascii="Times New Roman" w:hAnsi="Times New Roman"/>
          <w:sz w:val="20"/>
        </w:rPr>
        <w:t>18.    </w:t>
      </w:r>
      <w:r>
        <w:rPr>
          <w:rFonts w:ascii="Times New Roman" w:hAnsi="Times New Roman"/>
          <w:sz w:val="20"/>
          <w:u w:val="single"/>
        </w:rPr>
        <w:t>Notices</w:t>
      </w:r>
      <w:r>
        <w:rPr>
          <w:rFonts w:ascii="Times New Roman" w:hAnsi="Times New Roman"/>
          <w:sz w:val="20"/>
        </w:rPr>
        <w:t xml:space="preserve">. Any notice, consent or request to be given in connection with any of the terms or provisions of this Letter Agreement shall be in writing and shall be sent by express mail or similar private courier service, by certified mail (return receipt requested), by hand delivery or facsimile transmission. </w:t>
      </w:r>
    </w:p>
    <w:p>
      <w:pPr>
        <w:pStyle w:val="TextBody"/>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Follows</w:t>
      </w:r>
      <w:r>
        <w:rPr>
          <w:rFonts w:ascii="Times New Roman" w:hAnsi="Times New Roman"/>
          <w:sz w:val="20"/>
        </w:rPr>
        <w:t xml:space="preser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rPr/>
      </w:pPr>
      <w:r>
        <w:rPr/>
      </w:r>
    </w:p>
    <w:tbl>
      <w:tblPr>
        <w:tblW w:w="2000" w:type="pct"/>
        <w:jc w:val="right"/>
        <w:tblInd w:w="0" w:type="dxa"/>
        <w:tblCellMar>
          <w:top w:w="0" w:type="dxa"/>
          <w:left w:w="0" w:type="dxa"/>
          <w:bottom w:w="0" w:type="dxa"/>
          <w:right w:w="0" w:type="dxa"/>
        </w:tblCellMar>
      </w:tblPr>
      <w:tblGrid>
        <w:gridCol w:w="372"/>
        <w:gridCol w:w="60"/>
        <w:gridCol w:w="3650"/>
      </w:tblGrid>
      <w:tr>
        <w:trPr/>
        <w:tc>
          <w:tcPr>
            <w:tcW w:w="3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650"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pPr>
            <w:r>
              <w:rPr/>
              <w:t>Sincerely,</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0"/>
              <w:rPr>
                <w:rFonts w:ascii="Times New Roman" w:hAnsi="Times New Roman"/>
                <w:sz w:val="20"/>
              </w:rPr>
            </w:pPr>
            <w:r>
              <w:rPr>
                <w:rFonts w:ascii="Times New Roman" w:hAnsi="Times New Roman"/>
                <w:sz w:val="20"/>
              </w:rPr>
              <w:t>ARCLIGHT CTC HOLDINGS II, L.P., a Delaware</w:t>
            </w:r>
          </w:p>
          <w:p>
            <w:pPr>
              <w:pStyle w:val="TableContents"/>
              <w:spacing w:before="0" w:after="20"/>
              <w:rPr>
                <w:rFonts w:ascii="Times New Roman" w:hAnsi="Times New Roman"/>
                <w:sz w:val="20"/>
              </w:rPr>
            </w:pPr>
            <w:r>
              <w:rPr>
                <w:rFonts w:ascii="Times New Roman" w:hAnsi="Times New Roman"/>
                <w:sz w:val="20"/>
              </w:rPr>
              <w:t>limited partnership</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pPr>
            <w:r>
              <w:rPr/>
              <w:t>By: ACTC HOLDINGS GP II, LLC, its general partner</w:t>
            </w:r>
          </w:p>
        </w:tc>
      </w:tr>
      <w:tr>
        <w:trPr/>
        <w:tc>
          <w:tcPr>
            <w:tcW w:w="4082" w:type="dxa"/>
            <w:gridSpan w:val="3"/>
            <w:tcBorders/>
            <w:shd w:fill="auto" w:val="clear"/>
          </w:tcPr>
          <w:p>
            <w:pPr>
              <w:pStyle w:val="TableContents"/>
              <w:spacing w:before="0" w:after="283"/>
              <w:rPr/>
            </w:pPr>
            <w:r>
              <w:rPr/>
              <w:t>By: ArcLight Capital Holdings, LLC, its Manager</w:t>
            </w:r>
          </w:p>
        </w:tc>
      </w:tr>
      <w:tr>
        <w:trPr/>
        <w:tc>
          <w:tcPr>
            <w:tcW w:w="4082" w:type="dxa"/>
            <w:gridSpan w:val="3"/>
            <w:tcBorders/>
            <w:shd w:fill="auto" w:val="clear"/>
          </w:tcPr>
          <w:p>
            <w:pPr>
              <w:pStyle w:val="TableContents"/>
              <w:spacing w:before="0" w:after="283"/>
              <w:rPr/>
            </w:pPr>
            <w:r>
              <w:rPr/>
              <w:t>By: ACHP II, L.P., its Managing Member</w:t>
            </w:r>
          </w:p>
        </w:tc>
      </w:tr>
      <w:tr>
        <w:trPr/>
        <w:tc>
          <w:tcPr>
            <w:tcW w:w="4082" w:type="dxa"/>
            <w:gridSpan w:val="3"/>
            <w:tcBorders/>
            <w:shd w:fill="auto" w:val="clear"/>
          </w:tcPr>
          <w:p>
            <w:pPr>
              <w:pStyle w:val="TableContents"/>
              <w:spacing w:before="0" w:after="283"/>
              <w:rPr/>
            </w:pPr>
            <w:r>
              <w:rPr/>
              <w:t>By: ACH GP, LLC, its General Partner</w:t>
            </w:r>
          </w:p>
        </w:tc>
      </w:tr>
      <w:tr>
        <w:trPr>
          <w:trHeight w:val="240" w:hRule="atLeast"/>
        </w:trPr>
        <w:tc>
          <w:tcPr>
            <w:tcW w:w="372" w:type="dxa"/>
            <w:tcBorders/>
            <w:shd w:fill="auto" w:val="clear"/>
            <w:vAlign w:val="center"/>
          </w:tcPr>
          <w:p>
            <w:pPr>
              <w:pStyle w:val="TableContents"/>
              <w:spacing w:before="0" w:after="283"/>
              <w:rPr>
                <w:sz w:val="4"/>
                <w:szCs w:val="4"/>
              </w:rPr>
            </w:pPr>
            <w:r>
              <w:rPr>
                <w:sz w:val="4"/>
                <w:szCs w:val="4"/>
              </w:rPr>
            </w:r>
          </w:p>
        </w:tc>
        <w:tc>
          <w:tcPr>
            <w:tcW w:w="3710" w:type="dxa"/>
            <w:gridSpan w:val="2"/>
            <w:tcBorders/>
            <w:shd w:fill="auto" w:val="clear"/>
            <w:vAlign w:val="center"/>
          </w:tcPr>
          <w:p>
            <w:pPr>
              <w:pStyle w:val="TableContents"/>
              <w:spacing w:before="0" w:after="283"/>
              <w:rPr>
                <w:sz w:val="4"/>
                <w:szCs w:val="4"/>
              </w:rPr>
            </w:pPr>
            <w:r>
              <w:rPr>
                <w:sz w:val="4"/>
                <w:szCs w:val="4"/>
              </w:rPr>
            </w:r>
          </w:p>
        </w:tc>
      </w:tr>
      <w:tr>
        <w:trPr/>
        <w:tc>
          <w:tcPr>
            <w:tcW w:w="372" w:type="dxa"/>
            <w:tcBorders/>
            <w:shd w:fill="auto" w:val="clear"/>
          </w:tcPr>
          <w:p>
            <w:pPr>
              <w:pStyle w:val="TableContents"/>
              <w:spacing w:before="0" w:after="283"/>
              <w:rPr/>
            </w:pPr>
            <w:r>
              <w:rPr/>
              <w:t>By:</w:t>
            </w:r>
          </w:p>
        </w:tc>
        <w:tc>
          <w:tcPr>
            <w:tcW w:w="60" w:type="dxa"/>
            <w:tcBorders/>
            <w:shd w:fill="auto" w:val="clear"/>
            <w:vAlign w:val="bottom"/>
          </w:tcPr>
          <w:p>
            <w:pPr>
              <w:pStyle w:val="TableContents"/>
              <w:spacing w:before="0" w:after="283"/>
              <w:rPr/>
            </w:pPr>
            <w:r>
              <w:rPr/>
              <w:t> </w:t>
            </w:r>
          </w:p>
        </w:tc>
        <w:tc>
          <w:tcPr>
            <w:tcW w:w="3650" w:type="dxa"/>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Daniel R. Revers</w:t>
            </w:r>
          </w:p>
        </w:tc>
      </w:tr>
      <w:tr>
        <w:trPr/>
        <w:tc>
          <w:tcPr>
            <w:tcW w:w="372"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50" w:type="dxa"/>
            <w:tcBorders/>
            <w:shd w:fill="auto" w:val="clear"/>
          </w:tcPr>
          <w:p>
            <w:pPr>
              <w:pStyle w:val="TableContents"/>
              <w:spacing w:before="0" w:after="283"/>
              <w:rPr/>
            </w:pPr>
            <w:r>
              <w:rPr/>
              <w:t>Name:   Daniel R. Revers</w:t>
            </w:r>
          </w:p>
        </w:tc>
      </w:tr>
      <w:tr>
        <w:trPr/>
        <w:tc>
          <w:tcPr>
            <w:tcW w:w="372"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50" w:type="dxa"/>
            <w:tcBorders/>
            <w:shd w:fill="auto" w:val="clear"/>
          </w:tcPr>
          <w:p>
            <w:pPr>
              <w:pStyle w:val="TableContents"/>
              <w:spacing w:before="0" w:after="283"/>
              <w:rPr/>
            </w:pPr>
            <w:r>
              <w:rPr/>
              <w:t>Title:     Manager</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IPO Letter Agreement</w:t>
      </w:r>
      <w:r>
        <w:rPr>
          <w:rFonts w:ascii="Times New Roman" w:hAnsi="Times New Roman"/>
          <w:sz w:val="20"/>
        </w:rPr>
        <w:t xml:space="preserve">] </w:t>
      </w:r>
      <w:r>
        <w:br w:type="page"/>
      </w:r>
    </w:p>
    <w:p>
      <w:pPr>
        <w:pStyle w:val="HorizontalLine"/>
        <w:pBdr>
          <w:bottom w:val="double" w:sz="6" w:space="0" w:color="808080"/>
        </w:pBdr>
        <w:rPr/>
      </w:pPr>
      <w:r>
        <w:rPr/>
      </w:r>
    </w:p>
    <w:tbl>
      <w:tblPr>
        <w:tblW w:w="2000" w:type="pct"/>
        <w:jc w:val="righ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John F. Erhard</w:t>
            </w:r>
          </w:p>
        </w:tc>
      </w:tr>
      <w:tr>
        <w:trPr/>
        <w:tc>
          <w:tcPr>
            <w:tcW w:w="4082" w:type="dxa"/>
            <w:tcBorders/>
            <w:shd w:fill="auto" w:val="clear"/>
          </w:tcPr>
          <w:p>
            <w:pPr>
              <w:pStyle w:val="TableContents"/>
              <w:spacing w:before="0" w:after="283"/>
              <w:rPr/>
            </w:pPr>
            <w:r>
              <w:rPr/>
              <w:t>John F. Erhard</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IPO Letter Agreement</w:t>
      </w:r>
      <w:r>
        <w:rPr>
          <w:rFonts w:ascii="Times New Roman" w:hAnsi="Times New Roman"/>
          <w:sz w:val="20"/>
        </w:rPr>
        <w:t xml:space="preserve">] </w:t>
      </w:r>
      <w:r>
        <w:br w:type="page"/>
      </w:r>
    </w:p>
    <w:p>
      <w:pPr>
        <w:pStyle w:val="HorizontalLine"/>
        <w:pBdr>
          <w:bottom w:val="double" w:sz="6" w:space="0" w:color="808080"/>
        </w:pBdr>
        <w:rPr/>
      </w:pPr>
      <w:r>
        <w:rPr/>
      </w:r>
    </w:p>
    <w:tbl>
      <w:tblPr>
        <w:tblW w:w="2000" w:type="pct"/>
        <w:jc w:val="righ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Daniel R. Revers</w:t>
            </w:r>
          </w:p>
        </w:tc>
      </w:tr>
      <w:tr>
        <w:trPr/>
        <w:tc>
          <w:tcPr>
            <w:tcW w:w="4082" w:type="dxa"/>
            <w:tcBorders/>
            <w:shd w:fill="auto" w:val="clear"/>
          </w:tcPr>
          <w:p>
            <w:pPr>
              <w:pStyle w:val="TableContents"/>
              <w:spacing w:before="0" w:after="283"/>
              <w:rPr/>
            </w:pPr>
            <w:r>
              <w:rPr/>
              <w:t>Daniel R. Revers</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IPO Letter Agreement</w:t>
      </w:r>
      <w:r>
        <w:rPr>
          <w:rFonts w:ascii="Times New Roman" w:hAnsi="Times New Roman"/>
          <w:sz w:val="20"/>
        </w:rPr>
        <w:t xml:space="preserve">] </w:t>
      </w:r>
      <w:r>
        <w:br w:type="page"/>
      </w:r>
    </w:p>
    <w:p>
      <w:pPr>
        <w:pStyle w:val="HorizontalLine"/>
        <w:pBdr>
          <w:bottom w:val="double" w:sz="6" w:space="0" w:color="808080"/>
        </w:pBdr>
        <w:rPr/>
      </w:pPr>
      <w:r>
        <w:rPr/>
      </w:r>
    </w:p>
    <w:tbl>
      <w:tblPr>
        <w:tblW w:w="2000" w:type="pct"/>
        <w:jc w:val="righ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Marco F. Gatti</w:t>
            </w:r>
          </w:p>
        </w:tc>
      </w:tr>
      <w:tr>
        <w:trPr/>
        <w:tc>
          <w:tcPr>
            <w:tcW w:w="4082" w:type="dxa"/>
            <w:tcBorders/>
            <w:shd w:fill="auto" w:val="clear"/>
          </w:tcPr>
          <w:p>
            <w:pPr>
              <w:pStyle w:val="TableContents"/>
              <w:spacing w:before="0" w:after="283"/>
              <w:rPr/>
            </w:pPr>
            <w:r>
              <w:rPr/>
              <w:t>Marco F. Gatti</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IPO Letter Agreement</w:t>
      </w:r>
      <w:r>
        <w:rPr>
          <w:rFonts w:ascii="Times New Roman" w:hAnsi="Times New Roman"/>
          <w:sz w:val="20"/>
        </w:rPr>
        <w:t xml:space="preserve">] </w:t>
      </w:r>
      <w:r>
        <w:br w:type="page"/>
      </w:r>
    </w:p>
    <w:p>
      <w:pPr>
        <w:pStyle w:val="HorizontalLine"/>
        <w:pBdr>
          <w:bottom w:val="double" w:sz="6" w:space="0" w:color="808080"/>
        </w:pBdr>
        <w:rPr/>
      </w:pPr>
      <w:r>
        <w:rPr/>
      </w:r>
    </w:p>
    <w:tbl>
      <w:tblPr>
        <w:tblW w:w="2000" w:type="pct"/>
        <w:jc w:val="righ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Christine M. Miller</w:t>
            </w:r>
          </w:p>
        </w:tc>
      </w:tr>
      <w:tr>
        <w:trPr/>
        <w:tc>
          <w:tcPr>
            <w:tcW w:w="4082" w:type="dxa"/>
            <w:tcBorders/>
            <w:shd w:fill="auto" w:val="clear"/>
          </w:tcPr>
          <w:p>
            <w:pPr>
              <w:pStyle w:val="TableContents"/>
              <w:spacing w:before="0" w:after="283"/>
              <w:rPr/>
            </w:pPr>
            <w:r>
              <w:rPr/>
              <w:t>Christine M. Miller</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IPO Letter Agreement</w:t>
      </w:r>
      <w:r>
        <w:rPr>
          <w:rFonts w:ascii="Times New Roman" w:hAnsi="Times New Roman"/>
          <w:sz w:val="20"/>
        </w:rPr>
        <w:t xml:space="preserve">] </w:t>
      </w:r>
      <w:r>
        <w:br w:type="page"/>
      </w:r>
    </w:p>
    <w:p>
      <w:pPr>
        <w:pStyle w:val="HorizontalLine"/>
        <w:pBdr>
          <w:bottom w:val="double" w:sz="6" w:space="0" w:color="808080"/>
        </w:pBdr>
        <w:rPr/>
      </w:pPr>
      <w:r>
        <w:rPr/>
      </w:r>
    </w:p>
    <w:tbl>
      <w:tblPr>
        <w:tblW w:w="2000" w:type="pct"/>
        <w:jc w:val="righ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Kerrick S. Knauth</w:t>
            </w:r>
          </w:p>
        </w:tc>
      </w:tr>
      <w:tr>
        <w:trPr/>
        <w:tc>
          <w:tcPr>
            <w:tcW w:w="4082" w:type="dxa"/>
            <w:tcBorders/>
            <w:shd w:fill="auto" w:val="clear"/>
          </w:tcPr>
          <w:p>
            <w:pPr>
              <w:pStyle w:val="TableContents"/>
              <w:spacing w:before="0" w:after="283"/>
              <w:rPr/>
            </w:pPr>
            <w:r>
              <w:rPr/>
              <w:t>Kerrick S. Knauth</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IPO Letter Agreement</w:t>
      </w:r>
      <w:r>
        <w:rPr>
          <w:rFonts w:ascii="Times New Roman" w:hAnsi="Times New Roman"/>
          <w:sz w:val="20"/>
        </w:rPr>
        <w:t xml:space="preserve">] </w:t>
      </w:r>
      <w:r>
        <w:br w:type="page"/>
      </w:r>
    </w:p>
    <w:p>
      <w:pPr>
        <w:pStyle w:val="HorizontalLine"/>
        <w:pBdr>
          <w:bottom w:val="double" w:sz="6" w:space="0" w:color="808080"/>
        </w:pBdr>
        <w:rPr/>
      </w:pPr>
      <w:r>
        <w:rPr/>
      </w:r>
    </w:p>
    <w:tbl>
      <w:tblPr>
        <w:tblW w:w="2000" w:type="pct"/>
        <w:jc w:val="righ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Arno Harris</w:t>
            </w:r>
          </w:p>
        </w:tc>
      </w:tr>
      <w:tr>
        <w:trPr/>
        <w:tc>
          <w:tcPr>
            <w:tcW w:w="4082" w:type="dxa"/>
            <w:tcBorders/>
            <w:shd w:fill="auto" w:val="clear"/>
          </w:tcPr>
          <w:p>
            <w:pPr>
              <w:pStyle w:val="TableContents"/>
              <w:spacing w:before="0" w:after="283"/>
              <w:rPr/>
            </w:pPr>
            <w:r>
              <w:rPr/>
              <w:t>Arno Harris</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IPO Letter Agreement</w:t>
      </w:r>
      <w:r>
        <w:rPr>
          <w:rFonts w:ascii="Times New Roman" w:hAnsi="Times New Roman"/>
          <w:sz w:val="20"/>
        </w:rPr>
        <w:t xml:space="preserve">] </w:t>
      </w:r>
      <w:r>
        <w:br w:type="page"/>
      </w:r>
    </w:p>
    <w:p>
      <w:pPr>
        <w:pStyle w:val="HorizontalLine"/>
        <w:pBdr>
          <w:bottom w:val="double" w:sz="6" w:space="0" w:color="808080"/>
        </w:pBdr>
        <w:rPr/>
      </w:pPr>
      <w:r>
        <w:rPr/>
      </w:r>
    </w:p>
    <w:tbl>
      <w:tblPr>
        <w:tblW w:w="2000" w:type="pct"/>
        <w:jc w:val="righ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Audrey Lee</w:t>
            </w:r>
          </w:p>
        </w:tc>
      </w:tr>
      <w:tr>
        <w:trPr/>
        <w:tc>
          <w:tcPr>
            <w:tcW w:w="4082" w:type="dxa"/>
            <w:tcBorders/>
            <w:shd w:fill="auto" w:val="clear"/>
          </w:tcPr>
          <w:p>
            <w:pPr>
              <w:pStyle w:val="TableContents"/>
              <w:spacing w:before="0" w:after="283"/>
              <w:rPr/>
            </w:pPr>
            <w:r>
              <w:rPr/>
              <w:t>Audrey Lee</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IPO Letter Agreement</w:t>
      </w:r>
      <w:r>
        <w:rPr>
          <w:rFonts w:ascii="Times New Roman" w:hAnsi="Times New Roman"/>
          <w:sz w:val="20"/>
        </w:rPr>
        <w:t xml:space="preserve">] </w:t>
      </w:r>
      <w:r>
        <w:br w:type="page"/>
      </w:r>
    </w:p>
    <w:p>
      <w:pPr>
        <w:pStyle w:val="HorizontalLine"/>
        <w:pBdr>
          <w:bottom w:val="double" w:sz="6" w:space="0" w:color="808080"/>
        </w:pBdr>
        <w:rPr/>
      </w:pPr>
      <w:r>
        <w:rPr/>
      </w:r>
    </w:p>
    <w:tbl>
      <w:tblPr>
        <w:tblW w:w="2000" w:type="pct"/>
        <w:jc w:val="righ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Brian Goncher</w:t>
            </w:r>
          </w:p>
        </w:tc>
      </w:tr>
      <w:tr>
        <w:trPr/>
        <w:tc>
          <w:tcPr>
            <w:tcW w:w="4082" w:type="dxa"/>
            <w:tcBorders/>
            <w:shd w:fill="auto" w:val="clear"/>
          </w:tcPr>
          <w:p>
            <w:pPr>
              <w:pStyle w:val="TableContents"/>
              <w:spacing w:before="0" w:after="283"/>
              <w:rPr/>
            </w:pPr>
            <w:r>
              <w:rPr/>
              <w:t>Brian Goncher</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IPO Letter Agreement</w:t>
      </w:r>
      <w:r>
        <w:rPr>
          <w:rFonts w:ascii="Times New Roman" w:hAnsi="Times New Roman"/>
          <w:sz w:val="20"/>
        </w:rPr>
        <w:t xml:space="preserve">] </w:t>
      </w:r>
      <w:r>
        <w:br w:type="page"/>
      </w:r>
    </w:p>
    <w:p>
      <w:pPr>
        <w:pStyle w:val="HorizontalLine"/>
        <w:pBdr>
          <w:bottom w:val="double" w:sz="6" w:space="0" w:color="808080"/>
        </w:pBdr>
        <w:rPr/>
      </w:pPr>
      <w:r>
        <w:rPr/>
      </w:r>
    </w:p>
    <w:tbl>
      <w:tblPr>
        <w:tblW w:w="2000" w:type="pct"/>
        <w:jc w:val="righ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Steven Berkenfeld</w:t>
            </w:r>
          </w:p>
        </w:tc>
      </w:tr>
      <w:tr>
        <w:trPr/>
        <w:tc>
          <w:tcPr>
            <w:tcW w:w="4082" w:type="dxa"/>
            <w:tcBorders/>
            <w:shd w:fill="auto" w:val="clear"/>
          </w:tcPr>
          <w:p>
            <w:pPr>
              <w:pStyle w:val="TableContents"/>
              <w:spacing w:before="0" w:after="283"/>
              <w:rPr/>
            </w:pPr>
            <w:r>
              <w:rPr/>
              <w:t>Steven Berkenfeld</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IPO Letter Agreement</w:t>
      </w:r>
      <w:r>
        <w:rPr>
          <w:rFonts w:ascii="Times New Roman" w:hAnsi="Times New Roman"/>
          <w:sz w:val="20"/>
        </w:rPr>
        <w:t xml:space="preserve">] </w:t>
      </w:r>
      <w:r>
        <w:br w:type="page"/>
      </w:r>
    </w:p>
    <w:p>
      <w:pPr>
        <w:pStyle w:val="HorizontalLine"/>
        <w:pBdr>
          <w:bottom w:val="double" w:sz="6" w:space="0" w:color="808080"/>
        </w:pBdr>
        <w:rPr/>
      </w:pPr>
      <w:r>
        <w:rPr/>
      </w:r>
    </w:p>
    <w:tbl>
      <w:tblPr>
        <w:tblW w:w="4635" w:type="dxa"/>
        <w:jc w:val="left"/>
        <w:tblInd w:w="0" w:type="dxa"/>
        <w:tblCellMar>
          <w:top w:w="0" w:type="dxa"/>
          <w:left w:w="0" w:type="dxa"/>
          <w:bottom w:w="0" w:type="dxa"/>
          <w:right w:w="0" w:type="dxa"/>
        </w:tblCellMar>
      </w:tblPr>
      <w:tblGrid>
        <w:gridCol w:w="305"/>
        <w:gridCol w:w="60"/>
        <w:gridCol w:w="590"/>
        <w:gridCol w:w="60"/>
        <w:gridCol w:w="3620"/>
      </w:tblGrid>
      <w:tr>
        <w:trPr/>
        <w:tc>
          <w:tcPr>
            <w:tcW w:w="30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620" w:type="dxa"/>
            <w:tcBorders/>
            <w:shd w:fill="auto" w:val="clear"/>
            <w:vAlign w:val="center"/>
          </w:tcPr>
          <w:p>
            <w:pPr>
              <w:pStyle w:val="TableContents"/>
              <w:spacing w:before="0" w:after="283"/>
              <w:rPr>
                <w:sz w:val="4"/>
                <w:szCs w:val="4"/>
              </w:rPr>
            </w:pPr>
            <w:r>
              <w:rPr>
                <w:sz w:val="4"/>
                <w:szCs w:val="4"/>
              </w:rPr>
            </w:r>
          </w:p>
        </w:tc>
      </w:tr>
      <w:tr>
        <w:trPr/>
        <w:tc>
          <w:tcPr>
            <w:tcW w:w="4635" w:type="dxa"/>
            <w:gridSpan w:val="5"/>
            <w:tcBorders/>
            <w:shd w:fill="auto" w:val="clear"/>
          </w:tcPr>
          <w:p>
            <w:pPr>
              <w:pStyle w:val="TableContents"/>
              <w:spacing w:before="0" w:after="283"/>
              <w:rPr/>
            </w:pPr>
            <w:r>
              <w:rPr/>
              <w:t>Acknowledged and Agreed:</w:t>
            </w:r>
          </w:p>
        </w:tc>
      </w:tr>
      <w:tr>
        <w:trPr>
          <w:trHeight w:val="240" w:hRule="atLeast"/>
        </w:trPr>
        <w:tc>
          <w:tcPr>
            <w:tcW w:w="4635" w:type="dxa"/>
            <w:gridSpan w:val="5"/>
            <w:tcBorders/>
            <w:shd w:fill="auto" w:val="clear"/>
            <w:vAlign w:val="center"/>
          </w:tcPr>
          <w:p>
            <w:pPr>
              <w:pStyle w:val="TableContents"/>
              <w:spacing w:before="0" w:after="283"/>
              <w:rPr>
                <w:sz w:val="4"/>
                <w:szCs w:val="4"/>
              </w:rPr>
            </w:pPr>
            <w:r>
              <w:rPr>
                <w:sz w:val="4"/>
                <w:szCs w:val="4"/>
              </w:rPr>
            </w:r>
          </w:p>
        </w:tc>
      </w:tr>
      <w:tr>
        <w:trPr/>
        <w:tc>
          <w:tcPr>
            <w:tcW w:w="4635" w:type="dxa"/>
            <w:gridSpan w:val="5"/>
            <w:tcBorders/>
            <w:shd w:fill="auto" w:val="clear"/>
          </w:tcPr>
          <w:p>
            <w:pPr>
              <w:pStyle w:val="TableContents"/>
              <w:spacing w:before="0" w:after="283"/>
              <w:rPr>
                <w:b/>
              </w:rPr>
            </w:pPr>
            <w:r>
              <w:rPr>
                <w:b/>
              </w:rPr>
              <w:t>ARCLIGHT CLEAN TRANSITION CORP. II</w:t>
            </w:r>
          </w:p>
        </w:tc>
      </w:tr>
      <w:tr>
        <w:trPr>
          <w:trHeight w:val="240" w:hRule="atLeast"/>
        </w:trPr>
        <w:tc>
          <w:tcPr>
            <w:tcW w:w="305" w:type="dxa"/>
            <w:tcBorders/>
            <w:shd w:fill="auto" w:val="clear"/>
            <w:vAlign w:val="center"/>
          </w:tcPr>
          <w:p>
            <w:pPr>
              <w:pStyle w:val="TableContents"/>
              <w:spacing w:before="0" w:after="283"/>
              <w:rPr>
                <w:sz w:val="4"/>
                <w:szCs w:val="4"/>
              </w:rPr>
            </w:pPr>
            <w:r>
              <w:rPr>
                <w:sz w:val="4"/>
                <w:szCs w:val="4"/>
              </w:rPr>
            </w:r>
          </w:p>
        </w:tc>
        <w:tc>
          <w:tcPr>
            <w:tcW w:w="4330" w:type="dxa"/>
            <w:gridSpan w:val="4"/>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By:</w:t>
            </w:r>
          </w:p>
        </w:tc>
        <w:tc>
          <w:tcPr>
            <w:tcW w:w="60" w:type="dxa"/>
            <w:tcBorders/>
            <w:shd w:fill="auto" w:val="clear"/>
            <w:vAlign w:val="bottom"/>
          </w:tcPr>
          <w:p>
            <w:pPr>
              <w:pStyle w:val="TableContents"/>
              <w:spacing w:before="0" w:after="283"/>
              <w:rPr/>
            </w:pPr>
            <w:r>
              <w:rPr/>
              <w:t> </w:t>
            </w:r>
          </w:p>
        </w:tc>
        <w:tc>
          <w:tcPr>
            <w:tcW w:w="4270" w:type="dxa"/>
            <w:gridSpan w:val="3"/>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John F. Erhard                                </w:t>
            </w:r>
          </w:p>
        </w:tc>
      </w:tr>
      <w:tr>
        <w:trPr/>
        <w:tc>
          <w:tcPr>
            <w:tcW w:w="30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590" w:type="dxa"/>
            <w:tcBorders/>
            <w:shd w:fill="auto" w:val="clear"/>
          </w:tcPr>
          <w:p>
            <w:pPr>
              <w:pStyle w:val="TableContents"/>
              <w:spacing w:before="0" w:after="283"/>
              <w:rPr/>
            </w:pPr>
            <w:r>
              <w:rPr/>
              <w:t>Name:</w:t>
            </w:r>
          </w:p>
        </w:tc>
        <w:tc>
          <w:tcPr>
            <w:tcW w:w="60" w:type="dxa"/>
            <w:tcBorders/>
            <w:shd w:fill="auto" w:val="clear"/>
            <w:vAlign w:val="bottom"/>
          </w:tcPr>
          <w:p>
            <w:pPr>
              <w:pStyle w:val="TableContents"/>
              <w:spacing w:before="0" w:after="283"/>
              <w:rPr/>
            </w:pPr>
            <w:r>
              <w:rPr/>
              <w:t> </w:t>
            </w:r>
          </w:p>
        </w:tc>
        <w:tc>
          <w:tcPr>
            <w:tcW w:w="3620" w:type="dxa"/>
            <w:tcBorders/>
            <w:shd w:fill="auto" w:val="clear"/>
            <w:vAlign w:val="bottom"/>
          </w:tcPr>
          <w:p>
            <w:pPr>
              <w:pStyle w:val="TableContents"/>
              <w:spacing w:before="0" w:after="283"/>
              <w:rPr/>
            </w:pPr>
            <w:r>
              <w:rPr/>
              <w:t>John F. Erhard                    </w:t>
            </w:r>
          </w:p>
        </w:tc>
      </w:tr>
      <w:tr>
        <w:trPr/>
        <w:tc>
          <w:tcPr>
            <w:tcW w:w="30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590" w:type="dxa"/>
            <w:tcBorders/>
            <w:shd w:fill="auto" w:val="clear"/>
          </w:tcPr>
          <w:p>
            <w:pPr>
              <w:pStyle w:val="TableContents"/>
              <w:spacing w:before="0" w:after="283"/>
              <w:rPr/>
            </w:pPr>
            <w:r>
              <w:rPr/>
              <w:t>Title:</w:t>
            </w:r>
          </w:p>
        </w:tc>
        <w:tc>
          <w:tcPr>
            <w:tcW w:w="60" w:type="dxa"/>
            <w:tcBorders/>
            <w:shd w:fill="auto" w:val="clear"/>
            <w:vAlign w:val="bottom"/>
          </w:tcPr>
          <w:p>
            <w:pPr>
              <w:pStyle w:val="TableContents"/>
              <w:spacing w:before="0" w:after="283"/>
              <w:rPr/>
            </w:pPr>
            <w:r>
              <w:rPr/>
              <w:t> </w:t>
            </w:r>
          </w:p>
        </w:tc>
        <w:tc>
          <w:tcPr>
            <w:tcW w:w="3620" w:type="dxa"/>
            <w:tcBorders/>
            <w:shd w:fill="auto" w:val="clear"/>
            <w:vAlign w:val="bottom"/>
          </w:tcPr>
          <w:p>
            <w:pPr>
              <w:pStyle w:val="TableContents"/>
              <w:spacing w:before="0" w:after="283"/>
              <w:rPr/>
            </w:pPr>
            <w:r>
              <w:rPr/>
              <w:t>President and Chief Executive Officer</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IPO Letter Agreement</w:t>
      </w:r>
      <w:r>
        <w:rPr>
          <w:rFonts w:ascii="Times New Roman" w:hAnsi="Times New Roman"/>
          <w:sz w:val="20"/>
        </w:rPr>
        <w:t xml:space="preserve">] </w:t>
      </w:r>
      <w:r>
        <w:br w:type="page"/>
      </w:r>
    </w:p>
    <w:p>
      <w:pPr>
        <w:pStyle w:val="TextBody"/>
        <w:spacing w:before="0" w:after="0"/>
        <w:jc w:val="right"/>
        <w:rPr>
          <w:rFonts w:ascii="Times New Roman" w:hAnsi="Times New Roman"/>
          <w:b/>
          <w:sz w:val="20"/>
        </w:rPr>
      </w:pPr>
      <w:bookmarkStart w:id="16" w:name="d167128dex105.htm"/>
      <w:bookmarkStart w:id="17" w:name="ksd167128dex105"/>
      <w:bookmarkEnd w:id="16"/>
      <w:bookmarkEnd w:id="17"/>
      <w:r>
        <w:rPr>
          <w:rFonts w:ascii="Times New Roman" w:hAnsi="Times New Roman"/>
          <w:b/>
          <w:sz w:val="20"/>
        </w:rPr>
        <w:t xml:space="preserve">Exhibit 10.5 </w:t>
      </w:r>
    </w:p>
    <w:p>
      <w:pPr>
        <w:pStyle w:val="TextBody"/>
        <w:spacing w:before="480" w:after="0"/>
        <w:jc w:val="center"/>
        <w:rPr>
          <w:rFonts w:ascii="Times New Roman" w:hAnsi="Times New Roman"/>
          <w:b/>
          <w:sz w:val="20"/>
        </w:rPr>
      </w:pPr>
      <w:r>
        <w:rPr>
          <w:rFonts w:ascii="Times New Roman" w:hAnsi="Times New Roman"/>
          <w:b/>
          <w:sz w:val="20"/>
        </w:rPr>
        <w:t xml:space="preserve">ARCLIGHT CLEAN TRANSITION CORP. II </w:t>
      </w:r>
    </w:p>
    <w:p>
      <w:pPr>
        <w:pStyle w:val="TextBody"/>
        <w:spacing w:before="0" w:after="0"/>
        <w:jc w:val="center"/>
        <w:rPr>
          <w:rFonts w:ascii="Times New Roman" w:hAnsi="Times New Roman"/>
          <w:sz w:val="20"/>
        </w:rPr>
      </w:pPr>
      <w:r>
        <w:rPr>
          <w:rFonts w:ascii="Times New Roman" w:hAnsi="Times New Roman"/>
          <w:sz w:val="20"/>
        </w:rPr>
        <w:t xml:space="preserve">200 Clarendon Street, 55th Floor </w:t>
      </w:r>
    </w:p>
    <w:p>
      <w:pPr>
        <w:pStyle w:val="TextBody"/>
        <w:spacing w:before="0" w:after="0"/>
        <w:jc w:val="center"/>
        <w:rPr>
          <w:rFonts w:ascii="Times New Roman" w:hAnsi="Times New Roman"/>
          <w:sz w:val="20"/>
        </w:rPr>
      </w:pPr>
      <w:r>
        <w:rPr>
          <w:rFonts w:ascii="Times New Roman" w:hAnsi="Times New Roman"/>
          <w:sz w:val="20"/>
        </w:rPr>
        <w:t xml:space="preserve">Boston, MA 02116 </w:t>
      </w:r>
    </w:p>
    <w:p>
      <w:pPr>
        <w:pStyle w:val="TextBody"/>
        <w:spacing w:before="240" w:after="0"/>
        <w:jc w:val="center"/>
        <w:rPr>
          <w:rFonts w:ascii="Times New Roman" w:hAnsi="Times New Roman"/>
          <w:sz w:val="20"/>
        </w:rPr>
      </w:pPr>
      <w:r>
        <w:rPr>
          <w:rFonts w:ascii="Times New Roman" w:hAnsi="Times New Roman"/>
          <w:sz w:val="20"/>
        </w:rPr>
        <w:t xml:space="preserve">March 25, 2021 </w:t>
      </w:r>
    </w:p>
    <w:p>
      <w:pPr>
        <w:pStyle w:val="TextBody"/>
        <w:spacing w:before="240" w:after="0"/>
        <w:jc w:val="left"/>
        <w:rPr>
          <w:rFonts w:ascii="Times New Roman" w:hAnsi="Times New Roman"/>
          <w:sz w:val="20"/>
        </w:rPr>
      </w:pPr>
      <w:r>
        <w:rPr>
          <w:rFonts w:ascii="Times New Roman" w:hAnsi="Times New Roman"/>
          <w:sz w:val="20"/>
        </w:rPr>
        <w:t xml:space="preserve">ArcLight CTC Holdings II, L.P. </w:t>
      </w:r>
    </w:p>
    <w:p>
      <w:pPr>
        <w:pStyle w:val="TextBody"/>
        <w:spacing w:before="0" w:after="0"/>
        <w:jc w:val="left"/>
        <w:rPr>
          <w:rFonts w:ascii="Times New Roman" w:hAnsi="Times New Roman"/>
          <w:sz w:val="20"/>
        </w:rPr>
      </w:pPr>
      <w:r>
        <w:rPr>
          <w:rFonts w:ascii="Times New Roman" w:hAnsi="Times New Roman"/>
          <w:sz w:val="20"/>
        </w:rPr>
        <w:t xml:space="preserve">200 Clarendon Street, 55th Floor </w:t>
      </w:r>
    </w:p>
    <w:p>
      <w:pPr>
        <w:pStyle w:val="TextBody"/>
        <w:spacing w:before="0" w:after="0"/>
        <w:jc w:val="left"/>
        <w:rPr>
          <w:rFonts w:ascii="Times New Roman" w:hAnsi="Times New Roman"/>
          <w:sz w:val="20"/>
        </w:rPr>
      </w:pPr>
      <w:r>
        <w:rPr>
          <w:rFonts w:ascii="Times New Roman" w:hAnsi="Times New Roman"/>
          <w:sz w:val="20"/>
        </w:rPr>
        <w:t xml:space="preserve">Boston, Massachusetts 02116 </w:t>
      </w:r>
    </w:p>
    <w:p>
      <w:pPr>
        <w:pStyle w:val="TextBody"/>
        <w:spacing w:before="240" w:after="0"/>
        <w:jc w:val="left"/>
        <w:rPr>
          <w:rFonts w:ascii="Times New Roman" w:hAnsi="Times New Roman"/>
          <w:sz w:val="20"/>
        </w:rPr>
      </w:pPr>
      <w:r>
        <w:rPr>
          <w:rFonts w:ascii="Times New Roman" w:hAnsi="Times New Roman"/>
          <w:sz w:val="20"/>
        </w:rPr>
        <w:t xml:space="preserve">Ladies and Gentlemen: </w:t>
      </w:r>
    </w:p>
    <w:p>
      <w:pPr>
        <w:pStyle w:val="TextBody"/>
        <w:spacing w:before="240" w:after="0"/>
        <w:jc w:val="left"/>
        <w:rPr>
          <w:rFonts w:ascii="Times New Roman" w:hAnsi="Times New Roman"/>
          <w:sz w:val="20"/>
        </w:rPr>
      </w:pPr>
      <w:r>
        <w:rPr>
          <w:rFonts w:ascii="Times New Roman" w:hAnsi="Times New Roman"/>
          <w:sz w:val="20"/>
        </w:rPr>
        <w:t>This letter will confirm our agreement that, commencing on the effective date (the </w:t>
      </w:r>
      <w:r>
        <w:rPr>
          <w:rFonts w:ascii="Times New Roman" w:hAnsi="Times New Roman"/>
          <w:b/>
          <w:i/>
          <w:sz w:val="20"/>
        </w:rPr>
        <w:t>Effective Date</w:t>
      </w:r>
      <w:r>
        <w:rPr>
          <w:rFonts w:ascii="Times New Roman" w:hAnsi="Times New Roman"/>
          <w:sz w:val="20"/>
        </w:rPr>
        <w:t>) of the registration statement (the </w:t>
      </w:r>
      <w:r>
        <w:rPr>
          <w:rFonts w:ascii="Times New Roman" w:hAnsi="Times New Roman"/>
          <w:b/>
          <w:i/>
          <w:sz w:val="20"/>
        </w:rPr>
        <w:t>Registration Statement</w:t>
      </w:r>
      <w:r>
        <w:rPr>
          <w:rFonts w:ascii="Times New Roman" w:hAnsi="Times New Roman"/>
          <w:sz w:val="20"/>
        </w:rPr>
        <w:t>) for the initial public offering (the </w:t>
      </w:r>
      <w:r>
        <w:rPr>
          <w:rFonts w:ascii="Times New Roman" w:hAnsi="Times New Roman"/>
          <w:b/>
          <w:i/>
          <w:sz w:val="20"/>
        </w:rPr>
        <w:t>IPO</w:t>
      </w:r>
      <w:r>
        <w:rPr>
          <w:rFonts w:ascii="Times New Roman" w:hAnsi="Times New Roman"/>
          <w:sz w:val="20"/>
        </w:rPr>
        <w:t>) of the securities of ArcLight Clean Transition Corp. II (the </w:t>
      </w:r>
      <w:r>
        <w:rPr>
          <w:rFonts w:ascii="Times New Roman" w:hAnsi="Times New Roman"/>
          <w:b/>
          <w:i/>
          <w:sz w:val="20"/>
        </w:rPr>
        <w:t>Company</w:t>
      </w:r>
      <w:r>
        <w:rPr>
          <w:rFonts w:ascii="Times New Roman" w:hAnsi="Times New Roman"/>
          <w:sz w:val="20"/>
        </w:rPr>
        <w:t>) and continuing until the earlier of (i) the consummation by the Company of an initial business combination and (ii) the Companys liquidation (in each case as described in the Registration Statement) (such earlier date hereinafter referred to as the </w:t>
      </w:r>
      <w:r>
        <w:rPr>
          <w:rFonts w:ascii="Times New Roman" w:hAnsi="Times New Roman"/>
          <w:b/>
          <w:i/>
          <w:sz w:val="20"/>
        </w:rPr>
        <w:t>Termination Date</w:t>
      </w:r>
      <w:r>
        <w:rPr>
          <w:rFonts w:ascii="Times New Roman" w:hAnsi="Times New Roman"/>
          <w:sz w:val="20"/>
        </w:rPr>
        <w:t>), ArcLight CTC Holdings II, L.P. (the </w:t>
      </w:r>
      <w:r>
        <w:rPr>
          <w:rFonts w:ascii="Times New Roman" w:hAnsi="Times New Roman"/>
          <w:b/>
          <w:i/>
          <w:sz w:val="20"/>
        </w:rPr>
        <w:t>Sponsor</w:t>
      </w:r>
      <w:r>
        <w:rPr>
          <w:rFonts w:ascii="Times New Roman" w:hAnsi="Times New Roman"/>
          <w:sz w:val="20"/>
        </w:rPr>
        <w:t>) shall take steps directly or indirectly to make available to the Company certain office space, secretarial and administrative services as may be required by the Company from time to time, situated at 200 Clarendon Street, 55th Floor, Boston, Massachusetts 02116 (or any successor location). In exchange therefore the Company shall pay the Sponsor a sum of $10,000 per month on the Effective Date and continuing monthly thereafter until the Termination Date. The Sponsor hereby agrees that it does not have any right, title, interest or claim of any kind (a </w:t>
      </w:r>
      <w:r>
        <w:rPr>
          <w:rFonts w:ascii="Times New Roman" w:hAnsi="Times New Roman"/>
          <w:b/>
          <w:i/>
          <w:sz w:val="20"/>
        </w:rPr>
        <w:t>Claim</w:t>
      </w:r>
      <w:r>
        <w:rPr>
          <w:rFonts w:ascii="Times New Roman" w:hAnsi="Times New Roman"/>
          <w:sz w:val="20"/>
        </w:rPr>
        <w:t>) in or to any monies that may be set aside in a trust account (the </w:t>
      </w:r>
      <w:r>
        <w:rPr>
          <w:rFonts w:ascii="Times New Roman" w:hAnsi="Times New Roman"/>
          <w:b/>
          <w:i/>
          <w:sz w:val="20"/>
        </w:rPr>
        <w:t>Trust Account</w:t>
      </w:r>
      <w:r>
        <w:rPr>
          <w:rFonts w:ascii="Times New Roman" w:hAnsi="Times New Roman"/>
          <w:sz w:val="20"/>
        </w:rPr>
        <w:t xml:space="preserve">) that may be established upon the consummation of the IPO and hereby irrevocably waives any Claim it may have in the future as a result of, or arising out of, any negotiations, contracts or agreements with the Company and will not seek recourse against the Trust Account for any reason whatsoever. </w:t>
      </w:r>
    </w:p>
    <w:p>
      <w:pPr>
        <w:pStyle w:val="TextBody"/>
        <w:spacing w:before="240" w:after="0"/>
        <w:jc w:val="left"/>
        <w:rPr>
          <w:rFonts w:ascii="Times New Roman" w:hAnsi="Times New Roman"/>
          <w:sz w:val="20"/>
        </w:rPr>
      </w:pPr>
      <w:r>
        <w:rPr>
          <w:rFonts w:ascii="Times New Roman" w:hAnsi="Times New Roman"/>
          <w:sz w:val="20"/>
        </w:rPr>
        <w:t xml:space="preserve">This letter agreement constitutes the entire agreement and understanding of the parties hereto in respect of its subject matter and supersedes all prior understandings, agreements or representations by or between the parties hereto, written or oral, to the extent they relate in any way to the subject matter hereof or the transactions contemplated hereby. </w:t>
      </w:r>
    </w:p>
    <w:p>
      <w:pPr>
        <w:pStyle w:val="TextBody"/>
        <w:spacing w:before="240" w:after="0"/>
        <w:jc w:val="left"/>
        <w:rPr>
          <w:rFonts w:ascii="Times New Roman" w:hAnsi="Times New Roman"/>
          <w:sz w:val="20"/>
        </w:rPr>
      </w:pPr>
      <w:r>
        <w:rPr>
          <w:rFonts w:ascii="Times New Roman" w:hAnsi="Times New Roman"/>
          <w:sz w:val="20"/>
        </w:rPr>
        <w:t xml:space="preserve">This letter agreement may not be amended, modified or waived as to any particular provision, except by a written instrument executed by the parties hereto. </w:t>
      </w:r>
    </w:p>
    <w:p>
      <w:pPr>
        <w:pStyle w:val="TextBody"/>
        <w:spacing w:before="240" w:after="0"/>
        <w:jc w:val="left"/>
        <w:rPr>
          <w:rFonts w:ascii="Times New Roman" w:hAnsi="Times New Roman"/>
          <w:sz w:val="20"/>
        </w:rPr>
      </w:pPr>
      <w:r>
        <w:rPr>
          <w:rFonts w:ascii="Times New Roman" w:hAnsi="Times New Roman"/>
          <w:sz w:val="20"/>
        </w:rPr>
        <w:t xml:space="preserve">The parties may not assign this letter agreement and any of their rights, interests or obligations hereunder without the consent of the other party. </w:t>
      </w:r>
    </w:p>
    <w:p>
      <w:pPr>
        <w:pStyle w:val="TextBody"/>
        <w:spacing w:before="240" w:after="0"/>
        <w:jc w:val="left"/>
        <w:rPr>
          <w:rFonts w:ascii="Times New Roman" w:hAnsi="Times New Roman"/>
          <w:sz w:val="20"/>
        </w:rPr>
      </w:pPr>
      <w:r>
        <w:rPr>
          <w:rFonts w:ascii="Times New Roman" w:hAnsi="Times New Roman"/>
          <w:sz w:val="20"/>
        </w:rPr>
        <w:t xml:space="preserve">This letter agreement shall be governed by, construed in accordance with, and interpreted pursuant to the laws of the State of New York, without giving effect to its choice of laws principles that might apply the laws of another jurisdiction. </w:t>
      </w:r>
    </w:p>
    <w:p>
      <w:pPr>
        <w:pStyle w:val="TextBody"/>
        <w:spacing w:before="240" w:after="0"/>
        <w:jc w:val="left"/>
        <w:rPr>
          <w:rFonts w:ascii="Times New Roman" w:hAnsi="Times New Roman"/>
          <w:sz w:val="20"/>
        </w:rPr>
      </w:pPr>
      <w:r>
        <w:rPr>
          <w:rFonts w:ascii="Times New Roman" w:hAnsi="Times New Roman"/>
          <w:sz w:val="20"/>
        </w:rPr>
        <w:t xml:space="preserve">This letter agreement may be executed in one or more counterparts, each of which shall for all purposes be deemed to be an original but all of which together shall constitute one and the same agreement. Only one such counterpart signed by the party against whom enforceability is sought needs to be produced to evidence the existence of this letter agreement. </w:t>
      </w:r>
    </w:p>
    <w:p>
      <w:pPr>
        <w:pStyle w:val="TextBody"/>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Follows</w:t>
      </w:r>
      <w:r>
        <w:rPr>
          <w:rFonts w:ascii="Times New Roman" w:hAnsi="Times New Roman"/>
          <w:sz w:val="20"/>
        </w:rPr>
        <w:t xml:space="preserve">] </w:t>
      </w:r>
      <w:r>
        <w:br w:type="page"/>
      </w:r>
    </w:p>
    <w:p>
      <w:pPr>
        <w:pStyle w:val="HorizontalLine"/>
        <w:pBdr>
          <w:bottom w:val="double" w:sz="6" w:space="0" w:color="808080"/>
        </w:pBdr>
        <w:rPr/>
      </w:pPr>
      <w:r>
        <w:rPr/>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395"/>
        <w:gridCol w:w="60"/>
        <w:gridCol w:w="3627"/>
      </w:tblGrid>
      <w:tr>
        <w:trPr/>
        <w:tc>
          <w:tcPr>
            <w:tcW w:w="3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627"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pPr>
            <w:r>
              <w:rPr/>
              <w:t>Very truly yours,</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b/>
              </w:rPr>
            </w:pPr>
            <w:r>
              <w:rPr>
                <w:b/>
              </w:rPr>
              <w:t>ARCLIGHT CLEAN TRANSITION COR P.II</w:t>
            </w:r>
          </w:p>
        </w:tc>
      </w:tr>
      <w:tr>
        <w:trPr>
          <w:trHeight w:val="240" w:hRule="atLeast"/>
        </w:trPr>
        <w:tc>
          <w:tcPr>
            <w:tcW w:w="395" w:type="dxa"/>
            <w:tcBorders/>
            <w:shd w:fill="auto" w:val="clear"/>
            <w:vAlign w:val="center"/>
          </w:tcPr>
          <w:p>
            <w:pPr>
              <w:pStyle w:val="TableContents"/>
              <w:spacing w:before="0" w:after="283"/>
              <w:rPr>
                <w:sz w:val="4"/>
                <w:szCs w:val="4"/>
              </w:rPr>
            </w:pPr>
            <w:r>
              <w:rPr>
                <w:sz w:val="4"/>
                <w:szCs w:val="4"/>
              </w:rPr>
            </w:r>
          </w:p>
        </w:tc>
        <w:tc>
          <w:tcPr>
            <w:tcW w:w="3687" w:type="dxa"/>
            <w:gridSpan w:val="2"/>
            <w:tcBorders/>
            <w:shd w:fill="auto" w:val="clear"/>
            <w:vAlign w:val="center"/>
          </w:tcPr>
          <w:p>
            <w:pPr>
              <w:pStyle w:val="TableContents"/>
              <w:spacing w:before="0" w:after="283"/>
              <w:rPr>
                <w:sz w:val="4"/>
                <w:szCs w:val="4"/>
              </w:rPr>
            </w:pPr>
            <w:r>
              <w:rPr>
                <w:sz w:val="4"/>
                <w:szCs w:val="4"/>
              </w:rPr>
            </w:r>
          </w:p>
        </w:tc>
      </w:tr>
      <w:tr>
        <w:trPr/>
        <w:tc>
          <w:tcPr>
            <w:tcW w:w="395" w:type="dxa"/>
            <w:tcBorders/>
            <w:shd w:fill="auto" w:val="clear"/>
          </w:tcPr>
          <w:p>
            <w:pPr>
              <w:pStyle w:val="TableContents"/>
              <w:spacing w:before="0" w:after="283"/>
              <w:rPr/>
            </w:pPr>
            <w:r>
              <w:rPr/>
              <w:t>By:</w:t>
            </w:r>
          </w:p>
        </w:tc>
        <w:tc>
          <w:tcPr>
            <w:tcW w:w="60" w:type="dxa"/>
            <w:tcBorders/>
            <w:shd w:fill="auto" w:val="clear"/>
            <w:vAlign w:val="bottom"/>
          </w:tcPr>
          <w:p>
            <w:pPr>
              <w:pStyle w:val="TableContents"/>
              <w:spacing w:before="0" w:after="283"/>
              <w:rPr/>
            </w:pPr>
            <w:r>
              <w:rPr/>
              <w:t> </w:t>
            </w:r>
          </w:p>
        </w:tc>
        <w:tc>
          <w:tcPr>
            <w:tcW w:w="3627" w:type="dxa"/>
            <w:tcBorders/>
            <w:shd w:fill="auto" w:val="clear"/>
          </w:tcPr>
          <w:p>
            <w:pPr>
              <w:pStyle w:val="TableContents"/>
              <w:pBdr>
                <w:bottom w:val="single" w:sz="2" w:space="1" w:color="000000"/>
              </w:pBdr>
              <w:spacing w:before="0" w:after="20"/>
              <w:rPr/>
            </w:pPr>
            <w:r>
              <w:rPr/>
              <w:t>    </w:t>
            </w:r>
            <w:r>
              <w:rPr>
                <w:rFonts w:ascii="Times New Roman" w:hAnsi="Times New Roman"/>
                <w:sz w:val="20"/>
              </w:rPr>
              <w:t>/s/ John F. Erhard</w:t>
            </w:r>
          </w:p>
        </w:tc>
      </w:tr>
      <w:tr>
        <w:trPr/>
        <w:tc>
          <w:tcPr>
            <w:tcW w:w="4082" w:type="dxa"/>
            <w:gridSpan w:val="3"/>
            <w:tcBorders/>
            <w:shd w:fill="auto" w:val="clear"/>
          </w:tcPr>
          <w:p>
            <w:pPr>
              <w:pStyle w:val="TableContents"/>
              <w:spacing w:before="0" w:after="283"/>
              <w:rPr/>
            </w:pPr>
            <w:r>
              <w:rPr/>
              <w:t>Name: John F. Erhard</w:t>
            </w:r>
          </w:p>
        </w:tc>
      </w:tr>
      <w:tr>
        <w:trPr/>
        <w:tc>
          <w:tcPr>
            <w:tcW w:w="4082" w:type="dxa"/>
            <w:gridSpan w:val="3"/>
            <w:tcBorders/>
            <w:shd w:fill="auto" w:val="clear"/>
          </w:tcPr>
          <w:p>
            <w:pPr>
              <w:pStyle w:val="TableContents"/>
              <w:spacing w:before="0" w:after="283"/>
              <w:rPr/>
            </w:pPr>
            <w:r>
              <w:rPr/>
              <w:t>Title:   President and Chief Executive Officer</w:t>
            </w:r>
          </w:p>
        </w:tc>
      </w:tr>
    </w:tbl>
    <w:p>
      <w:pPr>
        <w:pStyle w:val="TextBody"/>
        <w:spacing w:before="0" w:after="0"/>
        <w:jc w:val="left"/>
        <w:rPr/>
      </w:pPr>
      <w:r>
        <w:rPr/>
        <w:t> </w:t>
      </w:r>
    </w:p>
    <w:tbl>
      <w:tblPr>
        <w:tblW w:w="2000" w:type="pct"/>
        <w:jc w:val="left"/>
        <w:tblInd w:w="0" w:type="dxa"/>
        <w:tblCellMar>
          <w:top w:w="0" w:type="dxa"/>
          <w:left w:w="0" w:type="dxa"/>
          <w:bottom w:w="0" w:type="dxa"/>
          <w:right w:w="0" w:type="dxa"/>
        </w:tblCellMar>
      </w:tblPr>
      <w:tblGrid>
        <w:gridCol w:w="589"/>
        <w:gridCol w:w="71"/>
        <w:gridCol w:w="3422"/>
      </w:tblGrid>
      <w:tr>
        <w:trPr/>
        <w:tc>
          <w:tcPr>
            <w:tcW w:w="589" w:type="dxa"/>
            <w:tcBorders/>
            <w:shd w:fill="auto" w:val="clear"/>
            <w:vAlign w:val="center"/>
          </w:tcPr>
          <w:p>
            <w:pPr>
              <w:pStyle w:val="TableContents"/>
              <w:spacing w:before="0" w:after="283"/>
              <w:rPr>
                <w:sz w:val="4"/>
                <w:szCs w:val="4"/>
              </w:rPr>
            </w:pPr>
            <w:r>
              <w:rPr>
                <w:sz w:val="4"/>
                <w:szCs w:val="4"/>
              </w:rPr>
            </w:r>
          </w:p>
        </w:tc>
        <w:tc>
          <w:tcPr>
            <w:tcW w:w="71" w:type="dxa"/>
            <w:tcBorders/>
            <w:shd w:fill="auto" w:val="clear"/>
            <w:vAlign w:val="bottom"/>
          </w:tcPr>
          <w:p>
            <w:pPr>
              <w:pStyle w:val="TableContents"/>
              <w:spacing w:before="0" w:after="283"/>
              <w:rPr>
                <w:sz w:val="4"/>
                <w:szCs w:val="4"/>
              </w:rPr>
            </w:pPr>
            <w:r>
              <w:rPr>
                <w:sz w:val="4"/>
                <w:szCs w:val="4"/>
              </w:rPr>
            </w:r>
          </w:p>
        </w:tc>
        <w:tc>
          <w:tcPr>
            <w:tcW w:w="3422"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pPr>
            <w:r>
              <w:rPr/>
              <w:t>AGREED TO AND ACCEPTED BY:</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pPr>
            <w:r>
              <w:rPr>
                <w:b/>
              </w:rPr>
              <w:t>ARCLIGHT CTC HOLDINGS II, L.P</w:t>
            </w:r>
            <w:r>
              <w:rPr/>
              <w:t>., a Delaware</w:t>
            </w:r>
          </w:p>
        </w:tc>
      </w:tr>
      <w:tr>
        <w:trPr/>
        <w:tc>
          <w:tcPr>
            <w:tcW w:w="4082" w:type="dxa"/>
            <w:gridSpan w:val="3"/>
            <w:tcBorders/>
            <w:shd w:fill="auto" w:val="clear"/>
          </w:tcPr>
          <w:p>
            <w:pPr>
              <w:pStyle w:val="TableContents"/>
              <w:spacing w:before="0" w:after="283"/>
              <w:rPr/>
            </w:pPr>
            <w:r>
              <w:rPr/>
              <w:t>limited partnership</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pPr>
            <w:r>
              <w:rPr/>
              <w:t>By: ACTC Holdings GP II, LLC, its General Partner</w:t>
            </w:r>
          </w:p>
        </w:tc>
      </w:tr>
      <w:tr>
        <w:trPr/>
        <w:tc>
          <w:tcPr>
            <w:tcW w:w="4082" w:type="dxa"/>
            <w:gridSpan w:val="3"/>
            <w:tcBorders/>
            <w:shd w:fill="auto" w:val="clear"/>
          </w:tcPr>
          <w:p>
            <w:pPr>
              <w:pStyle w:val="TableContents"/>
              <w:spacing w:before="0" w:after="283"/>
              <w:rPr/>
            </w:pPr>
            <w:r>
              <w:rPr/>
              <w:t>By: ArcLight Capital Holdings, LLC, its Manager</w:t>
            </w:r>
          </w:p>
        </w:tc>
      </w:tr>
      <w:tr>
        <w:trPr/>
        <w:tc>
          <w:tcPr>
            <w:tcW w:w="4082" w:type="dxa"/>
            <w:gridSpan w:val="3"/>
            <w:tcBorders/>
            <w:shd w:fill="auto" w:val="clear"/>
          </w:tcPr>
          <w:p>
            <w:pPr>
              <w:pStyle w:val="TableContents"/>
              <w:spacing w:before="0" w:after="283"/>
              <w:rPr/>
            </w:pPr>
            <w:r>
              <w:rPr/>
              <w:t>By: ACHP II, L.P., its Managing Member</w:t>
            </w:r>
          </w:p>
        </w:tc>
      </w:tr>
      <w:tr>
        <w:trPr/>
        <w:tc>
          <w:tcPr>
            <w:tcW w:w="4082" w:type="dxa"/>
            <w:gridSpan w:val="3"/>
            <w:tcBorders/>
            <w:shd w:fill="auto" w:val="clear"/>
          </w:tcPr>
          <w:p>
            <w:pPr>
              <w:pStyle w:val="TableContents"/>
              <w:spacing w:before="0" w:after="283"/>
              <w:rPr/>
            </w:pPr>
            <w:r>
              <w:rPr/>
              <w:t>By: ACH GP, LLC, its General Partner</w:t>
            </w:r>
          </w:p>
        </w:tc>
      </w:tr>
      <w:tr>
        <w:trPr>
          <w:trHeight w:val="240" w:hRule="atLeast"/>
        </w:trPr>
        <w:tc>
          <w:tcPr>
            <w:tcW w:w="589" w:type="dxa"/>
            <w:tcBorders/>
            <w:shd w:fill="auto" w:val="clear"/>
            <w:vAlign w:val="center"/>
          </w:tcPr>
          <w:p>
            <w:pPr>
              <w:pStyle w:val="TableContents"/>
              <w:spacing w:before="0" w:after="283"/>
              <w:rPr>
                <w:sz w:val="4"/>
                <w:szCs w:val="4"/>
              </w:rPr>
            </w:pPr>
            <w:r>
              <w:rPr>
                <w:sz w:val="4"/>
                <w:szCs w:val="4"/>
              </w:rPr>
            </w:r>
          </w:p>
        </w:tc>
        <w:tc>
          <w:tcPr>
            <w:tcW w:w="3493" w:type="dxa"/>
            <w:gridSpan w:val="2"/>
            <w:tcBorders/>
            <w:shd w:fill="auto" w:val="clear"/>
            <w:vAlign w:val="center"/>
          </w:tcPr>
          <w:p>
            <w:pPr>
              <w:pStyle w:val="TableContents"/>
              <w:spacing w:before="0" w:after="283"/>
              <w:rPr>
                <w:sz w:val="4"/>
                <w:szCs w:val="4"/>
              </w:rPr>
            </w:pPr>
            <w:r>
              <w:rPr>
                <w:sz w:val="4"/>
                <w:szCs w:val="4"/>
              </w:rPr>
            </w:r>
          </w:p>
        </w:tc>
      </w:tr>
      <w:tr>
        <w:trPr/>
        <w:tc>
          <w:tcPr>
            <w:tcW w:w="589" w:type="dxa"/>
            <w:tcBorders/>
            <w:shd w:fill="auto" w:val="clear"/>
          </w:tcPr>
          <w:p>
            <w:pPr>
              <w:pStyle w:val="TableContents"/>
              <w:spacing w:before="0" w:after="283"/>
              <w:rPr/>
            </w:pPr>
            <w:r>
              <w:rPr/>
              <w:t>By:</w:t>
            </w:r>
          </w:p>
        </w:tc>
        <w:tc>
          <w:tcPr>
            <w:tcW w:w="71" w:type="dxa"/>
            <w:tcBorders/>
            <w:shd w:fill="auto" w:val="clear"/>
            <w:vAlign w:val="bottom"/>
          </w:tcPr>
          <w:p>
            <w:pPr>
              <w:pStyle w:val="TableContents"/>
              <w:spacing w:before="0" w:after="283"/>
              <w:rPr/>
            </w:pPr>
            <w:r>
              <w:rPr/>
              <w:t> </w:t>
            </w:r>
          </w:p>
        </w:tc>
        <w:tc>
          <w:tcPr>
            <w:tcW w:w="3422" w:type="dxa"/>
            <w:tcBorders/>
            <w:shd w:fill="auto" w:val="clear"/>
          </w:tcPr>
          <w:p>
            <w:pPr>
              <w:pStyle w:val="TableContents"/>
              <w:pBdr>
                <w:bottom w:val="single" w:sz="2" w:space="1" w:color="000000"/>
              </w:pBdr>
              <w:spacing w:before="0" w:after="20"/>
              <w:rPr/>
            </w:pPr>
            <w:r>
              <w:rPr/>
              <w:t>    </w:t>
            </w:r>
            <w:r>
              <w:rPr>
                <w:rFonts w:ascii="Times New Roman" w:hAnsi="Times New Roman"/>
                <w:sz w:val="20"/>
              </w:rPr>
              <w:t>/s/ Daniel R. Revers                    </w:t>
            </w:r>
          </w:p>
        </w:tc>
      </w:tr>
      <w:tr>
        <w:trPr/>
        <w:tc>
          <w:tcPr>
            <w:tcW w:w="589" w:type="dxa"/>
            <w:tcBorders/>
            <w:shd w:fill="auto" w:val="clear"/>
          </w:tcPr>
          <w:p>
            <w:pPr>
              <w:pStyle w:val="TableContents"/>
              <w:spacing w:before="0" w:after="283"/>
              <w:rPr/>
            </w:pPr>
            <w:r>
              <w:rPr/>
              <w:t>Name:</w:t>
            </w:r>
          </w:p>
        </w:tc>
        <w:tc>
          <w:tcPr>
            <w:tcW w:w="71" w:type="dxa"/>
            <w:tcBorders/>
            <w:shd w:fill="auto" w:val="clear"/>
            <w:vAlign w:val="bottom"/>
          </w:tcPr>
          <w:p>
            <w:pPr>
              <w:pStyle w:val="TableContents"/>
              <w:spacing w:before="0" w:after="283"/>
              <w:rPr/>
            </w:pPr>
            <w:r>
              <w:rPr/>
              <w:t> </w:t>
            </w:r>
          </w:p>
        </w:tc>
        <w:tc>
          <w:tcPr>
            <w:tcW w:w="3422" w:type="dxa"/>
            <w:tcBorders/>
            <w:shd w:fill="auto" w:val="clear"/>
          </w:tcPr>
          <w:p>
            <w:pPr>
              <w:pStyle w:val="TableContents"/>
              <w:spacing w:before="0" w:after="283"/>
              <w:rPr/>
            </w:pPr>
            <w:r>
              <w:rPr/>
              <w:t>Daniel R. Revers</w:t>
            </w:r>
          </w:p>
        </w:tc>
      </w:tr>
      <w:tr>
        <w:trPr/>
        <w:tc>
          <w:tcPr>
            <w:tcW w:w="589" w:type="dxa"/>
            <w:tcBorders/>
            <w:shd w:fill="auto" w:val="clear"/>
          </w:tcPr>
          <w:p>
            <w:pPr>
              <w:pStyle w:val="TableContents"/>
              <w:spacing w:before="0" w:after="283"/>
              <w:rPr/>
            </w:pPr>
            <w:r>
              <w:rPr/>
              <w:t>Title:</w:t>
            </w:r>
          </w:p>
        </w:tc>
        <w:tc>
          <w:tcPr>
            <w:tcW w:w="71" w:type="dxa"/>
            <w:tcBorders/>
            <w:shd w:fill="auto" w:val="clear"/>
            <w:vAlign w:val="bottom"/>
          </w:tcPr>
          <w:p>
            <w:pPr>
              <w:pStyle w:val="TableContents"/>
              <w:spacing w:before="0" w:after="283"/>
              <w:rPr/>
            </w:pPr>
            <w:r>
              <w:rPr/>
              <w:t> </w:t>
            </w:r>
          </w:p>
        </w:tc>
        <w:tc>
          <w:tcPr>
            <w:tcW w:w="3422" w:type="dxa"/>
            <w:tcBorders/>
            <w:shd w:fill="auto" w:val="clear"/>
          </w:tcPr>
          <w:p>
            <w:pPr>
              <w:pStyle w:val="TableContents"/>
              <w:spacing w:before="0" w:after="283"/>
              <w:rPr/>
            </w:pPr>
            <w:r>
              <w:rPr/>
              <w:t>Manager</w:t>
            </w:r>
          </w:p>
        </w:tc>
      </w:tr>
    </w:tbl>
    <w:p>
      <w:pPr>
        <w:pStyle w:val="TextBody"/>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Administrative Services Agreement</w:t>
      </w:r>
      <w:r>
        <w:rPr>
          <w:rFonts w:ascii="Times New Roman" w:hAnsi="Times New Roman"/>
          <w:sz w:val="20"/>
        </w:rPr>
        <w:t xml:space="preserve">]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SYMBO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image" Target="media/image56.jpeg"/><Relationship Id="rId58" Type="http://schemas.openxmlformats.org/officeDocument/2006/relationships/image" Target="media/image57.jpeg"/><Relationship Id="rId59" Type="http://schemas.openxmlformats.org/officeDocument/2006/relationships/image" Target="media/image58.jpeg"/><Relationship Id="rId60" Type="http://schemas.openxmlformats.org/officeDocument/2006/relationships/image" Target="media/image59.jpeg"/><Relationship Id="rId61" Type="http://schemas.openxmlformats.org/officeDocument/2006/relationships/image" Target="media/image60.jpeg"/><Relationship Id="rId62" Type="http://schemas.openxmlformats.org/officeDocument/2006/relationships/image" Target="media/image61.jpeg"/><Relationship Id="rId63" Type="http://schemas.openxmlformats.org/officeDocument/2006/relationships/image" Target="media/image62.jpeg"/><Relationship Id="rId64" Type="http://schemas.openxmlformats.org/officeDocument/2006/relationships/image" Target="media/image63.jpeg"/><Relationship Id="rId65" Type="http://schemas.openxmlformats.org/officeDocument/2006/relationships/image" Target="media/image64.jpeg"/><Relationship Id="rId66" Type="http://schemas.openxmlformats.org/officeDocument/2006/relationships/image" Target="media/image65.jpeg"/><Relationship Id="rId67" Type="http://schemas.openxmlformats.org/officeDocument/2006/relationships/image" Target="media/image66.jpeg"/><Relationship Id="rId68" Type="http://schemas.openxmlformats.org/officeDocument/2006/relationships/image" Target="media/image67.jpeg"/><Relationship Id="rId69" Type="http://schemas.openxmlformats.org/officeDocument/2006/relationships/fontTable" Target="fontTable.xml"/><Relationship Id="rId7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203</Pages>
  <Words>106490</Words>
  <CharactersWithSpaces>654443</CharactersWithSpaces>
  <Paragraphs>4989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EX-10.5</dc:title>
</cp:coreProperties>
</file>