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064113262559.xml.htm"/>
      <w:bookmarkStart w:id="1" w:name="kswfform4_168064113262559"/>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Maurer Jonathan Gilbert</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ONE NORTH LEXINGTON AVE, 14TH FLOOR</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WHITE PLAINS</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10601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OPAL Fuels Inc.</w:t>
              </w:r>
            </w:hyperlink>
            <w:r>
              <w:rPr/>
              <w:t xml:space="preserve"> [ </w:t>
            </w:r>
            <w:r>
              <w:rPr>
                <w:rFonts w:ascii="Times;serif" w:hAnsi="Times;serif"/>
                <w:color w:val="0000FF"/>
                <w:sz w:val="24"/>
                <w:highlight w:val="white"/>
              </w:rPr>
              <w:t>OPAL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Co-Chief Executive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03/31/2023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374" w:type="dxa"/>
        <w:jc w:val="left"/>
        <w:tblInd w:w="0" w:type="dxa"/>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46"/>
        <w:gridCol w:w="92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6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options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6.97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03/31/2023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A</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57,035</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(2)(3)(4)(5)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03/31/2033</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57,035</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57,035</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(6)</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03/31/2023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A</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107,605</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(7)(8)(9)(10)</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107,605</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182,605</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Granted pursuant to the Issuer's 2022 Omnibus Equity Incentive Plan (the "Plan").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Reporting Person was granted an option to purchase shares of the Issuer's Class A common stock (the "Option") at an exercise price of $6.97 per share, which was the closing price per share of the Issuer's Class A common stock on March 31, 2023, as quoted on the Nasdaq Stock Market. The Option vests in three (3) equal installments on each of the following dates: (i) March 31, 2024, (ii) March 31, 2025, and (iii) March 31, 2026, provided, that the Reporting Person continues to provide services to the Issuer through the applicable vesting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Upon the occurrence of a termination by reason of the Reporting Person's death, any unvested portion of the Option shall accelerate and vest in full.</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Each restricted stock unit represents the contingent right to receive, at settlement, one share of the Issuer's Class A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The restricted stock units vest in three equal installments on March 31, 2024, March 31, 2025 and March 31, 2026, provided that the Reporting Person continues to provide services to the Issuer through the applicable vesting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In the event that the Reporting Person's employment is terminated by reason of the Reporting Persons disability or termination without cause, the restricted stock units (the RSUs) shall vest with respect to the number of RSUs that would have vested upon the next vesting date following such termination had the Reporting Person remained an employee.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9. 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RSUs shall accelerate and vest in full.</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10. Upon the occurrence of a termination by reason of the Reporting Persons death, any unvested portion of the RSUs shall accelerate and vest in full.</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John Coghlin as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04/04/2023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27035" TargetMode="External"/><Relationship Id="rId4" Type="http://schemas.openxmlformats.org/officeDocument/2006/relationships/hyperlink" Target="http://www.sec.gov/cgi-bin/browse-edgar?action=getcompany&amp;CIK=000184227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1017</Words>
  <CharactersWithSpaces>6323</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