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458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85335"/>
                    </a:xfrm>
                    <a:prstGeom prst="rect">
                      <a:avLst/>
                    </a:prstGeom>
                    <a:noFill/>
                  </pic:spPr>
                </pic:pic>
              </a:graphicData>
            </a:graphic>
          </wp:anchor>
        </w:drawing>
      </w:r>
    </w:p>
    <w:p>
      <w:pPr>
        <w:spacing w:after="0" w:line="1167"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0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Hasan Kazi</w:t>
              </w:r>
            </w:hyperlink>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60" w:type="dxa"/>
            <w:vAlign w:val="bottom"/>
            <w:tcBorders>
              <w:top w:val="single" w:sz="8" w:color="0000EE"/>
            </w:tcBorders>
          </w:tcPr>
          <w:p>
            <w:pPr>
              <w:spacing w:after="0"/>
              <w:rPr>
                <w:sz w:val="4"/>
                <w:szCs w:val="4"/>
                <w:color w:val="auto"/>
              </w:rPr>
            </w:pPr>
          </w:p>
        </w:tc>
        <w:tc>
          <w:tcPr>
            <w:tcW w:w="2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0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540" w:type="dxa"/>
            <w:vAlign w:val="bottom"/>
            <w:gridSpan w:val="4"/>
            <w:vMerge w:val="restart"/>
          </w:tcPr>
          <w:p>
            <w:pPr>
              <w:ind w:left="160"/>
              <w:spacing w:after="0" w:line="172" w:lineRule="exact"/>
              <w:rPr>
                <w:sz w:val="20"/>
                <w:szCs w:val="20"/>
                <w:color w:val="auto"/>
              </w:rPr>
            </w:pPr>
            <w:r>
              <w:rPr>
                <w:rFonts w:ascii="Times New Roman" w:cs="Times New Roman" w:eastAsia="Times New Roman" w:hAnsi="Times New Roman"/>
                <w:sz w:val="17"/>
                <w:szCs w:val="17"/>
                <w:color w:val="0000FF"/>
              </w:rPr>
              <w:t>03/31/2025</w:t>
            </w: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23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AVENUE, SUITE 1450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06" w:lineRule="exact"/>
        <w:rPr>
          <w:sz w:val="20"/>
          <w:szCs w:val="20"/>
          <w:color w:val="auto"/>
        </w:rPr>
      </w:pPr>
    </w:p>
    <w:p>
      <w:pPr>
        <w:sectPr>
          <w:pgSz w:w="11900" w:h="16838" w:orient="portrait"/>
          <w:cols w:equalWidth="0" w:num="2">
            <w:col w:w="7660" w:space="60"/>
            <w:col w:w="336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10601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1"/>
                <w:szCs w:val="11"/>
                <w:color w:val="auto"/>
              </w:rPr>
            </w:pPr>
          </w:p>
        </w:tc>
        <w:tc>
          <w:tcPr>
            <w:tcW w:w="2640" w:type="dxa"/>
            <w:vAlign w:val="bottom"/>
            <w:gridSpan w:val="5"/>
          </w:tcPr>
          <w:p>
            <w:pPr>
              <w:ind w:left="80"/>
              <w:spacing w:after="0"/>
              <w:rPr>
                <w:sz w:val="20"/>
                <w:szCs w:val="20"/>
                <w:color w:val="auto"/>
              </w:rPr>
            </w:pPr>
            <w:r>
              <w:rPr>
                <w:rFonts w:ascii="Arial" w:cs="Arial" w:eastAsia="Arial" w:hAnsi="Arial"/>
                <w:sz w:val="11"/>
                <w:szCs w:val="11"/>
                <w:b w:val="1"/>
                <w:bCs w:val="1"/>
                <w:color w:val="auto"/>
              </w:rPr>
              <w:t>Transaction  Disposed Of (D) (Instr. 3, 4 and</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640" w:type="dxa"/>
            <w:vAlign w:val="bottom"/>
          </w:tcPr>
          <w:p>
            <w:pPr>
              <w:ind w:left="14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ind w:right="4"/>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220,243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03/31/2025</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220,243</w:t>
            </w:r>
          </w:p>
        </w:tc>
        <w:tc>
          <w:tcPr>
            <w:tcW w:w="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220,243</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293,657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03/31/2025</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293,657</w:t>
            </w:r>
          </w:p>
        </w:tc>
        <w:tc>
          <w:tcPr>
            <w:tcW w:w="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293,657</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-2097405</wp:posOffset>
            </wp:positionV>
            <wp:extent cx="29210" cy="2102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248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2025, the Reporting Person was granted 220,243 RSUs pursuant to the Plan. A total of 73,415 RSUs are scheduled to vest on March 31, 2026, a total of 73,414 RSUs are scheduled to vest on March 31, 2027, and a total of 73,414 RSUs are scheduled to vest on March 31, 2028, provided that the Reporting Person continues to provide services to the Issuer through the applicable vesting date. Each restricted stock unit represents the right to receive, at settlement, one share of Class A common stock.</w:t>
      </w:r>
    </w:p>
    <w:p>
      <w:pPr>
        <w:spacing w:after="0" w:line="26" w:lineRule="exact"/>
        <w:rPr>
          <w:rFonts w:ascii="Times New Roman" w:cs="Times New Roman" w:eastAsia="Times New Roman" w:hAnsi="Times New Roman"/>
          <w:sz w:val="13"/>
          <w:szCs w:val="13"/>
          <w:color w:val="008000"/>
        </w:rPr>
      </w:pPr>
    </w:p>
    <w:p>
      <w:pPr>
        <w:ind w:left="40" w:right="2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2025, the Reporting Person was granted 293,657 RSUs pursuant to the Plan. A total of 146,829 RSUs are scheduled to vest on March 31, 2026, and a total of 146,828 RSUs are scheduled to vest on March 31, 2027, provided that the Reporting Person continues to provide services to the Issuer through the applicable vesting date. Each restricted stock unit represents the right to receive, at settlement, one share of Class A common stock.</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1761"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2025-04-02T19:42:12Z</dcterms:created>
  <dcterms:modified xsi:type="dcterms:W3CDTF">2025-04-02T19:42:12Z</dcterms:modified>
</cp:coreProperties>
</file>