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As filed with the Securities and Exchange Commission on September 4, 2026</w:t>
      </w:r>
      <w:r>
        <w:rPr>
          <w:color w:val="000000"/>
        </w:rPr>
        <w:t> </w: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UNITED STATES</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S-3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REGISTRATION STATEMENT UNDER THE SECURITIES ACT OF 1933</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491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586"/>
        <w:gridCol w:w="586"/>
        <w:gridCol w:w="83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80-0990453</w:t>
            </w:r>
          </w:p>
        </w:tc>
      </w:tr>
      <w:tr>
        <w:trPr/>
        <w:tc>
          <w:tcPr>
            <w:tcW w:w="25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Number)</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North Lexington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1450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White Plains, New York 10601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(914) 705-4000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John Coghlin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General Counsel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 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North Lexington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1450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White Plains, New York 10601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(914) 705-4000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address, including zip code, and telephone number, including area code, of agent for service)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Copies of all communications, including communications sent to agent for service, should be sent to:</w:t>
      </w:r>
    </w:p>
    <w:p>
      <w:pPr>
        <w:pStyle w:val="TextBody"/>
        <w:bidi w:val="0"/>
        <w:spacing w:lineRule="auto" w:line="288" w:before="0" w:after="0"/>
        <w:jc w:val="center"/>
        <w:rPr>
          <w:color w:val="000000"/>
        </w:rPr>
      </w:pPr>
      <w:r>
        <w:rPr>
          <w:color w:val="000000"/>
        </w:rPr>
        <w:t> </w:t>
      </w:r>
    </w:p>
    <w:tbl>
      <w:tblPr>
        <w:tblW w:w="3840" w:type="dxa"/>
        <w:jc w:val="left"/>
        <w:tblInd w:w="0" w:type="dxa"/>
        <w:tblLayout w:type="fixed"/>
        <w:tblCellMar>
          <w:top w:w="28" w:type="dxa"/>
          <w:left w:w="28" w:type="dxa"/>
          <w:bottom w:w="28" w:type="dxa"/>
          <w:right w:w="28" w:type="dxa"/>
        </w:tblCellMar>
      </w:tblPr>
      <w:tblGrid>
        <w:gridCol w:w="1230"/>
        <w:gridCol w:w="1079"/>
        <w:gridCol w:w="1531"/>
      </w:tblGrid>
      <w:tr>
        <w:trPr/>
        <w:tc>
          <w:tcPr>
            <w:tcW w:w="123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Alexander M. Schwartz, Esq.</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Seth A. Lemings, Esq.</w:t>
              <w:br/>
              <w:t>Sheppard, Mullin, Richter &amp; Hampton LLP</w:t>
              <w:br/>
              <w:t>321 N. Clark Street, 31st Floor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Chicago, Illinois 60654</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 (312) 499-6300</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Approximate date of commencement of proposed sale to the public</w:t>
      </w:r>
      <w:r>
        <w:rPr>
          <w:rFonts w:ascii="Times New Roman;serif" w:hAnsi="Times New Roman;serif"/>
          <w:b w:val="false"/>
          <w:color w:val="000000"/>
          <w:sz w:val="20"/>
        </w:rPr>
        <w:t>: From time to time after this Registration Statement becomes effective.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the only securities being registered on this Form are being offered pursuant to dividend or interest reinvestment plans, please check the following box.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pPr>
      <w:r>
        <w:rPr>
          <w:rFonts w:ascii="Times New Roman;serif" w:hAnsi="Times New Roman;serif"/>
          <w:b w:val="false"/>
          <w:color w:val="000000"/>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37565"/>
                <wp:effectExtent l="0" t="0" r="0" b="0"/>
                <wp:wrapNone/>
                <wp:docPr id="1" name="Frame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left"/>
        <w:rPr>
          <w:color w:val="000000"/>
        </w:rPr>
      </w:pPr>
      <w:r>
        <w:rPr>
          <w:color w:val="000000"/>
        </w:rPr>
        <w: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color w:val="000000"/>
        </w:rPr>
        <w: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registration statement on Form S-3 (this “Registration Statement”) is being filed by OPAL Fuels Inc. (the “Company”) pursuant to Rule 415(a)(6) under the Securities Act of 1933, as amended, to replace the Company's registration statement on Form S-3 (File No. 333-273584), filed with the SEC on August 1, 2023 (as amended and supplemented, the “Expiring Registration Statement”), which is due to expire on September 6, 2026. Pursuant to Rule 415(a)(6) under the Securities Act, we are including in this Registration Statement unsold securities with a maximum aggregate offering price of $199,000,000 (the “Unsold Securities”) previously registered under the Expiring Registration Statement. No additional securities beyond what remains on the Expiring Registration Statement are being registered on this Registration Statement.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Rule 415(a)(5)(ii) under the Securities Act, by filing this Registration Statement, the Company may issue and sell the Unsold Securities until the earlier of the effective date of this Registration Statement or 180 days after September 6, 2026. In accordance with Rule 415(a)(6), the effectiveness of this Registration Statement will be deemed to terminate the Expiring Registration Statement.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FF0000"/>
          <w:sz w:val="20"/>
        </w:rPr>
      </w:pPr>
      <w:r>
        <w:rPr>
          <w:rFonts w:ascii="Times New Roman;serif" w:hAnsi="Times New Roman;serif"/>
          <w:b/>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SUBJECT TO COMPLETION, DATED SEPTEMBER 4, 2026</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erif" w:hAnsi="Times New Roman;serif"/>
          <w:b/>
          <w:color w:val="000000"/>
          <w:sz w:val="20"/>
        </w:rPr>
      </w:pPr>
      <w:r>
        <w:rPr>
          <w:rFonts w:ascii="Times New Roman;serif" w:hAnsi="Times New Roman;serif"/>
          <w:b/>
          <w:color w:val="000000"/>
          <w:sz w:val="20"/>
        </w:rPr>
        <w:t>PRELIMINARY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37565"/>
                <wp:effectExtent l="0" t="0" r="0" b="0"/>
                <wp:wrapNone/>
                <wp:docPr id="2" name="Frame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drawing>
          <wp:inline distT="0" distB="0" distL="0" distR="0">
            <wp:extent cx="2514600" cy="5905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514600" cy="590550"/>
                    </a:xfrm>
                    <a:prstGeom prst="rect">
                      <a:avLst/>
                    </a:prstGeom>
                  </pic:spPr>
                </pic:pic>
              </a:graphicData>
            </a:graphic>
          </wp:inline>
        </w:drawing>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OPAL FUELS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Class A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and sell, from time to time in one or more offerings, any combination of Class A common stock, preferred stock, warrants to purchase Class A common stock, preferred stock, or any combination of the foregoing, either individually or as units comprised of one or more of the other securities, having aggregate offering proceeds not exceeding $199 million.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prospectus provides a general description of the securities we may offer. Each time we sell a particular class or series of securities, we will provide specific terms of the securities offered in a supplement to this prospectus. The prospectus supplement and any related free writing prospectus may also add, update or change information contained in this prospectus. We may also authorize one or more free writing prospectuses to be provided to you in connection with these offerings. You should read carefully this prospectus, the applicable prospectus supplement and any related free writing prospectus, as well as any documents incorporated by reference herein or therein before you invest in any of our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specific terms of any securities to be offered, and the specific manner in which they may be offered, will be described in one or more supplements to this prospectus. This prospectus may not be used to consummate sales of any of these securities unless it is accompanied by a prospectus supplement. Before investing, you should carefully read this prospectus and any related prospectus supplement.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is presently listed on The Nasdaq Capital Market under the symbol “OPAL.” On September 2, 2026, the last reported sale price of our Class A common stock was $1.99 per share. The applicable prospectus supplement will contain information, where applicable, as to any other listing on The Nasdaq Capital Market or any securities market or other exchange of the securities, if any, covered by the prospectus supplement. Prospective purchasers of our securities are urged to obtain current information as to the market prices of our securities, where applicable.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securities may be sold directly by us, through dealers or agents designated from time to time, to or through underwriters, dealers, or through a combination of these methods on a continuous or delayed basis. See “Plan of Distribution” in this prospectus. We may also describe the plan of distribution for any particular offering of our securities in a prospectus supplement. If any agents, underwriters or dealers are involved in the sale of any securities in respect of which this prospectus is being delivered, we will disclose their names and the nature of our arrangements with them in a prospectus supplement. The price to the public of such securities and the net proceeds we expect to receive from any such sale will also be included in a prospectus supplement.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that term is defined under the federal securities laws and, as such, are subject to certain reduced public company reporting requirements.</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both"/>
        <w:rPr>
          <w:rFonts w:ascii="Times New Roman;serif" w:hAnsi="Times New Roman;serif"/>
          <w:b/>
          <w:color w:val="000000"/>
          <w:sz w:val="20"/>
        </w:rPr>
      </w:pPr>
      <w:r>
        <w:rPr>
          <w:rFonts w:ascii="Times New Roman;serif" w:hAnsi="Times New Roman;serif"/>
          <w:b/>
          <w:color w:val="000000"/>
          <w:sz w:val="20"/>
        </w:rPr>
        <w:t>Investing in our securities involves risks that are described in the “Risk Factors” section beginning on page 4 of this prospectus.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37565"/>
                <wp:effectExtent l="0" t="0" r="0" b="0"/>
                <wp:wrapNone/>
                <wp:docPr id="4" name="Frame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date of this prospectus is ,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center"/>
        <w:rPr>
          <w:color w:val="000000"/>
        </w:rPr>
      </w:pPr>
      <w:r>
        <w:rPr>
          <w:color w:val="000000"/>
        </w:rPr>
        <w:t> </w:t>
      </w:r>
    </w:p>
    <w:tbl>
      <w:tblPr>
        <w:tblW w:w="7347" w:type="dxa"/>
        <w:jc w:val="left"/>
        <w:tblInd w:w="0" w:type="dxa"/>
        <w:tblLayout w:type="fixed"/>
        <w:tblCellMar>
          <w:top w:w="28" w:type="dxa"/>
          <w:left w:w="28" w:type="dxa"/>
          <w:bottom w:w="28" w:type="dxa"/>
          <w:right w:w="28" w:type="dxa"/>
        </w:tblCellMar>
      </w:tblPr>
      <w:tblGrid>
        <w:gridCol w:w="2525"/>
        <w:gridCol w:w="2222"/>
        <w:gridCol w:w="2228"/>
        <w:gridCol w:w="109"/>
        <w:gridCol w:w="109"/>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388">
              <w:r>
                <w:rPr>
                  <w:rStyle w:val="InternetLink"/>
                  <w:rFonts w:ascii="Times New Roman;serif" w:hAnsi="Times New Roman;serif"/>
                  <w:b w:val="false"/>
                  <w:color w:val="0000EE"/>
                  <w:sz w:val="20"/>
                  <w:u w:val="single"/>
                </w:rPr>
                <w:t>TRADEMARKS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404">
              <w:r>
                <w:rPr>
                  <w:rStyle w:val="InternetLink"/>
                  <w:rFonts w:ascii="Times New Roman;serif" w:hAnsi="Times New Roman;serif"/>
                  <w:b w:val="false"/>
                  <w:color w:val="0000EE"/>
                  <w:sz w:val="20"/>
                  <w:u w:val="single"/>
                </w:rPr>
                <w:t>SELECTED DEFINITIONS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420">
              <w:r>
                <w:rPr>
                  <w:rStyle w:val="InternetLink"/>
                  <w:rFonts w:ascii="Times New Roman;serif" w:hAnsi="Times New Roman;serif"/>
                  <w:b w:val="false"/>
                  <w:color w:val="0000EE"/>
                  <w:sz w:val="20"/>
                  <w:u w:val="single"/>
                </w:rPr>
                <w:t>ABOUT THIS PROSPECTUS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436">
              <w:r>
                <w:rPr>
                  <w:rStyle w:val="InternetLink"/>
                  <w:rFonts w:ascii="Times New Roman;serif" w:hAnsi="Times New Roman;serif"/>
                  <w:b w:val="false"/>
                  <w:color w:val="0000EE"/>
                  <w:sz w:val="20"/>
                  <w:u w:val="single"/>
                </w:rPr>
                <w:t>CAUTIONARY STATEMENT REGARDING FORWARD-LOOKING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452">
              <w:r>
                <w:rPr>
                  <w:rStyle w:val="InternetLink"/>
                  <w:rFonts w:ascii="Times New Roman;serif" w:hAnsi="Times New Roman;serif"/>
                  <w:b w:val="false"/>
                  <w:color w:val="0000EE"/>
                  <w:sz w:val="20"/>
                  <w:u w:val="single"/>
                </w:rPr>
                <w:t>SUMMARY</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468">
              <w:r>
                <w:rPr>
                  <w:rStyle w:val="InternetLink"/>
                  <w:rFonts w:ascii="Times New Roman;serif" w:hAnsi="Times New Roman;serif"/>
                  <w:b w:val="false"/>
                  <w:color w:val="0000EE"/>
                  <w:sz w:val="20"/>
                  <w:u w:val="single"/>
                </w:rPr>
                <w:t>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484">
              <w:r>
                <w:rPr>
                  <w:rStyle w:val="InternetLink"/>
                  <w:rFonts w:ascii="Times New Roman;serif" w:hAnsi="Times New Roman;serif"/>
                  <w:b w:val="false"/>
                  <w:color w:val="0000EE"/>
                  <w:sz w:val="20"/>
                  <w:u w:val="single"/>
                </w:rPr>
                <w:t>USE OF PROCEEDS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500">
              <w:r>
                <w:rPr>
                  <w:rStyle w:val="InternetLink"/>
                  <w:rFonts w:ascii="Times New Roman;serif" w:hAnsi="Times New Roman;serif"/>
                  <w:b w:val="false"/>
                  <w:color w:val="0000EE"/>
                  <w:sz w:val="20"/>
                  <w:u w:val="single"/>
                </w:rPr>
                <w:t>DESCRIPTION OF CAPITAL STOCK</w:t>
              </w:r>
            </w:hyperlink>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516">
              <w:r>
                <w:rPr>
                  <w:rStyle w:val="InternetLink"/>
                  <w:rFonts w:ascii="Times New Roman;serif" w:hAnsi="Times New Roman;serif"/>
                  <w:b w:val="false"/>
                  <w:color w:val="0000EE"/>
                  <w:sz w:val="20"/>
                  <w:u w:val="single"/>
                </w:rPr>
                <w:t>DESCRIPTION OF WARRANTS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532">
              <w:r>
                <w:rPr>
                  <w:rStyle w:val="InternetLink"/>
                  <w:rFonts w:ascii="Times New Roman;serif" w:hAnsi="Times New Roman;serif"/>
                  <w:b w:val="false"/>
                  <w:color w:val="0000EE"/>
                  <w:sz w:val="20"/>
                  <w:u w:val="single"/>
                </w:rPr>
                <w:t>DESCRIPTION OF UNITS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548">
              <w:r>
                <w:rPr>
                  <w:rStyle w:val="InternetLink"/>
                  <w:rFonts w:ascii="Times New Roman;serif" w:hAnsi="Times New Roman;serif"/>
                  <w:b w:val="false"/>
                  <w:color w:val="0000EE"/>
                  <w:sz w:val="20"/>
                  <w:u w:val="single"/>
                </w:rPr>
                <w:t>LEGAL OWNERSHIP OF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564">
              <w:r>
                <w:rPr>
                  <w:rStyle w:val="InternetLink"/>
                  <w:rFonts w:ascii="Times New Roman;serif" w:hAnsi="Times New Roman;serif"/>
                  <w:b w:val="false"/>
                  <w:color w:val="0000EE"/>
                  <w:sz w:val="20"/>
                  <w:u w:val="single"/>
                </w:rPr>
                <w:t>PLAN OF DISTRIBUTION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580">
              <w:r>
                <w:rPr>
                  <w:rStyle w:val="InternetLink"/>
                  <w:rFonts w:ascii="Times New Roman;serif" w:hAnsi="Times New Roman;serif"/>
                  <w:b w:val="false"/>
                  <w:color w:val="0000EE"/>
                  <w:sz w:val="20"/>
                  <w:u w:val="single"/>
                </w:rPr>
                <w:t>LEGAL MATTERS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596">
              <w:r>
                <w:rPr>
                  <w:rStyle w:val="InternetLink"/>
                  <w:rFonts w:ascii="Times New Roman;serif" w:hAnsi="Times New Roman;serif"/>
                  <w:b w:val="false"/>
                  <w:color w:val="0000EE"/>
                  <w:sz w:val="20"/>
                  <w:u w:val="single"/>
                </w:rPr>
                <w:t>EXPERTS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612">
              <w:r>
                <w:rPr>
                  <w:rStyle w:val="InternetLink"/>
                  <w:rFonts w:ascii="Times New Roman;serif" w:hAnsi="Times New Roman;serif"/>
                  <w:b w:val="false"/>
                  <w:color w:val="0000EE"/>
                  <w:sz w:val="20"/>
                  <w:u w:val="single"/>
                </w:rPr>
                <w:t>WHERE YOU CAN FIND MORE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70502796acd4c4abd57d6359bc4d6e6_628">
              <w:r>
                <w:rPr>
                  <w:rStyle w:val="InternetLink"/>
                  <w:rFonts w:ascii="Times New Roman;serif" w:hAnsi="Times New Roman;serif"/>
                  <w:b w:val="false"/>
                  <w:color w:val="0000EE"/>
                  <w:sz w:val="20"/>
                  <w:u w:val="single"/>
                </w:rPr>
                <w:t>INCORPORATION OF CERTAIN INFORMATION BY REFERENCE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TRADEMARKS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This document contains references to trademarks and service marks belonging to other entities. Solely for convenience, trademarks and trade names referred to in this prospectus may appear without the </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0"/>
        </w:rPr>
        <w:t xml:space="preserve">or </w:t>
      </w:r>
      <w:r>
        <w:rPr>
          <w:color w:val="000000"/>
        </w:rPr>
        <w:t xml:space="preserve">™ </w:t>
      </w:r>
      <w:r>
        <w:rPr>
          <w:rFonts w:ascii="Times New Roman;serif" w:hAnsi="Times New Roman;serif"/>
          <w:b w:val="false"/>
          <w:color w:val="000000"/>
          <w:sz w:val="20"/>
        </w:rPr>
        <w:t>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SELECTED DEFINITIONS</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used in this prospectus, unless the context otherwise requires:</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37565"/>
                <wp:effectExtent l="0" t="0" r="0" b="0"/>
                <wp:wrapNone/>
                <wp:docPr id="5" name="Frame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BCA” or “Business Combination Agreement” refers to the Business Combination Agreement dated as of December 2, 2021 (as the same has been or may be amended, modified, supplemented or waived from time to time), by and among ArcLight, Opco and OPAL Holdco.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Business Combination” refers to the transaction contemplated by the BCA.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Bylaws” refers to the bylaws of OPAL.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 xml:space="preserve">Charter” refers to the certificate of incorporation of OPAL.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Class A common stock” refers to the shares of Class A common stock, par value $0.0001 per share, of OPAL.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Class A Units” refers to the Class A Units as defined in the Second A&amp;R LLC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Class B common stock” refers to the shares of Class B common stock, par value $0.0001 per share, of OPAL.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Class B Units” refers to the Class B Units as defined in the Second A&amp;R LLC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Class C common stock” refers to the shares of Class C common stock, par value $0.0001 per share, of OPAL.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 xml:space="preserve">Class D common stock” refers to the shares of Class D common stock, par value $0.0001 per share, of OPAL.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Closing” refers to the closing of the Business Combination.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Common Stock” refers to the collective shares of Class A common stock, Class B common stock, Class C common stock and Class D common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Company”, “we”, “our”, “us” or similar terms refers to OPAL Fuels Inc. individually or on a consolidated basis, as the context may require.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Exchange Act” refers to the Securities Exchange Act of 1934, as amended.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val="false"/>
          <w:i/>
          <w:color w:val="000000"/>
          <w:sz w:val="20"/>
        </w:rPr>
        <w:t xml:space="preserve">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w:t>
      </w:r>
      <w:r>
        <w:rPr>
          <w:rFonts w:ascii="Times New Roman;serif" w:hAnsi="Times New Roman;serif"/>
          <w:b w:val="false"/>
          <w:color w:val="000000"/>
          <w:sz w:val="20"/>
        </w:rPr>
        <w:t xml:space="preserve">CNG. </w:t>
      </w:r>
      <w:r>
        <w:rPr>
          <w:rFonts w:ascii="Times New Roman;serif" w:hAnsi="Times New Roman;serif"/>
          <w:b w:val="false"/>
          <w:i/>
          <w:color w:val="000000"/>
          <w:sz w:val="20"/>
        </w:rPr>
        <w:t>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37565"/>
                <wp:effectExtent l="0" t="0" r="0" b="0"/>
                <wp:wrapNone/>
                <wp:docPr id="6" name="Frame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Hillman” refers to Hillman RNG Investments, LLC, a Delaware limited liability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Investor Rights Agreement” refers to the Investor Rights Agreement, dated July 21, 2022, by and among OPAL Fuels Inc., each of the Sellers named therein, the Sponsor and the Sponsor Principals as included in Exhibit 10.7 to the Current Report on Form 8-K, filed with the SEC on July 27, 2022, as the same may be amended, modified, supplemented or waived from time to time in accordance with its terms.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OPAL” and “OPAL Fuels” refers to OPAL Fuels Inc., a Delaware 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OPAL Preferred Stock” refers to our shares of preferred stock, par value $0.0001 per share.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w:t>
      </w:r>
      <w:r>
        <w:rPr>
          <w:rFonts w:ascii="Times New Roman;serif" w:hAnsi="Times New Roman;serif"/>
          <w:b w:val="false"/>
          <w:i/>
          <w:color w:val="000000"/>
          <w:sz w:val="20"/>
        </w:rPr>
        <w:t>Organizational Documents</w:t>
      </w:r>
      <w:r>
        <w:rPr>
          <w:color w:val="000000"/>
        </w:rPr>
        <w:t xml:space="preserve">” </w:t>
      </w:r>
      <w:r>
        <w:rPr>
          <w:rFonts w:ascii="Times New Roman;serif" w:hAnsi="Times New Roman;serif"/>
          <w:b w:val="false"/>
          <w:i/>
          <w:color w:val="000000"/>
          <w:sz w:val="20"/>
        </w:rPr>
        <w:t>refers to the Charter and the Bylaws.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Person” means an individual, partnership, corporation, limited liability company, joint stock company, unincorporated organization or association, trust, joint venture or other similar entity, whether or not a legal entity.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Second A&amp;R LLC Agreement” refers to the Second Amended and Restated Limited Liability Company Agreement of Opco.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Securities Act” refers to the Securities Act of 1933, as amended.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following is a glossary of key industry terms used herein: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Btu” refers to British thermal units.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CNG” refers to compressed natural gas.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EPA” refers to the U.S. Environmental Protection Agency.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LCFS” refers to Low Carbon Fuel Standard or similar types of federal and state programs.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LFG” means landfill gas.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RECs” refers to renewable energy credits.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Renewable Power” refers to electricity generated from renewable sources.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RFS” refers to the EPA’s Renewable Fuel Standard.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RINs” refers to Renewable Identification Numbers.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w:t>
      </w:r>
      <w:r>
        <w:rPr>
          <w:rFonts w:ascii="Times New Roman;serif" w:hAnsi="Times New Roman;serif"/>
          <w:b w:val="false"/>
          <w:i/>
          <w:color w:val="000000"/>
          <w:sz w:val="20"/>
        </w:rPr>
        <w:t>RNG” refers to renewable natural gas.</w:t>
      </w:r>
    </w:p>
    <w:p>
      <w:pPr>
        <w:pStyle w:val="TextBody"/>
        <w:bidi w:val="0"/>
        <w:spacing w:lineRule="auto" w:line="288" w:before="0" w:after="0"/>
        <w:jc w:val="center"/>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iv</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37565"/>
                <wp:effectExtent l="0" t="0" r="0" b="0"/>
                <wp:wrapNone/>
                <wp:docPr id="7" name="Frame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that we filed with the U.S. Securities and Exchange Commission (“SEC”) using a “shelf” registration process. Under this shelf registration statement, we may sell from time to time in one or more offerings of Class A common stock, preferred stock and/or warrants to purchase any of such securities, either individually or as units comprised of a combination of one or more of the other securities in one or more offerings up to a total dollar amount of $199 million. This prospectus provides you with a general description of the securities we may offer. Each time we sell any type or series of securities under this prospectus, we will provide a prospectus supplement that will contain more specific information about the terms of that offering.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prospectus does not contain all of the information included in the registration statement. For a more complete understanding of the offering of the securities, you should refer to the registration statement, including its exhibits. We may add, update or change, in a prospectus supplement or free writing prospectus, any of the information contained in this prospectus or in the documents we have incorporated by reference into this prospectus. We may also authorize one or more free writing prospectuses to be provided to you that may contain material information relating to these offerings.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You should carefully read both this prospectus and the applicable prospectus supplement and any related free writing prospectus, together with the additional information described under “Where You Can Find More Information,” before buying any of the securities being offered.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not authorized any dealer, agent or other person to give any information or to make any representation other than those contained or incorporated by reference in this prospectus, any accompanying prospectus supplement or any related free writing prospectus that we may authorize to be provided to you. You must not rely upon any information or representation not contained or incorporated by reference in this prospectus or an accompanying prospectus supplement, or any related free writing prospectus that we may authorize to be provided to you. This prospectus, the accompanying prospectus supplement and any related free writing prospectus, if any, do not constitute an offer to sell or the solicitation of an offer to buy any securities other than the registered securities to which they relate, nor do this prospectus, the accompanying prospectus supplement or any related free writing prospectus, if any,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(as our business, financial condition, results of operations and prospects may have changed since that date), even though this prospectus, any applicable prospectus supplement or any related free writing prospectus is delivered or securities are sold on a later date.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37565"/>
                <wp:effectExtent l="0" t="0" r="0" b="0"/>
                <wp:wrapNone/>
                <wp:docPr id="8" name="Frame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permitted by the rules and regulations of the SEC, the registration statement, of which this prospectus forms a part, includes additional information not contained in this prospectus. You may read the registration statement and the other reports we file with the SEC at the SEC’s web site or at the SEC’s offices described below under the heading “Where You Can Find More Information.”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Company References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this prospectus “the Company,” “we,” “us,” and “our” refer to OPAL Fuels Inc., a Delaware corporation, and its subsidiaries, unless the context otherwise requires.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statements made in this prospectus are “forward-looking statements” within the meaning of the Private Securities Litigation Reform Act of 1995, that involve risks and uncertainties. Words such as “estimates,” “projected,” “expects,”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pStyle w:val="TextBody"/>
        <w:bidi w:val="0"/>
        <w:spacing w:lineRule="auto" w:line="288" w:before="0" w:after="0"/>
        <w:ind w:left="0" w:right="0" w:hanging="480"/>
        <w:jc w:val="both"/>
        <w:rPr>
          <w:color w:val="000000"/>
        </w:rPr>
      </w:pPr>
      <w:r>
        <w:rPr>
          <w:color w:val="000000"/>
        </w:rPr>
        <w:t> </w:t>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our ability to grow and manage growth profitably, and maintain relationships with customers and suppliers;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our success in retaining or recruiting, our principal officers, key employees or directors;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intense competition and competitive pressures from other companies in the industry in which we operate;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increased costs of, or delays in obtaining, key components or labor for the construction and completion of LFG and livestock waste projects that generate electricity and RNG, CNG and hydrogen dispensing stations;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factors relating to our business, operations and financial performance, including market conditions and global and economic factors beyond our control;</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the reduction or elimination of government economic incentives to the renewable energy market;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factors associated with companies that are engaged in the production and integration of RNG, including (i) anticipated trends, growth rates and challenges in those businesses and in the markets in which they operate, (ii) contractual arrangements with, and the cooperation of, owners and operators of the landfill and livestock biogas conversion project facilities, on which we operate our LFG and livestock waste projects that generate electricity and (iii) RNG prices for Environmental Attributes (as defined below), LCFS (as defined below) credits and other incentives;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the ability to identify, acquire, develop and operate renewable projects and Fueling Stations (as defined below);</w:t>
      </w:r>
    </w:p>
    <w:p>
      <w:pPr>
        <w:pStyle w:val="TextBody"/>
        <w:bidi w:val="0"/>
        <w:spacing w:before="0" w:after="0"/>
        <w:ind w:left="0" w:right="0" w:hanging="720"/>
        <w:jc w:val="both"/>
        <w:rPr/>
      </w:pPr>
      <w:r>
        <w:rPr/>
      </w:r>
    </w:p>
    <w:p>
      <w:pPr>
        <w:pStyle w:val="TextBody"/>
        <w:bidi w:val="0"/>
        <w:spacing w:lineRule="auto" w:line="288"/>
        <w:ind w:left="0" w:right="0" w:hanging="720"/>
        <w:jc w:val="both"/>
        <w:rPr>
          <w:color w:val="000000"/>
        </w:rPr>
      </w:pPr>
      <w:r>
        <w:rPr>
          <w:color w:val="000000"/>
        </w:rPr>
        <w:t>▪    </w:t>
      </w:r>
      <w:r>
        <w:rPr>
          <w:rFonts w:ascii="Times New Roman;serif" w:hAnsi="Times New Roman;serif"/>
          <w:b w:val="false"/>
          <w:color w:val="000000"/>
          <w:sz w:val="20"/>
        </w:rPr>
        <w:t>our ability to issue equity or equity-linked securities or obtain or amend debt financing;</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37565"/>
                <wp:effectExtent l="0" t="0" r="0" b="0"/>
                <wp:wrapNone/>
                <wp:docPr id="9" name="Frame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the demand for renewable energy not being sustained;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impacts of climate change, changing weather patterns and conditions and natural disasters; and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the effect of legal, tax and regulatory changes.</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and in our Annual Report on Form 10-K, which was filed with the SEC on March 16, 2026 (our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summary highlights selected information contained elsewhere in this prospectus and does not contain all of the information you should consider when making your investment decision. Before investing in our securities, you should carefully read this entire prospectus. See also the section entitled “Where You Can Find More Information.” The definition of some of the terms used in this prospectus are set forth under the section “Selected Definitions.”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vertically integrated leader in the capture and conversion of biogas into low carbon intensity Renewable Power and RNG. We are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(i) LFG, which is produced by the decomposition of organic waste at landfills, and (ii) dairy manure, which is processed through anaerobic digesters to produce the biogas.</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37565"/>
                <wp:effectExtent l="0" t="0" r="0" b="0"/>
                <wp:wrapNone/>
                <wp:docPr id="10" name="Frame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hydrogen Fueling Stations, and we are pursuing opportunities to diversify our sources of biogas to other waste streams.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 information about us can be found in our most recent annual report on Form 10-K incorporated by reference herein together with any material changes thereto contained in subsequently filed quarterly reports on Form 10-Q.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We are a Delaware corporation. Our principal executive offices are located at One North Lexington Avenue, Suite 1450, White Plains, New York 10601 and our telephone number is (914) 705-4000. Our website is </w:t>
      </w:r>
      <w:r>
        <w:rPr>
          <w:rFonts w:ascii="Times New Roman;serif" w:hAnsi="Times New Roman;serif"/>
          <w:b w:val="false"/>
          <w:i/>
          <w:color w:val="000000"/>
          <w:sz w:val="20"/>
        </w:rPr>
        <w:t>www.opalfuels.com</w:t>
      </w:r>
      <w:r>
        <w:rPr>
          <w:rFonts w:ascii="Times New Roman;serif" w:hAnsi="Times New Roman;serif"/>
          <w:b w:val="false"/>
          <w:color w:val="000000"/>
          <w:sz w:val="20"/>
        </w:rPr>
        <w:t xml:space="preserve">. Our website and the information contained on, or accessed through, its website are not part of this prospectus, and you should rely only on the information contained in this prospectus when making a decision as to whether to invest in our securities.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Securities We May Offer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shares of our Class A common stock and preferred stock, and warrants to purchase any of such securities, either individually or in units, from time to time under this prospectus, together with any applicable prospectus supplement and related free writing prospectus, at prices and on terms to be determined by market conditions at the time of offering. Each time we offer securities under this prospectus, we will provide offerees with a prospectus supplement that will describe the specific amounts, prices and other important terms of the securities being offered, including, to the extent applicable: </w:t>
      </w:r>
    </w:p>
    <w:p>
      <w:pPr>
        <w:pStyle w:val="TextBody"/>
        <w:bidi w:val="0"/>
        <w:spacing w:before="0" w:after="0"/>
        <w:ind w:left="0" w:right="0" w:firstLine="720"/>
        <w:jc w:val="both"/>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designation or classification;</w:t>
      </w:r>
    </w:p>
    <w:p>
      <w:pPr>
        <w:pStyle w:val="TextBody"/>
        <w:bidi w:val="0"/>
        <w:spacing w:lineRule="auto" w:line="288" w:before="0" w:after="0"/>
        <w:jc w:val="left"/>
        <w:rPr>
          <w:color w:val="000000"/>
        </w:rPr>
      </w:pPr>
      <w:r>
        <w:rPr>
          <w:color w:val="000000"/>
        </w:rPr>
        <w:t>•</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aggregate principal amount or aggregate offering price;</w:t>
      </w:r>
    </w:p>
    <w:p>
      <w:pPr>
        <w:pStyle w:val="TextBody"/>
        <w:bidi w:val="0"/>
        <w:spacing w:lineRule="auto" w:line="288" w:before="0" w:after="0"/>
        <w:jc w:val="left"/>
        <w:rPr>
          <w:color w:val="000000"/>
        </w:rPr>
      </w:pPr>
      <w:r>
        <w:rPr>
          <w:color w:val="000000"/>
        </w:rPr>
        <w:t>•</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maturity, if applicable;</w:t>
      </w:r>
    </w:p>
    <w:p>
      <w:pPr>
        <w:pStyle w:val="TextBody"/>
        <w:bidi w:val="0"/>
        <w:spacing w:lineRule="auto" w:line="288" w:before="0" w:after="0"/>
        <w:jc w:val="left"/>
        <w:rPr>
          <w:color w:val="000000"/>
        </w:rPr>
      </w:pPr>
      <w:r>
        <w:rPr>
          <w:color w:val="000000"/>
        </w:rPr>
        <w:t>•</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original issue discount, if any;</w:t>
      </w:r>
    </w:p>
    <w:p>
      <w:pPr>
        <w:pStyle w:val="TextBody"/>
        <w:bidi w:val="0"/>
        <w:spacing w:lineRule="auto" w:line="288" w:before="0" w:after="0"/>
        <w:jc w:val="left"/>
        <w:rPr>
          <w:color w:val="000000"/>
        </w:rPr>
      </w:pPr>
      <w:r>
        <w:rPr>
          <w:color w:val="000000"/>
        </w:rPr>
        <w:t>•</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rates and times of payment of interest or dividends, if any;</w:t>
      </w:r>
    </w:p>
    <w:p>
      <w:pPr>
        <w:pStyle w:val="TextBody"/>
        <w:bidi w:val="0"/>
        <w:spacing w:lineRule="auto" w:line="288" w:before="0" w:after="0"/>
        <w:jc w:val="left"/>
        <w:rPr>
          <w:color w:val="000000"/>
        </w:rPr>
      </w:pPr>
      <w:r>
        <w:rPr>
          <w:color w:val="000000"/>
        </w:rPr>
        <w:t>•</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redemption, conversion, exchange or sinking fund terms, if any;</w:t>
      </w:r>
    </w:p>
    <w:p>
      <w:pPr>
        <w:pStyle w:val="TextBody"/>
        <w:bidi w:val="0"/>
        <w:spacing w:lineRule="auto" w:line="288" w:before="0" w:after="0"/>
        <w:jc w:val="left"/>
        <w:rPr>
          <w:color w:val="000000"/>
        </w:rPr>
      </w:pPr>
      <w:r>
        <w:rPr>
          <w:color w:val="000000"/>
        </w:rPr>
        <w:t>•</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conversion or exchange prices or rates, if any, and, if applicable, any provisions for changes to or adjustments in the conversion or exchange prices or rates and in the securities or other property receivable upon conversion or exchange;</w:t>
      </w:r>
    </w:p>
    <w:p>
      <w:pPr>
        <w:pStyle w:val="TextBody"/>
        <w:bidi w:val="0"/>
        <w:spacing w:lineRule="auto" w:line="288" w:before="0" w:after="0"/>
        <w:jc w:val="left"/>
        <w:rPr>
          <w:color w:val="000000"/>
        </w:rPr>
      </w:pPr>
      <w:r>
        <w:rPr>
          <w:color w:val="000000"/>
        </w:rPr>
        <w:t>•</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ranking;</w:t>
      </w:r>
    </w:p>
    <w:p>
      <w:pPr>
        <w:pStyle w:val="TextBody"/>
        <w:bidi w:val="0"/>
        <w:spacing w:lineRule="auto" w:line="288" w:before="0" w:after="0"/>
        <w:jc w:val="left"/>
        <w:rPr>
          <w:color w:val="000000"/>
        </w:rPr>
      </w:pPr>
      <w:r>
        <w:rPr>
          <w:color w:val="000000"/>
        </w:rPr>
        <w:t>•</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restrictive covenants, if any;</w:t>
      </w:r>
    </w:p>
    <w:p>
      <w:pPr>
        <w:pStyle w:val="TextBody"/>
        <w:bidi w:val="0"/>
        <w:spacing w:lineRule="auto" w:line="288" w:before="0" w:after="0"/>
        <w:jc w:val="left"/>
        <w:rPr>
          <w:color w:val="000000"/>
        </w:rPr>
      </w:pPr>
      <w:r>
        <w:rPr>
          <w:color w:val="000000"/>
        </w:rPr>
        <w:t>•</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voting or other rights, if any; and</w:t>
      </w:r>
    </w:p>
    <w:p>
      <w:pPr>
        <w:pStyle w:val="TextBody"/>
        <w:bidi w:val="0"/>
        <w:spacing w:lineRule="auto" w:line="288" w:before="0" w:after="0"/>
        <w:jc w:val="left"/>
        <w:rPr>
          <w:color w:val="000000"/>
        </w:rPr>
      </w:pPr>
      <w:r>
        <w:rPr>
          <w:color w:val="000000"/>
        </w:rPr>
        <w:t>•</w:t>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important United States federal income tax considerations.</w:t>
      </w:r>
    </w:p>
    <w:p>
      <w:pPr>
        <w:pStyle w:val="TextBody"/>
        <w:bidi w:val="0"/>
        <w:spacing w:lineRule="auto" w:line="288" w:before="0" w:after="0"/>
        <w:jc w:val="left"/>
        <w:rPr>
          <w:color w:val="000000"/>
        </w:rPr>
      </w:pPr>
      <w:r>
        <w:rPr>
          <w:color w:val="000000"/>
        </w:rPr>
        <w:t>•</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37565"/>
                <wp:effectExtent l="0" t="0" r="0" b="0"/>
                <wp:wrapNone/>
                <wp:docPr id="11" name="Frame1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registered and described in this prospectus at the time of the effectiveness of the registration statement of which this prospectus is a part.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sell the securities to or through underwriters, dealers or agents or directly to purchasers. We, as well as any agents acting on our behalf, reserve the sole right to accept and to reject in whole or in part any proposed purchase of securities. Each prospectus supplement will set forth the names of any underwriters, dealers or agents involved in the sale of securities described in that prospectus supplement and any applicable fee, commission or discount arrangements with them, details regarding any over-allotment option granted to them, and net proceeds to us. The following is a summary of the securities we may offer with this prospectus.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Class A Common Stock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authorized 1,120,000,000 shares, consisting of 820,000,000 shares of common Stock, par value $0.0001 per share, divided into: 340,000,000 shares of Class A common stock, 160,000,000 shares of Class B common stock, 160,000,000 shares of Class C common stock, and 160,000,000 shares of Class D common stock. As of September 2, 2026, there were 30,290,963 shares of Class A common stock outstanding, 121,500,000 shares of Class B common stock issued and outstanding, no shares of Class C common stock issued and outstanding, and 22,899,037 shares of Class D common stock issued and outstanding. We may offer shares of our Class A common stock either alone or underlying other registered securities convertible into or exercisable for our Class A common stock. Holders of our Class A common stock are entitled to such dividends as our board of directors (the “Board of Directors” or “Board”) may declare from time to time out of legally available funds, subject to the preferential rights of the holders of any shares of our preferred stock that are outstanding or that we may issue in the future. Currently, we do not pay any dividends on our Class A common stock. Each holder of our Class A common stock is entitled to one vote per share held on all matters submitted to a vote of our stockholders. In this prospectus, we provide a general description of, among other things, the rights and restrictions that apply to holders of our Class A common stock.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0"/>
        </w:rPr>
        <w:t>Preferred Stock</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have authorized 300,000,000 shares of preferred stock, par value $0.0001, none of which are issued and outstanding.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authorized and undesignated shares of preferred stock may be issued from time to time in one or more series pursuant to a resolution or resolutions providing for such issue duly adopted by our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rights, preferences, privileges, and restrictions granted to or imposed upon any series of preferred stock that we offer and sell under this prospectus and applicable prospectus supplements will be set forth in a certificate of designation relating to the series. We will incorporate by reference into the registration statement of which this prospectus is a part the form of any certificate of designation that describes the terms of the series of preferred stock we are offering before the issuance of shares of that series of preferred stock. You should read any prospectus supplement and any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37565"/>
                <wp:effectExtent l="0" t="0" r="0" b="0"/>
                <wp:wrapNone/>
                <wp:docPr id="12" name="Frame1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0"/>
        </w:rPr>
        <w:t>Warrants</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warrants for the purchase of shares of our Class A common stock or preferred stock. We may issue the warrants by themselves or together with Class A common stock or preferred stock, and the warrants may be attached to or separate from any offered securities. Any warrants issued under this prospectus may be evidenced by warrant certificates. Warrants may be issued under a separate warrant agreement to be entered into between us and the investors or a warrant agent. Our Board of Directors will determine the terms of the warrants. This prospectus contains only general terms and provisions of the warrants. The applicable prospectus supplement will describe the particular terms of the warrants being offered thereby. You should read any prospectus supplement and any free writing prospectus that we may authorize to be provided to you related to the series of warrants being offered, as well as the complete warrant agreements that contain the terms of the warrants. Specific warrant agreements will contain additional important terms and provisions and will be incorporated by reference into the registration statement of which this prospectus is a part from reports we file with the SEC.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0"/>
        </w:rPr>
        <w:t>Units</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offer units consisting of our Class A common stock or preferred stock, and/or warrants to purchase any of these securities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This prospectus contains only a summary of certain general features of the units. The applicable prospectus supplement will describe the particular features of the units being offered thereby.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will be incorporated by reference into the registration statement of which this prospectus is a part from reports we file with the SEC.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investment in our securities involves a high degree of risk. This prospectus contains, and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this prospectus and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2025, filed with the SEC on March 16, 2026, and incorporated herein by reference, as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0"/>
        <w:jc w:val="center"/>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Except as described in any prospectus supplement and any free writing prospectus in connection with a specific offering, we currently intend to use the net proceeds from the sale of the securities offered under this prospectus for general corporate purposes, including (i) sales and marketing, (ii) operational costs, (iii) design,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37565"/>
                <wp:effectExtent l="0" t="0" r="0" b="0"/>
                <wp:wrapNone/>
                <wp:docPr id="13" name="Frame1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development, construction, operation and maintenance of renewable energy and Fueling Stations, (iv) strategic transactions and (v) working capital and other general corporate purposes. We may also use the net proceeds to repay any debts and/or invest in or acquire complementary businesses, products, or technologies, although we have no current commitments or agreements with respect to any such investments or acquisitions as of the date of this prospectus. We have not determined the amount of net proceeds to be used specifically for the foregoing purposes. As a result, our management will have broad discretion in the allocation of the net proceeds and investors will be relying on the judgment of our management regarding the application of the proceeds of any sale of the securities. Pending use of the net proceeds, we intend to invest the proceeds in short-term, investment-grade, interest-bearing instruments.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time we offer securities under this prospectus, we will describe the intended use of the net proceeds from that offering in the applicable prospectus supplement. The actual amount of net proceeds we spend on a particular use will depend on many factors, including, our future capital expenditures, the amount of cash required by our operations, and our future revenue growth, if any. Therefore, we will retain broad discretion in the use of the net proceeds.</w:t>
      </w:r>
    </w:p>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pPr>
      <w:r>
        <w:rPr>
          <w:rFonts w:ascii="Times New Roman;serif" w:hAnsi="Times New Roman;serif"/>
          <w:b/>
          <w:color w:val="000000"/>
          <w:sz w:val="20"/>
        </w:rPr>
        <w:t>DESCRIPTION OF CAPITAL STOCK</w:t>
      </w: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description of OPAL’s capital stock is only a summary, and it does not contain all the information that may be important to you. For a complete description of the matters set forth in this section, you should refer to the Charter, the Bylaws, the Second A&amp;R LLC Agreement, the Investor Rights Agreement, and to the applicable provisions of Delaware law.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Authorized Capitalization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number of shares of all classes of stock that OPAL has the authority to issue is 1,120,000,000 shares, consisting of:</w:t>
      </w:r>
    </w:p>
    <w:p>
      <w:pPr>
        <w:pStyle w:val="TextBody"/>
        <w:bidi w:val="0"/>
        <w:spacing w:lineRule="auto" w:line="288" w:before="0" w:after="0"/>
        <w:ind w:left="0" w:right="0" w:hanging="360"/>
        <w:jc w:val="both"/>
        <w:rPr>
          <w:color w:val="000000"/>
        </w:rPr>
      </w:pPr>
      <w:r>
        <w:rPr>
          <w:color w:val="000000"/>
        </w:rPr>
        <w:t> </w:t>
      </w:r>
    </w:p>
    <w:tbl>
      <w:tblPr>
        <w:tblW w:w="75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7"/>
        <w:gridCol w:w="2027"/>
        <w:gridCol w:w="28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820,000,000 shares of Common Stock, par value of $0.0001 per share, divided into:</w:t>
            </w:r>
          </w:p>
        </w:tc>
      </w:tr>
    </w:tbl>
    <w:p>
      <w:pPr>
        <w:pStyle w:val="TextBody"/>
        <w:bidi w:val="0"/>
        <w:spacing w:lineRule="auto" w:line="288" w:before="0" w:after="0"/>
        <w:ind w:left="0" w:right="0" w:hanging="360"/>
        <w:jc w:val="both"/>
        <w:rPr>
          <w:color w:val="000000"/>
        </w:rPr>
      </w:pPr>
      <w:r>
        <w:rPr>
          <w:color w:val="000000"/>
        </w:rPr>
        <w:t> </w:t>
      </w:r>
    </w:p>
    <w:tbl>
      <w:tblPr>
        <w:tblW w:w="45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36"/>
        <w:gridCol w:w="1136"/>
        <w:gridCol w:w="1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340,000,000 shares of Class A common stock;</w:t>
            </w:r>
          </w:p>
        </w:tc>
      </w:tr>
    </w:tbl>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color w:val="000000"/>
        </w:rPr>
      </w:pPr>
      <w:r>
        <w:rPr>
          <w:color w:val="000000"/>
        </w:rPr>
        <w:t> </w:t>
      </w:r>
    </w:p>
    <w:tbl>
      <w:tblPr>
        <w:tblW w:w="45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36"/>
        <w:gridCol w:w="1136"/>
        <w:gridCol w:w="16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160,000,000 shares of Class B common stock;</w:t>
            </w:r>
          </w:p>
        </w:tc>
      </w:tr>
    </w:tbl>
    <w:p>
      <w:pPr>
        <w:pStyle w:val="TextBody"/>
        <w:bidi w:val="0"/>
        <w:spacing w:lineRule="auto" w:line="288" w:before="0" w:after="0"/>
        <w:ind w:left="0" w:right="0" w:hanging="360"/>
        <w:jc w:val="both"/>
        <w:rPr>
          <w:color w:val="000000"/>
        </w:rPr>
      </w:pPr>
      <w:r>
        <w:rPr>
          <w:color w:val="000000"/>
        </w:rPr>
        <w:t> </w:t>
      </w:r>
    </w:p>
    <w:tbl>
      <w:tblPr>
        <w:tblW w:w="48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37"/>
        <w:gridCol w:w="1237"/>
        <w:gridCol w:w="17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160,000,000 shares of Class C common stock; and</w:t>
            </w:r>
          </w:p>
        </w:tc>
      </w:tr>
    </w:tbl>
    <w:p>
      <w:pPr>
        <w:pStyle w:val="TextBody"/>
        <w:bidi w:val="0"/>
        <w:spacing w:lineRule="auto" w:line="288" w:before="0" w:after="0"/>
        <w:ind w:left="0" w:right="0" w:hanging="360"/>
        <w:jc w:val="both"/>
        <w:rPr>
          <w:color w:val="000000"/>
        </w:rPr>
      </w:pPr>
      <w:r>
        <w:rPr>
          <w:color w:val="000000"/>
        </w:rPr>
        <w:t> </w:t>
      </w:r>
    </w:p>
    <w:tbl>
      <w:tblPr>
        <w:tblW w:w="489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37"/>
        <w:gridCol w:w="1237"/>
        <w:gridCol w:w="17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160,000,000 shares of Class D common stock; and</w:t>
            </w:r>
          </w:p>
        </w:tc>
      </w:tr>
    </w:tbl>
    <w:p>
      <w:pPr>
        <w:pStyle w:val="TextBody"/>
        <w:bidi w:val="0"/>
        <w:spacing w:lineRule="auto" w:line="288" w:before="0" w:after="0"/>
        <w:ind w:left="0" w:right="0" w:hanging="360"/>
        <w:jc w:val="both"/>
        <w:rPr>
          <w:color w:val="000000"/>
        </w:rPr>
      </w:pPr>
      <w:r>
        <w:rPr>
          <w:color w:val="000000"/>
        </w:rPr>
        <w:t> </w:t>
      </w:r>
    </w:p>
    <w:tbl>
      <w:tblPr>
        <w:tblW w:w="6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90"/>
        <w:gridCol w:w="1790"/>
        <w:gridCol w:w="25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300,000,000 shares of OPAL Preferred Stock, par value $0.0001 per share.</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Class A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2, 2026, we had 30,290,963 shares of Class A common stock outstanding. </w:t>
      </w:r>
    </w:p>
    <w:p>
      <w:pPr>
        <w:pStyle w:val="TextBody"/>
        <w:bidi w:val="0"/>
        <w:spacing w:lineRule="auto" w:line="288"/>
        <w:ind w:left="0" w:right="0" w:firstLine="72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37565"/>
                <wp:effectExtent l="0" t="0" r="0" b="0"/>
                <wp:wrapNone/>
                <wp:docPr id="14" name="Frame1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Voting Rights. </w:t>
      </w:r>
      <w:r>
        <w:rPr>
          <w:rFonts w:ascii="Times New Roman;serif" w:hAnsi="Times New Roman;serif"/>
          <w:b w:val="false"/>
          <w:color w:val="000000"/>
          <w:sz w:val="20"/>
        </w:rPr>
        <w:t>Each holder of Class A common stock is entitled to one vote for each share of Class A common stock held of record by such holder on all matters on which stockholders generally are entitled to vote. Further, the holders of the outstanding shares of Class A common stock are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B common stock, the Class C common stock and the Class D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fullest extent permitted by law, holders of shares of each class of the Common Stock, as such, have no voting power with respect to, and are not entitled to vote on, any amendment to the Charter (including any certificate of designations relating to any series of OPAL Preferred Stock) that relates solely to the rights, powers, preferences (or the qualifications, limitations or restrictions thereof) or other terms of one or more outstanding series of OPAL Preferred Stock if the holders of such affected series of OPAL Preferred Stock are entitled, either separately or together with the holders of one or more other such series, to vote thereon under the Charter (including any certificate of designations relating to any series of OPAL Preferred Stock) or under the Delaware General Corporation Law (the “DGCL”).</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Dividends; Stock Splits or Combinations.</w:t>
      </w:r>
      <w:r>
        <w:rPr>
          <w:color w:val="000000"/>
        </w:rPr>
        <w:t> </w:t>
      </w:r>
      <w:r>
        <w:rPr>
          <w:rFonts w:ascii="Times New Roman;serif" w:hAnsi="Times New Roman;serif"/>
          <w:b w:val="false"/>
          <w:color w:val="000000"/>
          <w:sz w:val="20"/>
        </w:rPr>
        <w:t>Subject to applicable law and the rights, if any, of the holders of any outstanding series of OPAL Preferred Stock or any class or series of stock having a preference senior to or the right to participate with the Class A common stock and the Class C common stock with respect to the payment of dividends, dividends and other distributions of cash, stock or property may be declared and paid on the shares of Class A common stock and the shares of Class C common stock out of the assets of OPAL that are by law available therefor, at the times and in the amounts as our board of directors in its discretion may determine.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 event will any stock dividend, stock split, reverse stock split, combination of stock, reclassification or recapitalization be declared or made on any series of Common Stock (each, a “Stock Adjustment”) unless:</w:t>
      </w:r>
    </w:p>
    <w:p>
      <w:pPr>
        <w:pStyle w:val="TextBody"/>
        <w:bidi w:val="0"/>
        <w:spacing w:lineRule="auto" w:line="288"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corresponding Stock Adjustment for all other series of Common Stock not so adjusted at the time outstanding is made in the same proportion and the same manner; and</w:t>
            </w:r>
          </w:p>
        </w:tc>
      </w:tr>
    </w:tbl>
    <w:p>
      <w:pPr>
        <w:pStyle w:val="TextBody"/>
        <w:bidi w:val="0"/>
        <w:spacing w:lineRule="auto" w:line="288"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Stock Adjustment has been reflected in the same economically equivalent manner on all Class A Units (as defined in the Second A&amp;R LLC Agreement).</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 dividends with respect to each class of Common Stock may only be paid with shares of stock of the same series of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Liquidation.</w:t>
      </w:r>
      <w:r>
        <w:rPr>
          <w:color w:val="000000"/>
        </w:rPr>
        <w:t> </w:t>
      </w:r>
      <w:r>
        <w:rPr>
          <w:rFonts w:ascii="Times New Roman;serif" w:hAnsi="Times New Roman;serif"/>
          <w:b w:val="false"/>
          <w:color w:val="000000"/>
          <w:sz w:val="20"/>
        </w:rPr>
        <w:t xml:space="preserve">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serif" w:hAnsi="Times New Roman;serif"/>
          <w:b w:val="false"/>
          <w:i/>
          <w:color w:val="000000"/>
          <w:sz w:val="20"/>
        </w:rPr>
        <w:t>pari passu</w:t>
      </w:r>
      <w:r>
        <w:rPr>
          <w:rFonts w:ascii="Times New Roman;serif" w:hAnsi="Times New Roman;serif"/>
          <w:b w:val="false"/>
          <w:color w:val="000000"/>
          <w:sz w:val="20"/>
        </w:rPr>
        <w:t>,</w:t>
      </w:r>
      <w:r>
        <w:rPr>
          <w:color w:val="000000"/>
        </w:rPr>
        <w:t> </w:t>
      </w:r>
      <w:r>
        <w:rPr>
          <w:rFonts w:ascii="Times New Roman;serif" w:hAnsi="Times New Roman;serif"/>
          <w:b w:val="false"/>
          <w:color w:val="000000"/>
          <w:sz w:val="20"/>
        </w:rPr>
        <w:t>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Class B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2, 2026, we had 121,500,000 shares of Class B common stock issued and outstanding. Shares of Class B common stock may, together with the corresponding Class B Units (as defined in the Second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37565"/>
                <wp:effectExtent l="0" t="0" r="0" b="0"/>
                <wp:wrapNone/>
                <wp:docPr id="15" name="Frame1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A&amp;R LLC Agreement), be exchanged for shares of Class A common stock pursuant to the Second A&amp;R LLC Agreement.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Voting Rights.</w:t>
      </w:r>
      <w:r>
        <w:rPr>
          <w:color w:val="000000"/>
        </w:rPr>
        <w:t> </w:t>
      </w:r>
      <w:r>
        <w:rPr>
          <w:rFonts w:ascii="Times New Roman;serif" w:hAnsi="Times New Roman;serif"/>
          <w:b w:val="false"/>
          <w:color w:val="000000"/>
          <w:sz w:val="20"/>
        </w:rPr>
        <w:t>Each holder of Class B common stock will be entitled to one vote for each share of Class B common stock held of record by such holder on all matters on which stockholders generally are entitled to vote. Further, the holders of the outstanding shares of Class B common stock will be entitled to vote separately 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C common stock and the Class D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Dividends; Stock Splits or Combinations.</w:t>
      </w:r>
      <w:r>
        <w:rPr>
          <w:color w:val="000000"/>
        </w:rPr>
        <w:t xml:space="preserve"> </w:t>
      </w:r>
      <w:r>
        <w:rPr>
          <w:rFonts w:ascii="Times New Roman;serif" w:hAnsi="Times New Roman;serif"/>
          <w:b w:val="false"/>
          <w:color w:val="000000"/>
          <w:sz w:val="20"/>
        </w:rPr>
        <w:t>Dividends of cash or property may not be declared or paid on shares of Class B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Liquidation.</w:t>
      </w:r>
      <w:r>
        <w:rPr>
          <w:color w:val="000000"/>
        </w:rPr>
        <w:t> </w:t>
      </w:r>
      <w:r>
        <w:rPr>
          <w:rFonts w:ascii="Times New Roman;serif" w:hAnsi="Times New Roman;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B common stock will not be entitled to receive, with respect to such shares, any assets of OPAL in excess of the par value thereof. Notwithstanding the foregoing, the holders of Class B common stock will have the right to exchange their shares of Class B common stock, together with the corresponding Class B Units constituting the remainder of any Paired Interests (as defined in the Charter) in which such shares are included, for shares of Class A common stock in accordance with the Second A&amp;R LLC Agreement (or for the consideration payable in respect of shares of Class A common stock in such voluntary or involuntary liquidation, dissolution or winding-up).</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Subscription Rights. </w:t>
      </w:r>
      <w:r>
        <w:rPr>
          <w:rFonts w:ascii="Times New Roman;serif" w:hAnsi="Times New Roman;serif"/>
          <w:b w:val="false"/>
          <w:color w:val="000000"/>
          <w:sz w:val="20"/>
        </w:rPr>
        <w:t>To the extent Class B Units are issued pursuant to the Second A&amp;R LLC Agreement to any stockholder of OPAL other than a Qualified Stockholder (as defined in the Charter), such stockholder shall have the right to subscribe for an equivalent number of shares of Class B common stock (subject to adjustment as set forth in the Charter) in exchange for a payment in cash equal to the aggregate par value of such shares of Class B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Class C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2, 2026, we did not have any shares of Class C common stock issued and outstanding. Shares of Class C common stock may be converted to shares of Class A common stock, as discussed further below.</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Voting Rights.</w:t>
      </w:r>
      <w:r>
        <w:rPr>
          <w:color w:val="000000"/>
        </w:rPr>
        <w:t> </w:t>
      </w:r>
      <w:r>
        <w:rPr>
          <w:rFonts w:ascii="Times New Roman;serif" w:hAnsi="Times New Roman;serif"/>
          <w:b w:val="false"/>
          <w:color w:val="000000"/>
          <w:sz w:val="20"/>
        </w:rPr>
        <w:t>Each holder of Class C common stock will be entitled to five votes for each share of Class C common stock held of record by such holder on all matters on which stockholders generally are entitled to vote. Further, the holders of the outstanding shares of Class C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D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Liquidation.</w:t>
      </w:r>
      <w:r>
        <w:rPr>
          <w:color w:val="000000"/>
        </w:rPr>
        <w:t> </w:t>
      </w:r>
      <w:r>
        <w:rPr>
          <w:rFonts w:ascii="Times New Roman;serif" w:hAnsi="Times New Roman;serif"/>
          <w:b w:val="false"/>
          <w:color w:val="000000"/>
          <w:sz w:val="20"/>
        </w:rPr>
        <w:t xml:space="preserve">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all outstanding shares of Class A common stock and Class C common stock will be entitled to receive, </w:t>
      </w:r>
      <w:r>
        <w:rPr>
          <w:rFonts w:ascii="Times New Roman;serif" w:hAnsi="Times New Roman;serif"/>
          <w:b w:val="false"/>
          <w:i/>
          <w:color w:val="000000"/>
          <w:sz w:val="20"/>
        </w:rPr>
        <w:t>pari passu</w:t>
      </w:r>
      <w:r>
        <w:rPr>
          <w:rFonts w:ascii="Times New Roman;serif" w:hAnsi="Times New Roman;serif"/>
          <w:b w:val="false"/>
          <w:color w:val="000000"/>
          <w:sz w:val="20"/>
        </w:rPr>
        <w:t>,</w:t>
      </w:r>
      <w:r>
        <w:rPr>
          <w:color w:val="000000"/>
        </w:rPr>
        <w:t> </w:t>
      </w:r>
      <w:r>
        <w:rPr>
          <w:rFonts w:ascii="Times New Roman;serif" w:hAnsi="Times New Roman;serif"/>
          <w:b w:val="false"/>
          <w:color w:val="000000"/>
          <w:sz w:val="20"/>
        </w:rPr>
        <w:t>an amount per share equal to the par value thereof, and thereafter the holders of all outstanding shares of Class A common stock and Class C common stock will be entitled to receive the remaining assets of OPAL available for distribution ratably in proportion to the number of shares of Class A common stock and Class C common stock, which shall be treated as a single class.</w:t>
      </w:r>
    </w:p>
    <w:p>
      <w:pPr>
        <w:pStyle w:val="TextBody"/>
        <w:bidi w:val="0"/>
        <w:spacing w:lineRule="auto" w:line="288" w:before="0" w:after="0"/>
        <w:jc w:val="both"/>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37565"/>
                <wp:effectExtent l="0" t="0" r="0" b="0"/>
                <wp:wrapNone/>
                <wp:docPr id="16" name="Frame1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Conversion.</w:t>
      </w:r>
    </w:p>
    <w:p>
      <w:pPr>
        <w:pStyle w:val="TextBody"/>
        <w:bidi w:val="0"/>
        <w:spacing w:lineRule="auto" w:line="288"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i/>
                <w:color w:val="000000"/>
                <w:sz w:val="20"/>
              </w:rPr>
              <w:t>Voluntary Conversion</w:t>
            </w:r>
            <w:r>
              <w:rPr>
                <w:rFonts w:ascii="Times New Roman;serif" w:hAnsi="Times New Roman;serif"/>
                <w:b w:val="false"/>
                <w:color w:val="000000"/>
                <w:sz w:val="20"/>
              </w:rPr>
              <w:t>. Each share of Class C common stock shall be convertible into one share of Class A common stock at the option of the holder thereof, at any time upon written notice to OPAL; provided that, for the avoidance of doubt, any such holder of shares of Class C common stock may in such written notice to OPAL specify that such conversion into shares of Class A common stock shall be contingent upon the consummation of one or more sale or other transfer transactions.</w:t>
            </w:r>
          </w:p>
        </w:tc>
      </w:tr>
    </w:tbl>
    <w:p>
      <w:pPr>
        <w:pStyle w:val="TextBody"/>
        <w:bidi w:val="0"/>
        <w:spacing w:lineRule="auto" w:line="288"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i/>
                <w:color w:val="000000"/>
                <w:sz w:val="20"/>
              </w:rPr>
              <w:t>Automatic Conversion</w:t>
            </w:r>
            <w:r>
              <w:rPr>
                <w:rFonts w:ascii="Times New Roman;serif" w:hAnsi="Times New Roman;serif"/>
                <w:b w:val="false"/>
                <w:color w:val="000000"/>
                <w:sz w:val="20"/>
              </w:rPr>
              <w:t>. Each share of Class C common stock shall automatically, without any further action, convert into one share of Class A common stock upon a Transfer (as defined in the Charter), other than a Transfer to a Qualified Stockholder (as defined in the Charter).</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Class D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2, 2026, we had 22,899,037 shares of Class D common stock issued and outstanding. Shares of Class D common stock may be converted into shares of Class B common stock pursuant to the Charter. Further, shares of Class D common stock, together with the corresponding Class B Units may be exchanged for shares of Class C common stock pursuant to the Second A&amp;R LLC Agreement.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Voting Rights.</w:t>
      </w:r>
      <w:r>
        <w:rPr>
          <w:color w:val="000000"/>
        </w:rPr>
        <w:t> </w:t>
      </w:r>
      <w:r>
        <w:rPr>
          <w:rFonts w:ascii="Times New Roman;serif" w:hAnsi="Times New Roman;serif"/>
          <w:b w:val="false"/>
          <w:color w:val="000000"/>
          <w:sz w:val="20"/>
        </w:rPr>
        <w:t>Each holder of Class D common stock will be entitled to five votes for each share of Class D common stock held of record by such holder on all matters on which stockholders generally are entitled to vote. Further, the holders of the outstanding shares of Class D common stock will be entitled to vote separately upon any amendment to the Charter (including by merger, consolidation, reorganization or similar event) that would alter or change the powers, preferences or special rights of such series of Common Stock in a manner that is disproportionately adverse as compared to the Class A common stock, the Class B common stock and the Class C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Dividends; Stock Splits and Combinations.</w:t>
      </w:r>
      <w:r>
        <w:rPr>
          <w:color w:val="000000"/>
        </w:rPr>
        <w:t> </w:t>
      </w:r>
      <w:r>
        <w:rPr>
          <w:rFonts w:ascii="Times New Roman;serif" w:hAnsi="Times New Roman;serif"/>
          <w:b w:val="false"/>
          <w:color w:val="000000"/>
          <w:sz w:val="20"/>
        </w:rPr>
        <w:t>Dividends of cash or property may not be declared or paid on shares of Class D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Liquidation.</w:t>
      </w:r>
      <w:r>
        <w:rPr>
          <w:color w:val="000000"/>
        </w:rPr>
        <w:t> </w:t>
      </w:r>
      <w:r>
        <w:rPr>
          <w:rFonts w:ascii="Times New Roman;serif" w:hAnsi="Times New Roman;serif"/>
          <w:b w:val="false"/>
          <w:color w:val="000000"/>
          <w:sz w:val="20"/>
        </w:rPr>
        <w:t>In the event of any voluntary or involuntary liquidation, dissolution or winding-up of the affairs of OPAL, after payment or provision for payment of the debts and other liabilities of OPAL and of the preferential and other amounts to which the holders of OPAL Preferred Stock are entitled, if any, the holders of shares of Class D common stock will not be entitled to receive, with respect to such shares, any assets of OPAL in excess of the par value thereof. Notwithstanding the foregoing, the holders of Class D common stock will have the right to exchange their shares of Class D common stock, together with the corresponding Class B Units constituting the remainder of any Paired Interests in which such shares are included, for shares of Class C common stock in accordance with the Second A&amp;R LLC Agreement (or for the consideration payable in respect of shares of Class C common stock in such voluntary or involuntary liquidation, dissolution or winding-up).</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Subscription Rights.</w:t>
      </w:r>
      <w:r>
        <w:rPr>
          <w:color w:val="000000"/>
        </w:rPr>
        <w:t> </w:t>
      </w:r>
      <w:r>
        <w:rPr>
          <w:rFonts w:ascii="Times New Roman;serif" w:hAnsi="Times New Roman;serif"/>
          <w:b w:val="false"/>
          <w:color w:val="000000"/>
          <w:sz w:val="20"/>
        </w:rPr>
        <w:t>To the extent that Class B Units are issued pursuant to the Second A&amp;R LLC Agreement to any Qualified Stockholder, such Qualified Stockholder shall have the right to subscribe for an equivalent number of shares of Class D common stock (subject to adjustment as set forth in the Charter) in exchange for a payment in cash equal to the aggregate par value of such shares of Class D common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Conversion.</w:t>
      </w:r>
    </w:p>
    <w:p>
      <w:pPr>
        <w:pStyle w:val="TextBody"/>
        <w:bidi w:val="0"/>
        <w:spacing w:lineRule="auto" w:line="288"/>
        <w:ind w:left="0" w:right="0" w:hanging="36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37565"/>
                <wp:effectExtent l="0" t="0" r="0" b="0"/>
                <wp:wrapNone/>
                <wp:docPr id="17" name="Frame1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i/>
                <w:color w:val="000000"/>
                <w:sz w:val="20"/>
              </w:rPr>
              <w:t>Voluntary Conversion</w:t>
            </w:r>
            <w:r>
              <w:rPr>
                <w:rFonts w:ascii="Times New Roman;serif" w:hAnsi="Times New Roman;serif"/>
                <w:b w:val="false"/>
                <w:color w:val="000000"/>
                <w:sz w:val="20"/>
              </w:rPr>
              <w:t>. Each share of Class D common stock shall be convertible into one share of Class B common stock at the option of the holder thereof at any time upon written notice to OPAL; provided that, for the avoidance of doubt, any such holder of shares of Class D common stock may in such written notice to OPAL specify that such conversion into shares of Class B common stock shall be contingent upon the consummation of one or more sale or other transfer transactions. Further, shares of Class D common stock, together with the corresponding Class B Units may be exchanged for shares of Class C common stock pursuant to the Second A&amp;R LLC Agreement.</w:t>
            </w:r>
          </w:p>
        </w:tc>
      </w:tr>
    </w:tbl>
    <w:p>
      <w:pPr>
        <w:pStyle w:val="TextBody"/>
        <w:bidi w:val="0"/>
        <w:spacing w:lineRule="auto" w:line="288"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i/>
                <w:color w:val="000000"/>
                <w:sz w:val="20"/>
              </w:rPr>
              <w:t>Automatic Conversion</w:t>
            </w:r>
            <w:r>
              <w:rPr>
                <w:rFonts w:ascii="Times New Roman;serif" w:hAnsi="Times New Roman;serif"/>
                <w:b w:val="false"/>
                <w:color w:val="000000"/>
                <w:sz w:val="20"/>
              </w:rPr>
              <w:t>. Each share of Class D common stock shall automatically, without any further action, convert into one share of Class B common stock upon a Transfer, other than a Transfer to a Qualified Stockholder.</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Cancellation of Class B common stock and Class D common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holder of Class B common stock or Class D common stock may transfer shares of Class B common stock or Class D common stock, respectively, to any person unless such holder transfers a corresponding number of Class B Units to the same person in accordance with the provisions of the Second A&amp;R LLC Agreement. If any outstanding shares of Class B common stock or Class D common stock ceases to be held by a holder of the corresponding Class B Unit, such shares of Class B common stock or Class D common stock, respectively, will automatically and without further action on the part of OPAL or any holder of Class B common stock or Class D common stock, respectively, be transferred to OPAL for no consideration and shall be cancelled.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OPAL Preferred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is expressly authorized, subject to any limitations prescribed by the laws of the State of Delaware, by resolution or resolutions adopted from time to time, to provide for the issuance of shares of OPAL Preferred Stock in one or more series, and, by filing a certificate of designation pursuant to the applicable laws of the State of Delaware, to establish from time to time the number of shares of OPAL Preferred Stock to be included in each such series, to fix the designation, vesting, powers (including voting powers), preferences and relative, participating, optional or other special rights (and the qualifications, limitations or restrictions thereof) of the shares of each such series and to increase (but not above the total number of authorized shares of the OPAL Preferred Stock) or decrease (but not below the number of shares of such series then outstanding) the number of shares of OPAL Preferred Stock of any such series.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Except as otherwise expressly provided in any certificate of designation designating any series of OPAL Preferred Stock, (i) any new series of OPAL Preferred Stock may be designated, fixed and determined as provided by the Charter by our board of directors without approval of the holders of Common Stock or the holders of OPAL Preferred Stock, or any series thereof, and (ii) any such new series may have powers, preferences and rights, including, without limitation, voting rights, dividend rights, liquidation rights, redemption rights and conversion rights, senior to, junior to or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with the rights of the Common Stock, the OPAL Preferred Stock or any future class or series of OPAL Preferred Stock or Common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Authorized But Unissued OPAL Capital Stock</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it relates to Class A common stock, we will at all times reserve and keep available out of our authorized and unissued shares of Class A common stock, (i) solely for the purpose of the issuance in connection with the exchange of Paired Interests, the number of shares of Class A common stock that are issuable upon the exchange of all outstanding Paired Interests which consist of Class B common stock and Class B Units pursuant to the Second A&amp;R LLC Agreement and (ii) solely for the purpose of the issuance in connection with the conversion of shares of all outstanding Class C common stock (including all shares of Class C common stock issuable upon the exchange of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37565"/>
                <wp:effectExtent l="0" t="0" r="0" b="0"/>
                <wp:wrapNone/>
                <wp:docPr id="18" name="Frame1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Paired Interests which consist of Class D common stock and Class B Units pursuant to the Second A&amp;R LLC Agreement) into shares of Class A common stock pursuant to the Charter, the number of shares of Class A common stock that are issuable upon such conversion.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it relates to Class B common stock, we will at all times reserve and keep available out of its authorized and unissued shares of Class B common stock, solely for the purpose of the issuance in connection with the conversion of shares of all outstanding Class D common stock into shares of Class B common stock pursuant to the Charter, the number of shares of Class B common stock that are issuable upon such conversion.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it relates to Class C common stock, we will at all times reserve and keep available out of its authorized and unissued shares of Class C common stock, solely for the purpose of the issuance in connection with the exchange of Paired Interests which consist of Class D common stock and Class B Units, the number of shares of Class C common stock that are issuable upon the exchange of all outstanding Paired Interests which consist of Class D common stock and Class B Units, pursuant to the Second A&amp;R LLC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Anti-Takeover Effects of Provisions of Delaware Law and the Organizational Documents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provisions of the Organizational Documents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Class A common stock that could result from actual or rumored takeover attempts. Such provisions also may have the effect of preventing changes in our management or delaying or preventing a transaction that might benefit you or other minority stockholders.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provisions include: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Action by Written Consent; Special Meeting of Stockholder.</w:t>
      </w:r>
      <w:r>
        <w:rPr>
          <w:color w:val="000000"/>
        </w:rPr>
        <w:t> </w:t>
      </w:r>
      <w:r>
        <w:rPr>
          <w:rFonts w:ascii="Times New Roman;serif" w:hAnsi="Times New Roman;serif"/>
          <w:b w:val="false"/>
          <w:color w:val="000000"/>
          <w:sz w:val="20"/>
        </w:rPr>
        <w:t>Subject to, with respect to the OPAL Preferred Stock, the terms of any series of OPAL Preferred Stock, (i) for so long as the holders of shares of Class C common stock and Class D common stock beneficially own, directly or indirectly, a majority of the total voting power of stock entitled to vote generally in election of directors, any action that is required or permitted to be taken by the stockholders may be effected by consent in lieu of a meeting and (ii) if the holders of shares of Class C common stock and Class D common stock do not beneficially own, directly or indirectly, a majority of the total voting power of stock entitled to vote generally in election of directors, any action required or permitted to be taken by the stockholders must be effected at a duly called annual or special meeting of the stockholders and may not be effected by any consent in lieu of a meeting.</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any special rights of the holders of any series of OPAL Preferred Stock and the requirements of applicable law, special meetings of stockholders may be called only by the chairperson of our board of directors, the vice chairperson of our board of directors, the chief executive officer or at the direction of our board of directors pursuant to a written resolution adopted by a majority of the total number of directors that we would have if there were no vacancies, and the ability of the stockholders or any other Persons to call a special meeting of the stockholders is specifically denied.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ind w:left="0" w:right="0" w:firstLine="720"/>
        <w:jc w:val="both"/>
        <w:rPr/>
      </w:pPr>
      <w:r>
        <w:rPr>
          <w:rFonts w:ascii="Times New Roman;serif" w:hAnsi="Times New Roman;serif"/>
          <w:b/>
          <w:i/>
          <w:color w:val="000000"/>
          <w:sz w:val="20"/>
        </w:rPr>
        <w:t>Election and Removal of Directors.</w:t>
      </w:r>
      <w:r>
        <w:rPr>
          <w:color w:val="000000"/>
        </w:rPr>
        <w:t> </w:t>
      </w:r>
      <w:r>
        <w:rPr>
          <w:rFonts w:ascii="Times New Roman;serif" w:hAnsi="Times New Roman;serif"/>
          <w:b w:val="false"/>
          <w:color w:val="000000"/>
          <w:sz w:val="20"/>
        </w:rPr>
        <w:t xml:space="preserve">Subject to any limitations imposed by applicable law and except for additional directors of OPAL elected by the holders of any series of OPAL Preferred Stock as provided for or fixed pursuant to the Charter, any director of OPAL or the entire board of directors may be removed from office at any time, with or without cause, by the affirmative vote of the holders of at least a majority of the total voting power of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37565"/>
                <wp:effectExtent l="0" t="0" r="0" b="0"/>
                <wp:wrapNone/>
                <wp:docPr id="19" name="Frame1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outstanding shares of capital stock of OPAL entitled to vote generally in the election of directors of OPAL, voting together as a single class. In case our board of directors or any one or more directors of OPAL should be so removed, any new directors of OPAL shall, unless our board of directors determines by resolution that any such vacancies shall be filled by the stockholders and except as otherwise provided by applicable law, be filled only by the affirmative vote of a majority of the remaining directors of OPAL then in office, even if less than a quorum of our board of directors, and not by the stockholders.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i/>
          <w:color w:val="000000"/>
          <w:sz w:val="20"/>
        </w:rPr>
        <w:t>Other Limitations on Stockholder Actions</w:t>
      </w:r>
      <w:r>
        <w:rPr>
          <w:rFonts w:ascii="Times New Roman;serif" w:hAnsi="Times New Roman;serif"/>
          <w:b w:val="false"/>
          <w:i/>
          <w:color w:val="000000"/>
          <w:sz w:val="20"/>
        </w:rPr>
        <w:t xml:space="preserve">. </w:t>
      </w:r>
      <w:r>
        <w:rPr>
          <w:rFonts w:ascii="Times New Roman;serif" w:hAnsi="Times New Roman;serif"/>
          <w:b w:val="false"/>
          <w:color w:val="000000"/>
          <w:sz w:val="20"/>
        </w:rPr>
        <w:t>Our Bylaws also impose some procedural requirements on stockholders who wish to:</w:t>
      </w:r>
    </w:p>
    <w:p>
      <w:pPr>
        <w:pStyle w:val="TextBody"/>
        <w:bidi w:val="0"/>
        <w:spacing w:lineRule="auto" w:line="288" w:before="0" w:after="0"/>
        <w:ind w:left="0" w:right="0" w:hanging="360"/>
        <w:jc w:val="both"/>
        <w:rPr>
          <w:color w:val="000000"/>
        </w:rPr>
      </w:pPr>
      <w:r>
        <w:rPr>
          <w:color w:val="000000"/>
        </w:rPr>
        <w:t> </w:t>
      </w:r>
    </w:p>
    <w:tbl>
      <w:tblPr>
        <w:tblW w:w="476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99"/>
        <w:gridCol w:w="1199"/>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make nominations in the election of directors; or</w:t>
            </w:r>
          </w:p>
        </w:tc>
      </w:tr>
    </w:tbl>
    <w:p>
      <w:pPr>
        <w:pStyle w:val="TextBody"/>
        <w:bidi w:val="0"/>
        <w:spacing w:lineRule="auto" w:line="288" w:before="0" w:after="0"/>
        <w:ind w:left="0" w:right="0" w:hanging="360"/>
        <w:jc w:val="both"/>
        <w:rPr>
          <w:color w:val="000000"/>
        </w:rPr>
      </w:pPr>
      <w:r>
        <w:rPr>
          <w:color w:val="000000"/>
        </w:rPr>
        <w:t> </w:t>
      </w:r>
    </w:p>
    <w:tbl>
      <w:tblPr>
        <w:tblW w:w="75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22"/>
        <w:gridCol w:w="2022"/>
        <w:gridCol w:w="2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propose any other business to be brought before an annual meeting of stockholders.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these procedural requirements, in order to bring a proposal of business before an annual meeting of stockholders, a stockholder must deliver timely written notice of a proposal pertaining to a proper matter for stockholder action at the annual meeting to OPAL’s secretary containing, among other things, the following:</w:t>
      </w:r>
    </w:p>
    <w:p>
      <w:pPr>
        <w:pStyle w:val="TextBody"/>
        <w:bidi w:val="0"/>
        <w:spacing w:lineRule="auto" w:line="288" w:before="0" w:after="0"/>
        <w:ind w:left="0" w:right="0" w:hanging="360"/>
        <w:jc w:val="both"/>
        <w:rPr>
          <w:color w:val="000000"/>
        </w:rPr>
      </w:pPr>
      <w:r>
        <w:rPr>
          <w:color w:val="000000"/>
        </w:rPr>
        <w:t> </w:t>
      </w:r>
    </w:p>
    <w:tbl>
      <w:tblPr>
        <w:tblW w:w="90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57"/>
        <w:gridCol w:w="2457"/>
        <w:gridCol w:w="3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name and record address of each stockholder proposing business, as they appear in OPAL’s books;</w:t>
            </w:r>
          </w:p>
        </w:tc>
      </w:tr>
    </w:tbl>
    <w:p>
      <w:pPr>
        <w:pStyle w:val="TextBody"/>
        <w:bidi w:val="0"/>
        <w:spacing w:lineRule="auto" w:line="288"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class or series and number of shares of stock of OPAL, directly or indirectly, held of record and beneficially by the Proponent or Stockholder Associated Person, as such terms are defined in the Bylaws;</w:t>
            </w:r>
          </w:p>
        </w:tc>
      </w:tr>
    </w:tbl>
    <w:p>
      <w:pPr>
        <w:pStyle w:val="TextBody"/>
        <w:bidi w:val="0"/>
        <w:spacing w:lineRule="auto" w:line="288" w:before="0" w:after="0"/>
        <w:ind w:left="0" w:right="0" w:hanging="36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names of all persons with whom the stockholder is acting in concert and a description of all arrangements and understandings with those persons;</w:t>
            </w:r>
          </w:p>
        </w:tc>
      </w:tr>
    </w:tbl>
    <w:p>
      <w:pPr>
        <w:pStyle w:val="TextBody"/>
        <w:bidi w:val="0"/>
        <w:spacing w:lineRule="auto" w:line="288"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description of any agreement, arrangement or understanding reached with respect to shares of our stock, such as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w:t>
            </w:r>
          </w:p>
        </w:tc>
      </w:tr>
    </w:tbl>
    <w:p>
      <w:pPr>
        <w:pStyle w:val="TextBody"/>
        <w:bidi w:val="0"/>
        <w:spacing w:lineRule="auto" w:line="288" w:before="0" w:after="0"/>
        <w:ind w:left="0" w:right="0" w:hanging="36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description of the business or nomination to be brought before the meeting, the text of the proposal and the reasons for conducting such business at the meeting; and</w:t>
            </w:r>
          </w:p>
        </w:tc>
      </w:tr>
    </w:tbl>
    <w:p>
      <w:pPr>
        <w:pStyle w:val="TextBody"/>
        <w:bidi w:val="0"/>
        <w:spacing w:lineRule="auto" w:line="288" w:before="0" w:after="0"/>
        <w:ind w:left="0" w:right="0" w:hanging="360"/>
        <w:jc w:val="both"/>
        <w:rPr>
          <w:color w:val="000000"/>
        </w:rPr>
      </w:pPr>
      <w:r>
        <w:rPr>
          <w:color w:val="000000"/>
        </w:rPr>
        <w:t> </w:t>
      </w:r>
    </w:p>
    <w:tbl>
      <w:tblPr>
        <w:tblW w:w="80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56"/>
        <w:gridCol w:w="2156"/>
        <w:gridCol w:w="30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material interest of the Proponent or Stockholder Associated Person in such business.</w:t>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Bylaws also set out the timeliness requirements for delivery of such notice.</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submit a nomination for our board of directors, a stockholder must also submit any information with respect to the nominee that we would be required to include in a proxy statement, as well as some other information. If a stockholder fails to follow the required procedures, the stockholder’s proposal or nominee will be ineligible and will not be voted on by our stockholders.</w:t>
      </w: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37565"/>
                <wp:effectExtent l="0" t="0" r="0" b="0"/>
                <wp:wrapNone/>
                <wp:docPr id="20" name="Frame1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7.7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erif" w:hAnsi="Times New Roman;serif"/>
          <w:b/>
          <w:i/>
          <w:color w:val="000000"/>
          <w:sz w:val="20"/>
        </w:rPr>
        <w:t>No Cumulative Voting.</w:t>
      </w:r>
      <w:r>
        <w:rPr>
          <w:color w:val="000000"/>
        </w:rPr>
        <w:t xml:space="preserve"> </w:t>
      </w:r>
      <w:r>
        <w:rPr>
          <w:rFonts w:ascii="Times New Roman;serif" w:hAnsi="Times New Roman;serif"/>
          <w:b w:val="false"/>
          <w:color w:val="000000"/>
          <w:sz w:val="20"/>
        </w:rPr>
        <w:t>The Charter provides that there shall be no cumulative voting in the election of directors. As a result, the holders of a plurality of the shares voting for the election of directors can elect all of the directors being elected.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Limitation on Liability and Indemnification of Officers and Directors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Organizational Documents provide indemnification for OPAL’s directors and officers to the fullest extent permitted by the DGCL.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entered into certain Indemnification Agreements (“Indemnification Agreements”) with each of our directors and executive officers pursuant to which, subject to certain exceptions, we shall indemnify our directors and executive officers for all reasonable and documented direct and indirect expenses, including 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“Expenses”). Pursuant to the Indemnification Agreements, in the event an officer or director who was or is a party to or witness in or is threatened to be made a party to or witness in any Proceeding with respect such officer’s or director’s service for us or a subsidiary or affiliate as an Indemnifiable Person (as defined in the Indemnification Agreements), or by reason of anything done or not done, or any act or omission, by such officer or director in any such capacity, we shall indemnify such officer and director from and against any and all Expenses and Other Liabilities (as defined in the Indemnification Agreements) incurred by such officer and director in connection with such Proceeding to the fullest extent not prohibited by the provisions of our Bylaws and the DGCL. Furthermore, pursuant to the Indemnification Agreements, we shall, subject to certain exception, at the request of an officer or director, advance all Expenses incurred by such officer or director prior to the final disposition of a Proceeding.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Exclusive Forum</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Charter provides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thereof shall, to the fullest extent permitted by applicable law, be the sole and exclusive forum for the following types of actions or proceedings under Delaware statutory or common law: (i) any derivative action, suit or proceeding brought on behalf of the Corporation; (ii) any action, suit or proceeding (including any class action) asserting a claim of breach of a fiduciary duty owed by any current or former director, officer, other employee, agent or stockholder of OPAL to OPAL or OPAL’s stockholders; (iii) any action, suit or proceeding (including any class action) asserting a claim against OPAL or any current or former director, officer, other employee, agent or stockholder of OPAL arising out of or pursuant to any provision of the DGCL, the Charter or the Bylaws (as each may be amended from time to time); (iv) any action, suit or proceeding (including any class action) to interpret, apply, enforce or determine the validity of our Charter or Bylaws (including any right, obligation or remedy thereunder); (v) any action, suit or proceeding as to which the DGCL confers jurisdiction to the Court of Chancery of the State of Delaware; or (vi) any action asserting a claim against us or any director, officer or other employee governed by the internal affairs doctrine, in all cases to the fullest extent permitted by law and subject to the court having personal jurisdiction over the indispensable parties named as defendants. The exclusive forum provisions of the Charter shall not apply to suits brought to enforce a duty or liability created by the Exchange Act or any other claim for which the federal courts have exclusive jurisdiction.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firstLine="72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37565"/>
                <wp:effectExtent l="0" t="0" r="0" b="0"/>
                <wp:wrapNone/>
                <wp:docPr id="21" name="Frame2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action, the subject matter of which is within the scope of the exclusive forum provisions of the Charter,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exclusive forum provisions of the Charter (an “Enforcement Action”) and (ii) having service of process made upon such stockholder in any such Enforcement Action by service upon such stockholder’s counsel in the Foreign Action as agent for such stockholder.</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holding, owning or otherwise acquiring any interest in any of our securities shall be deemed to have notice of and to have consented to the exclusive forum provisions of the Charter.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OPAL consents in writing to the selection of an alternative forum, the federal district courts of the United States shall be the exclusive forum for the resolution of any complaint asserting a cause of action arising under the Securities Act.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Rights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initial public offering,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Transfer Agent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transfer agent for OPAL’s Common Stock is Continental Transfer &amp; Trust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Listing of Common Stock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shares of Class A common stock are listed on Nasdaq under the symbol “OPAL”.</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Class A common stock or preferred stock and may be issued in one or more series. Warrants may be offered independently or together with Class A common stock or preferred stock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issue the warrants under a warrant agreement that we will enter into with a warrant agent to be selected by us. If selected, the warrant agent will act solely as an agent of ours in connection with the warrants and will not act as an agent for the holders or beneficial owners of the warrants. If applicable, we will file as exhibits to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37565"/>
                <wp:effectExtent l="0" t="0" r="0" b="0"/>
                <wp:wrapNone/>
                <wp:docPr id="22" name="Frame2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registration statement of which this prospectus is a part, or will incorporate by reference from a Current Report on Form 8-K that we file with the SEC, the form of warrant agreement, including a form of warrant certificate, that describes the terms of the particular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and warrant certificate applicable to a particular series of warrants. We urge you to read the applicable prospectus supplement and any applicable free writing prospectus related to the particular series of warrants that we sell under this prospectus, as well as the complete warrant agreements and warrant certificates that contain the terms of the warrants.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describe in the applicable prospectus supplement the terms relating to a series of warrants, including:</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69"/>
        <w:gridCol w:w="2759"/>
        <w:gridCol w:w="39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offering price and aggregate number of warrants offered;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currency for which the warrants may be purchased;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applicable, the designation and terms of the securities with which the warrants are issued and the number of warrants issued with each such security or each principal amount of such security;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applicable, the date on and after which the warrants and the related securities will be separately transferable;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 the case of warrants to purchase Class A common stock or preferred stock, the number of shares of Class A common stock or preferred stock, as the case may be, purchasable upon the exercise of one warrant and the price at which these shares may be purchased upon such exercise;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effect of any merger, consolidation, sale or other disposition of our business on the warrant agreements and the warrants;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terms of any rights to redeem or call the warrants;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provisions for changes to or adjustments in the exercise price or number of securities issuable upon exercise of the warrants;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dates on which the right to exercise the warrants will commence and expire;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81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81"/>
        <w:gridCol w:w="2181"/>
        <w:gridCol w:w="30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manner in which the warrant agreements and warrants may be modified;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federal income tax consequences of holding or exercising the warrants;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securities issuable upon exercise of the warrants;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other specific terms, preferences, rights or limitations of or restrictions on the warrants.</w:t>
            </w:r>
          </w:p>
        </w:tc>
      </w:tr>
    </w:tbl>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Before exercising their warrants, holders of warrants will not have any of the rights of holders of the securities purchasable upon such exercise, including, in the case of warrants to purchase common stock or preferred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37565"/>
                <wp:effectExtent l="0" t="0" r="0" b="0"/>
                <wp:wrapNone/>
                <wp:docPr id="23" name="Frame2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stock, the right to receive dividends, if any, or, payments upon our liquidation, dissolution or winding up or to exercise voting rights, if any.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Exercise of Warrants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us or the warrant agent as applicable.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Enforceability of Rights by Holders of Warrants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selected, 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UNITS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description, together with the additional information we may include in any applicable prospectus supplements and free writing prospectuses, summarizes the material terms and provisions of the units that we may offer under this prospectus.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37565"/>
                <wp:effectExtent l="0" t="0" r="0" b="0"/>
                <wp:wrapNone/>
                <wp:docPr id="24" name="Frame2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issue units comprised of shares of Class A common stock, shares of preferred stock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describe in the applicable prospectus supplement the terms of the series of units, including:</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designation and terms of the units and of the securities comprising the units, including whether and under what circumstances those securities may be held or transferred separately;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provisions of the governing unit agreement that differ from those described below;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provisions for the issuance, payment, settlement, transfer or exchange of the units or of the securities comprising the units.</w:t>
            </w:r>
          </w:p>
        </w:tc>
      </w:tr>
    </w:tbl>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provisions described in this section, as well as those described under “Description of Capital Stock” and “Description of Warrants” will apply to each unit and to any common stock, preferred stock, or warrant included in each unit, respectively.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Unit Agent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name and address of the unit agent, if any, for any units we offer will be set forth in the applicable prospectus supplement.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Issuance in Series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issue units in such amounts and in numerous distinct series as we determine.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Enforceability of Rights by Holders of Units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jc w:val="center"/>
        <w:rPr>
          <w:rFonts w:ascii="Times New Roman;serif" w:hAnsi="Times New Roman;serif"/>
          <w:b/>
          <w:color w:val="000000"/>
          <w:sz w:val="20"/>
        </w:rPr>
      </w:pPr>
      <w:r>
        <w:rPr>
          <w:rFonts w:ascii="Times New Roman;serif" w:hAnsi="Times New Roman;serif"/>
          <w:b/>
          <w:color w:val="000000"/>
          <w:sz w:val="20"/>
        </w:rPr>
        <w:t>LEGAL OWNERSHIP OF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37565"/>
                <wp:effectExtent l="0" t="0" r="0" b="0"/>
                <wp:wrapNone/>
                <wp:docPr id="25" name="Frame2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Book-Entry Holders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Street Name Holders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securities held in street name, we or any applicable depositary will recognize only the intermediary banks, brokers and other financial institutions in whose names the securities are registered as the holders of those securities, and we or any such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Legal Holders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obligations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37565"/>
                <wp:effectExtent l="0" t="0" r="0" b="0"/>
                <wp:wrapNone/>
                <wp:docPr id="26" name="Frame2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Whether and how the legal holders contact the indirect holders is up to the legal holders.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Special Considerations for Indirect Holders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hold securities through a bank, broker or other financial institution, either in book-entry form because the securities are represented by one or more global securities or in street name, you should check with your own institution to find out:</w:t>
      </w:r>
    </w:p>
    <w:p>
      <w:pPr>
        <w:pStyle w:val="TextBody"/>
        <w:bidi w:val="0"/>
        <w:spacing w:lineRule="auto" w:line="288" w:before="0" w:after="0"/>
        <w:jc w:val="left"/>
        <w:rPr>
          <w:color w:val="000000"/>
        </w:rPr>
      </w:pPr>
      <w:r>
        <w:rPr>
          <w:color w:val="000000"/>
        </w:rPr>
        <w:t> </w:t>
      </w:r>
    </w:p>
    <w:tbl>
      <w:tblPr>
        <w:tblW w:w="46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70"/>
        <w:gridCol w:w="1170"/>
        <w:gridCol w:w="16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how it handles securities payments and notices;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44"/>
        <w:gridCol w:w="2760"/>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whether it imposes fees or charges;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how it would handle a request for the holders’ consent, if ever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whether and how you can instruct it to send you securities registered in your own name so you can be a legal holder, if that is permitted in the future;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how it would exercise rights under the securities if there were a default or other event triggering the need for holders to act to protect their interests;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the securities are in book-entry form, how the depositary’s rules and procedures will affect these matters.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global security is a security that represents one or any other number of individual securities held by a depositary. Generally, all securities represented by the same global securities will have the same terms.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NY, known as DTC, will be the depositary for all securities issued in book-entry form.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the prospectus supplement for a particular security indicates that the security will be issued as a global security, then the security will be represented by a global security at all times unless and until the global security is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37565"/>
                <wp:effectExtent l="0" t="0" r="0" b="0"/>
                <wp:wrapNone/>
                <wp:docPr id="27" name="Frame2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terminated. If termination occurs, we may issue the securities through another book-entry clearing system or decide that the securities may no longer be held through any book-entry clearing system.</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Special Considerations for Global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securities are issued only as global securities, an investor should be aware of the following:</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87"/>
        <w:gridCol w:w="2702"/>
        <w:gridCol w:w="38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investor cannot cause the securities to be registered in his or her name, and cannot obtain non-global certificates for his or her interest in the securities, except in the special situations we describe below;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investor will be an indirect holder and must look to his or her own bank or broker for payments on the securities and protection of his or her legal rights relating to the securities, as we describe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investor may not be able to sell interests in the securities to some insurance companies and to other institutions that are required by law to own their securities in non-book-entry form;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 investor may not be able to pledge his or her interest in the global security in circumstances where certificates representing the securities must be delivered to the lender or other beneficiary of the pledge in order for the pledge to be effective;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depositary’s policies, which may change from time to time, will govern payments, transfers, exchanges and other matters relating to an investor’s interest in the global security. We have no responsibility for any aspect of the depositary’s actions or for its records of ownership interests in the global security. We also do not supervise the depositary in any way;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depositary may, and we understand that DTC will, require that those who purchase and sell interests in the global security within its book-entry system use immediately available funds, and your broker or bank may require you to do so as well;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Special Situations When A Global Security Will Be Terminated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global security will terminate when the following special situations occur:</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37565"/>
                <wp:effectExtent l="0" t="0" r="0" b="0"/>
                <wp:wrapNone/>
                <wp:docPr id="28" name="Frame2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11"/>
        <w:gridCol w:w="2776"/>
        <w:gridCol w:w="3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the depositary notifies us that it is unwilling, unable or no longer qualified to continue as depositary for that global security and we do not appoint another institution to act as depositary within 90 days; or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an event of default has occurred with regard to securities represented by that global security and has not been cured or waived.</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applicable prospectus supplement may also list additional situations for terminating a global security that would apply only to the particular series of securities covered by the prospectus supplement. When a global security terminates neither the depositary, nor us, is responsible for deciding the names of the institutions that will be the initial direct holders.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sell the securities being offered hereby in one or more of the following ways from time to time:</w:t>
      </w:r>
    </w:p>
    <w:p>
      <w:pPr>
        <w:pStyle w:val="TextBody"/>
        <w:bidi w:val="0"/>
        <w:spacing w:lineRule="auto" w:line="288" w:before="0" w:after="0"/>
        <w:jc w:val="left"/>
        <w:rPr>
          <w:color w:val="000000"/>
        </w:rPr>
      </w:pPr>
      <w:r>
        <w:rPr>
          <w:color w:val="000000"/>
        </w:rPr>
        <w:t> </w:t>
      </w:r>
    </w:p>
    <w:tbl>
      <w:tblPr>
        <w:tblW w:w="52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1"/>
        <w:gridCol w:w="1341"/>
        <w:gridCol w:w="19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through agents to the public or to investors;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underwriters for resale to the public or to investors;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negotiated transactions;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block trades;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directly to investors;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through a combination of any of these methods of sale.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set forth in more detail below, the securities may be distributed from time to time in one or more transactions:</w:t>
      </w:r>
    </w:p>
    <w:p>
      <w:pPr>
        <w:pStyle w:val="TextBody"/>
        <w:bidi w:val="0"/>
        <w:spacing w:lineRule="auto" w:line="288" w:before="0" w:after="0"/>
        <w:jc w:val="left"/>
        <w:rPr>
          <w:color w:val="000000"/>
        </w:rPr>
      </w:pPr>
      <w:r>
        <w:rPr>
          <w:color w:val="000000"/>
        </w:rPr>
        <w:t> </w:t>
      </w:r>
    </w:p>
    <w:tbl>
      <w:tblPr>
        <w:tblW w:w="5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68"/>
        <w:gridCol w:w="1268"/>
        <w:gridCol w:w="1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 a fixed price or prices, which may be changed;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 market prices prevailing at the time of sale;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 prices related to such prevailing market prices; 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at negotiated prices.</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set forth in a prospectus supplement the terms of that particular offering of securities, including:</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37565"/>
                <wp:effectExtent l="0" t="0" r="0" b="0"/>
                <wp:wrapNone/>
                <wp:docPr id="29" name="Frame2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97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58"/>
        <w:gridCol w:w="2658"/>
        <w:gridCol w:w="37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name or names of any agents or underwriters;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purchase price of the securities being offered and the proceeds we will receive from the sale;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over-allotment options under which underwriters may purchase additional securities from 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agency fees or underwriting discounts and other items constituting agents’ or underwriters’ compensation;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initial public offering price;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discounts or concessions allowed or re-allowed or paid to dealers;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securities exchanges or markets on which such securities may be listed.</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Only underwriters named in an applicable prospectus supplement are underwriters of the securities offered by that prospectus supplement.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grant to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pStyle w:val="TextBody"/>
        <w:bidi w:val="0"/>
        <w:spacing w:lineRule="auto" w:line="288" w:before="0" w:after="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may authorize agents or underwriters to solicit offers by institutional investors to purchase securities from us at the public offering price set forth in the prospectus supplement pursuant to delayed delivery contracts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37565"/>
                <wp:effectExtent l="0" t="0" r="0" b="0"/>
                <wp:wrapNone/>
                <wp:docPr id="30" name="Frame2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providing for payment and delivery on a specified date in the future. We will describe the conditions to these contracts and the commissions we must pay for solicitation of these contracts in the prospectus supplement.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of the securities, underwriters, dealers or agents may receive compensation from us or from purchasers of the common stock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common stock directly and then resell the securities, may be deemed to be underwriters, and any discounts or commissions received by them from us and any profit on the resale of the common stock by them may be deemed to be underwriting discounts and commissions under the Securities Act.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provide agents and underwriters with indemnification against particular civil liabilities, including liabilities under the Securities Act, or contribution with respect to payments that the agents or underwriters may make with respect to such liabilities. Agents and underwriters may engage in transactions with, or perform services for, us in the ordinary course of business.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engage in at the market offerings into an existing trading market in accordance with Rule 415(a)(4) under the Securities Act. 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facilitate an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those circumstances, such persons would cover such over-allotments or short positions by purchasing in the open market or by exercising the over-allotment option granted to those persons.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specified in the applicable prospectus supplement, each class or series of securities will be a new issue with no established trading market, other than our Class A common stock, which is listed on The Nasdaq Capital Market. We may elect to list any other class or series of securities on any exchange or market,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37565"/>
                <wp:effectExtent l="0" t="0" r="0" b="0"/>
                <wp:wrapNone/>
                <wp:docPr id="31" name="Frame3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comply with the securities laws of some U.S. states or territories,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these activities at any time.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validity of the issuance of the securities offered hereby will be passed upon for us by Sheppard, Mullin, Richter &amp; Hampton LLP, New York, New York. Additional legal matters may be passed upon for us or any underwriters, dealers or agents, by counsel that we will name in the applicable prospectus supplement.</w:t>
      </w:r>
    </w:p>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OPAL Fuels Inc. as of December 31, 2025 and 2024 and for each of the years then ended, incorporated by reference in this Prospectus and in the Registration Statement have been so incorporated in reliance on the report of BDO USA, P.C., an independent registered public accounting firm, given on the authority of said firm as experts in auditing and accounting.</w:t>
      </w:r>
    </w:p>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filed with the SEC a registration statement on Form S-3 under the Securities Act with respect to the securities offered by this prospectus. This prospectus, which forms a part of such registration statement, does not contain all of the information included in the registration statement or the exhibits thereto. For further information pertaining to us and our securities, you should refer to the registration statement and to its exhibits. The registration statement has been filed electronically and may be obtained in any manner listed below. Whenever we make reference in this prospectus to any of our contracts, agreements or other documents, the references are not necessarily complete. If a contract or document has been filed as an exhibit to the registration statement or a report we file under the Exchange Act, you should refer to the copy of the contract or document that has been filed. Each statement in this prospectus relating to a contract or document filed as an exhibit to a registration statement or report is qualified in all respects by the filed exhibit.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also file annual, quarterly and current reports, proxy statements and other information with the SEC. Our SEC filings are available to the public over the Internet at the SEC’s website at www.sec.gov and on our website, free of charge, at www.opalfuels.com. The information contained on, or that may be accessed through or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37565"/>
                <wp:effectExtent l="0" t="0" r="0" b="0"/>
                <wp:wrapNone/>
                <wp:docPr id="32" name="Frame31"/>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that is hyperlinked to, our website is not part of, and is not incorporated into, this prospectus. You may inspect a copy of the registration statement through the SEC’s website, as provided herein.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prospectus, which means that we can disclose important information about us by referring to another document filed separately with the SEC. The information incorporated by reference is considered to be a part of this prospectus. This prospectus incorporates by reference the documents and reports listed below other than portions of these documents that are furnished under Item 2.02 or Item 7.01 of a current report on Form 8–K:</w:t>
      </w:r>
    </w:p>
    <w:p>
      <w:pPr>
        <w:pStyle w:val="TextBody"/>
        <w:bidi w:val="0"/>
        <w:spacing w:lineRule="auto" w:line="288" w:before="0" w:after="0"/>
        <w:ind w:left="0" w:right="0" w:hanging="7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our annual report on </w:t>
            </w:r>
            <w:hyperlink r:id="rId3">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December 31, 2025, filed with the SEC on March 16, 2026;</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our quarterly reports on Form 10–Q for the three months ended </w:t>
            </w:r>
            <w:hyperlink r:id="rId4">
              <w:r>
                <w:rPr>
                  <w:rStyle w:val="InternetLink"/>
                  <w:rFonts w:ascii="Times New Roman;serif" w:hAnsi="Times New Roman;serif"/>
                  <w:b w:val="false"/>
                  <w:color w:val="0000FF"/>
                  <w:sz w:val="20"/>
                  <w:u w:val="single"/>
                </w:rPr>
                <w:t>March 31, 2026</w:t>
              </w:r>
            </w:hyperlink>
            <w:r>
              <w:rPr>
                <w:color w:val="000000"/>
              </w:rPr>
              <w:t xml:space="preserve"> </w:t>
            </w:r>
            <w:r>
              <w:rPr>
                <w:rFonts w:ascii="Times New Roman;serif" w:hAnsi="Times New Roman;serif"/>
                <w:b w:val="false"/>
                <w:color w:val="000000"/>
                <w:sz w:val="20"/>
              </w:rPr>
              <w:t xml:space="preserve">filed with the SEC on May 11, 2026, and the three months ended </w:t>
            </w:r>
            <w:hyperlink r:id="rId5">
              <w:r>
                <w:rPr>
                  <w:rStyle w:val="InternetLink"/>
                  <w:rFonts w:ascii="Times New Roman;serif" w:hAnsi="Times New Roman;serif"/>
                  <w:b w:val="false"/>
                  <w:color w:val="0000FF"/>
                  <w:sz w:val="20"/>
                  <w:u w:val="single"/>
                </w:rPr>
                <w:t>June 30, 2026</w:t>
              </w:r>
            </w:hyperlink>
            <w:r>
              <w:rPr>
                <w:color w:val="000000"/>
              </w:rPr>
              <w:t xml:space="preserve"> </w:t>
            </w:r>
            <w:r>
              <w:rPr>
                <w:rFonts w:ascii="Times New Roman;serif" w:hAnsi="Times New Roman;serif"/>
                <w:b w:val="false"/>
                <w:color w:val="000000"/>
                <w:sz w:val="20"/>
              </w:rPr>
              <w:t>filed with the SEC on August 10, 2026; and</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our current reports on Form 8–K filed with the SEC on </w:t>
            </w:r>
            <w:hyperlink r:id="rId6">
              <w:r>
                <w:rPr>
                  <w:rStyle w:val="InternetLink"/>
                  <w:rFonts w:ascii="Times New Roman;serif" w:hAnsi="Times New Roman;serif"/>
                  <w:b w:val="false"/>
                  <w:color w:val="0000FF"/>
                  <w:sz w:val="20"/>
                  <w:u w:val="single"/>
                </w:rPr>
                <w:t>March 9, 2026</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May 20, 2026</w:t>
              </w:r>
            </w:hyperlink>
            <w:r>
              <w:rPr>
                <w:rFonts w:ascii="Times New Roman;serif" w:hAnsi="Times New Roman;serif"/>
                <w:b w:val="false"/>
                <w:color w:val="000000"/>
                <w:sz w:val="20"/>
              </w:rPr>
              <w:t xml:space="preserve">, </w:t>
            </w:r>
            <w:hyperlink r:id="rId8">
              <w:r>
                <w:rPr>
                  <w:rStyle w:val="InternetLink"/>
                  <w:rFonts w:ascii="Times New Roman;serif" w:hAnsi="Times New Roman;serif"/>
                  <w:b w:val="false"/>
                  <w:color w:val="0000FF"/>
                  <w:sz w:val="20"/>
                  <w:u w:val="single"/>
                </w:rPr>
                <w:t>June 3, 2026</w:t>
              </w:r>
            </w:hyperlink>
            <w:r>
              <w:rPr>
                <w:rFonts w:ascii="Times New Roman;serif" w:hAnsi="Times New Roman;serif"/>
                <w:b w:val="false"/>
                <w:color w:val="000000"/>
                <w:sz w:val="20"/>
              </w:rPr>
              <w:t xml:space="preserve">, and </w:t>
            </w:r>
            <w:hyperlink r:id="rId9">
              <w:r>
                <w:rPr>
                  <w:rStyle w:val="InternetLink"/>
                  <w:rFonts w:ascii="Times New Roman;serif" w:hAnsi="Times New Roman;serif"/>
                  <w:b w:val="false"/>
                  <w:color w:val="0000FF"/>
                  <w:sz w:val="20"/>
                  <w:u w:val="single"/>
                </w:rPr>
                <w:t>June 22, 2026</w:t>
              </w:r>
            </w:hyperlink>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all documents subsequently filed by us pursuant to Sections 13(a), 13(c), 14 and 15(d) of the Exchange Act, shall be deemed to be incorporated by reference in this prospectus and to be a part hereof from the date of filing of such documents. In addition, all reports and other documents filed by us pursuant to the Exchange Act after the date of the initial registration statement and prior to effectiveness of the registration statement shall be deemed to be incorporated by reference into this prospectus. Any statement contained in a document incorporated or deemed to be incorporated by reference herein shall be deemed to be modified or superseded for purposes of this prospectus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prospectus. Information furnished under Items 2.02 or 7.01 (or corresponding information furnished under Item 9.01 or included as an exhibit) in any past or future Current Report on Form 8-K that we file with the SEC, unless otherwise specified in such report, is not incorporated by reference in this prospectus.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Copies of the documents incorporated herein by reference may be obtained on our website at www.opalfuels.com. The information on our website is not incorporated by reference into this prospectus. These documents are also available on the SEC’s website at http://www.sec.gov.</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provide, without charge, to any person, including any beneficial owner, to whom a copy of this prospectus is delivered, upon oral or written request of such person, a copy of any or all of the documents that have been incorporated by reference in this prospectus but not delivered with the prospectus, including any exhibits to such documents that are specifically incorporated by reference in those documents.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Please make your request by writing or telephoning us at the following address or telephone number: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OPAL Fuels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One North Lexington Avenue</w:t>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Suite 1450</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37565"/>
                <wp:effectExtent l="0" t="0" r="0" b="0"/>
                <wp:wrapNone/>
                <wp:docPr id="33" name="Frame3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White Plains, New York 10601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Telephone: (914) 705-4000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514600" cy="590550"/>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10"/>
                    <a:stretch>
                      <a:fillRect/>
                    </a:stretch>
                  </pic:blipFill>
                  <pic:spPr bwMode="auto">
                    <a:xfrm>
                      <a:off x="0" y="0"/>
                      <a:ext cx="2514600" cy="590550"/>
                    </a:xfrm>
                    <a:prstGeom prst="rect">
                      <a:avLst/>
                    </a:prstGeom>
                  </pic:spPr>
                </pic:pic>
              </a:graphicData>
            </a:graphic>
          </wp:inline>
        </w:drawing>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OPAL FUELS INC.</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Class A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PRELIMINARY PROSPECTUS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You should rely only on the information contained or incorporated by reference in this prospectus. We have not authorized anyone to provide you with different information. You should not assume that the information contained or incorporated by reference in this prospectus is accurate as of any date other than the date of this prospectus. We are not making an offer of these securities in any state where the offer is not permitted.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estimated expenses to be borne by us in connection with the issuance and distribution of the securities being registered hereby. All amounts shown are estimates except for the SEC registration fee, which reflects the offset described in the note below.</w:t>
      </w:r>
    </w:p>
    <w:p>
      <w:pPr>
        <w:pStyle w:val="TextBody"/>
        <w:bidi w:val="0"/>
        <w:spacing w:lineRule="auto" w:line="288"/>
        <w:ind w:left="0" w:right="0" w:firstLine="72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37565"/>
                <wp:effectExtent l="0" t="0" r="0" b="0"/>
                <wp:wrapNone/>
                <wp:docPr id="35" name="Frame3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bear all costs, expenses and fees in connection with the registration of the securities.</w:t>
      </w:r>
    </w:p>
    <w:p>
      <w:pPr>
        <w:pStyle w:val="TextBody"/>
        <w:bidi w:val="0"/>
        <w:spacing w:lineRule="auto" w:line="288" w:before="0" w:after="0"/>
        <w:jc w:val="left"/>
        <w:rPr>
          <w:color w:val="000000"/>
        </w:rPr>
      </w:pPr>
      <w:r>
        <w:rPr>
          <w:color w:val="000000"/>
        </w:rPr>
        <w:t> </w:t>
      </w:r>
    </w:p>
    <w:tbl>
      <w:tblPr>
        <w:tblW w:w="4226" w:type="dxa"/>
        <w:jc w:val="left"/>
        <w:tblInd w:w="0" w:type="dxa"/>
        <w:tblLayout w:type="fixed"/>
        <w:tblCellMar>
          <w:top w:w="28" w:type="dxa"/>
          <w:left w:w="28" w:type="dxa"/>
          <w:bottom w:w="28" w:type="dxa"/>
          <w:right w:w="28" w:type="dxa"/>
        </w:tblCellMar>
      </w:tblPr>
      <w:tblGrid>
        <w:gridCol w:w="1028"/>
        <w:gridCol w:w="901"/>
        <w:gridCol w:w="906"/>
        <w:gridCol w:w="109"/>
        <w:gridCol w:w="109"/>
        <w:gridCol w:w="109"/>
        <w:gridCol w:w="109"/>
        <w:gridCol w:w="109"/>
        <w:gridCol w:w="109"/>
        <w:gridCol w:w="128"/>
        <w:gridCol w:w="128"/>
        <w:gridCol w:w="109"/>
        <w:gridCol w:w="109"/>
        <w:gridCol w:w="109"/>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 registration fee*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fees and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Legal fees and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Miscellaneous fees and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double" w:sz="10"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w:t>
            </w:r>
          </w:p>
        </w:tc>
        <w:tc>
          <w:tcPr>
            <w:tcW w:w="365" w:type="dxa"/>
            <w:gridSpan w:val="3"/>
            <w:tcBorders>
              <w:top w:val="single" w:sz="12" w:space="0" w:color="000000"/>
              <w:bottom w:val="double" w:sz="10"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amount excludes a registration fee amount of $21,929.80 associated with $199 million of securities previously registered on the Registration Statement on Form S-3 (File No. 333-273584) and which remain unsold. Pursuant to Rule 415(a)(6) under the Securities Act, the amount of such registration fee associated with the offering of the unsold securities will be carried forward to be applied to the unsold securities registered under this registration statement and no additional filing fee will be due with respect to the unsold securities in connection with the filing of this registration statement.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22"/>
        <w:gridCol w:w="122"/>
        <w:gridCol w:w="122"/>
        <w:gridCol w:w="2774"/>
        <w:gridCol w:w="2774"/>
        <w:gridCol w:w="39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w:t>
            </w:r>
            <w:r>
              <w:rPr>
                <w:color w:val="000000"/>
              </w:rPr>
              <w:t> </w:t>
            </w:r>
          </w:p>
        </w:tc>
        <w:tc>
          <w:tcPr>
            <w:tcW w:w="94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These fees and expenses depend on the securities offered and the number of issuances and accordingly cannot be estimated at this time.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OPAL is governed by the DGCL, as the same exists or may hereafter be amended. Section 145 of the DGCL (“Section 145”)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indemnification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Section 145 also provides that a Delaware corporation may indemnify any person who was or is a party or is threatened to be made a party to any threatened, pending or completed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such person’s status as such, whether or not the corporation would otherwise have the power to indemnify such person against such liability under Section 145.</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Charter and Bylaws provide that we shall indemnify, to the fullest extent permitted by law, any person made or threatened to be made a party to an action or proceeding, whether criminal, civil, administrative or investigative, by reason of the fact that he or she is or was our director or executive officer (as defined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37565"/>
                <wp:effectExtent l="0" t="0" r="0" b="0"/>
                <wp:wrapNone/>
                <wp:docPr id="36" name="Frame3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Bylaws) or serves or served at any other corporation, partnership, joint venture, trust or other enterprise as a director or executive officer at our request.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Charter eliminates the liability of a director to the fullest extent permitted by the DGCL. Pursuant to Section 102(b)(7) of the DGCL, a corporation may eliminate the personal liability of a director to the corporation or its stockholders for monetary damages for breach of fiduciary duty as a director, except for liabilities arising (i) from any breach of the director’s duty of loyalty to the corporation or its stockholders, (ii) from acts or omissions not in good faith or which involve intentional misconduct or a knowing violation of law, (iii) under Section 174 of the DGCL, or (iv) from any transaction from which the director derived an improper personal benefit.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provisions may be held not to be enforceable for certain violations of the federal securities laws of the United States.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on July 21, 2022, we entered into the Indemnification Agreements with each of our directors and executive officers which provide that we shall indemnify such directors and executive officers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Delaware law and our Bylaws.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or persons controlling the Company pursuant to the foregoing provisions, the Company has been informed that in the opinion of the Securities and Exchange Commission such indemnification is against public policy as expressed in the Securities Act and is therefore unenforceable.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Exhibits and Financial Statements.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 </w:t>
      </w:r>
      <w:r>
        <w:rPr>
          <w:rFonts w:ascii="Times New Roman;serif" w:hAnsi="Times New Roman;serif"/>
          <w:b w:val="false"/>
          <w:i/>
          <w:color w:val="000000"/>
          <w:sz w:val="20"/>
        </w:rPr>
        <w:t>Exhibits</w:t>
      </w:r>
      <w:r>
        <w:rPr>
          <w:rFonts w:ascii="Times New Roman;serif" w:hAnsi="Times New Roman;serif"/>
          <w:b w:val="false"/>
          <w:color w:val="000000"/>
          <w:sz w:val="20"/>
        </w:rPr>
        <w:t xml:space="preserve">. The following exhibits are being filed herewith: </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37565"/>
                <wp:effectExtent l="0" t="0" r="0" b="0"/>
                <wp:wrapNone/>
                <wp:docPr id="37" name="Frame3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2"/>
        <w:gridCol w:w="309"/>
        <w:gridCol w:w="311"/>
        <w:gridCol w:w="109"/>
        <w:gridCol w:w="109"/>
        <w:gridCol w:w="109"/>
        <w:gridCol w:w="2797"/>
        <w:gridCol w:w="2529"/>
        <w:gridCol w:w="3580"/>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3580"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Exhibit</w:t>
              <w:br/>
              <w:t>Number</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color w:val="000000"/>
                <w:sz w:val="20"/>
              </w:rPr>
              <w:t>Description</w:t>
            </w:r>
            <w:r>
              <w:rPr>
                <w:color w:val="000000"/>
              </w:rPr>
              <w:t>  </w:t>
            </w:r>
          </w:p>
        </w:tc>
      </w:tr>
      <w:tr>
        <w:trPr/>
        <w:tc>
          <w:tcPr>
            <w:tcW w:w="972"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972"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 </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EE"/>
                  <w:sz w:val="20"/>
                  <w:u w:val="single"/>
                </w:rPr>
                <w:t>Restated Certificate of Incorporation of OPAL Fuels Inc. (incorporated by reference to Exhibit 3.1 to the Current Report on Form 8-K/A filed by the Company on August 10, 2022)</w:t>
              </w:r>
            </w:hyperlink>
            <w:r>
              <w:rPr>
                <w:color w:val="000000"/>
              </w:rPr>
              <w:t> </w:t>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EE"/>
                  <w:sz w:val="20"/>
                  <w:u w:val="single"/>
                </w:rPr>
                <w:t>Bylaws of OPAL Fuels Inc. (incorporated by reference to Exhibit 3.2 to the Current Report on Form 8-K filed on July 27, 2022)</w:t>
              </w:r>
            </w:hyperlink>
            <w:r>
              <w:rPr>
                <w:color w:val="000000"/>
              </w:rPr>
              <w:t> </w:t>
            </w:r>
          </w:p>
        </w:tc>
      </w:tr>
      <w:tr>
        <w:trPr/>
        <w:tc>
          <w:tcPr>
            <w:tcW w:w="972"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CCECFF" w:val="clear"/>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erif" w:hAnsi="Times New Roman;serif"/>
                  <w:b w:val="false"/>
                  <w:color w:val="0000FF"/>
                  <w:sz w:val="20"/>
                  <w:u w:val="single"/>
                </w:rPr>
                <w:t>Amended and Restated Certificate of Designations of Series A Preferred Units of OPAL Fuels LLC, dated March 6, 2026 (incorporated by reference to Exhibit 3.1 to the Current Report on Form 8-K filed with the Company on March 9, 2026)</w:t>
              </w:r>
            </w:hyperlink>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Certificate of Designation with respect to Preferred Stock </w:t>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Warrant </w:t>
            </w:r>
          </w:p>
        </w:tc>
      </w:tr>
      <w:tr>
        <w:trPr/>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Warrant Agreement </w:t>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Unit Agreement </w:t>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opal-shelfsx3x51opinionsep.htm">
              <w:r>
                <w:rPr>
                  <w:rStyle w:val="InternetLink"/>
                  <w:rFonts w:ascii="Times New Roman;serif" w:hAnsi="Times New Roman;serif"/>
                  <w:b w:val="false"/>
                  <w:color w:val="0000FF"/>
                  <w:sz w:val="20"/>
                  <w:u w:val="single"/>
                </w:rPr>
                <w:t>Opinion of Sheppard, Mullin, Richter &amp; Hampton LLP</w:t>
              </w:r>
            </w:hyperlink>
            <w:r>
              <w:rPr>
                <w:color w:val="000000"/>
              </w:rPr>
              <w:t> </w:t>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opal-sx32026xdraftbdoconse.htm">
              <w:r>
                <w:rPr>
                  <w:rStyle w:val="InternetLink"/>
                  <w:rFonts w:ascii="Times New Roman;serif" w:hAnsi="Times New Roman;serif"/>
                  <w:b w:val="false"/>
                  <w:color w:val="0000FF"/>
                  <w:sz w:val="20"/>
                  <w:u w:val="single"/>
                </w:rPr>
                <w:t>Consent of BDO USA, P.C., independent registered accounting firm for OPAL Fuels Inc. </w:t>
              </w:r>
            </w:hyperlink>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opal-shelfsx3x51opinionsep.htm">
              <w:r>
                <w:rPr>
                  <w:rStyle w:val="InternetLink"/>
                  <w:rFonts w:ascii="Times New Roman;serif" w:hAnsi="Times New Roman;serif"/>
                  <w:b w:val="false"/>
                  <w:color w:val="0000FF"/>
                  <w:sz w:val="20"/>
                  <w:u w:val="single"/>
                </w:rPr>
                <w:t xml:space="preserve">Consent of Sheppard, Mullin, Richter &amp; Hampton LLP (included as part of Exhibit </w:t>
              </w:r>
            </w:hyperlink>
            <w:r>
              <w:rPr>
                <w:rFonts w:ascii="Times New Roman;serif" w:hAnsi="Times New Roman;serif"/>
                <w:b w:val="false"/>
                <w:color w:val="0000EE"/>
                <w:sz w:val="20"/>
                <w:u w:val="single"/>
              </w:rPr>
              <w:t>5.1).</w:t>
            </w:r>
            <w:r>
              <w:rPr>
                <w:color w:val="000000"/>
              </w:rPr>
              <w:t> </w:t>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c70502796acd4c4abd57d6359bc4d6e6_42">
              <w:r>
                <w:rPr>
                  <w:rStyle w:val="InternetLink"/>
                  <w:rFonts w:ascii="Times New Roman;serif" w:hAnsi="Times New Roman;serif"/>
                  <w:b w:val="false"/>
                  <w:color w:val="0000FF"/>
                  <w:sz w:val="20"/>
                  <w:u w:val="single"/>
                </w:rPr>
                <w:t>Power of Attorney </w:t>
              </w:r>
            </w:hyperlink>
            <w:r>
              <w:rPr>
                <w:rFonts w:ascii="Times New Roman;serif" w:hAnsi="Times New Roman;serif"/>
                <w:b w:val="false"/>
                <w:color w:val="000000"/>
                <w:sz w:val="20"/>
              </w:rPr>
              <w:t>(included on signature page hereto)</w:t>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w:t>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 </w:t>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 </w:t>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 </w:t>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 </w:t>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 </w:t>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FF"/>
                  <w:sz w:val="20"/>
                  <w:u w:val="single"/>
                </w:rPr>
                <w:t>Filing Fee Table</w:t>
              </w:r>
            </w:hyperlink>
            <w:r>
              <w:rPr>
                <w:color w:val="000000"/>
              </w:rPr>
              <w:t> </w:t>
            </w:r>
          </w:p>
        </w:tc>
      </w:tr>
    </w:tbl>
    <w:p>
      <w:pPr>
        <w:pStyle w:val="TextBody"/>
        <w:bidi w:val="0"/>
        <w:spacing w:lineRule="auto" w:line="288" w:before="0" w:after="0"/>
        <w:jc w:val="left"/>
        <w:rPr>
          <w:color w:val="000000"/>
        </w:rPr>
      </w:pPr>
      <w:r>
        <w:rPr>
          <w:color w:val="000000"/>
        </w:rPr>
        <w:t> </w:t>
      </w:r>
    </w:p>
    <w:tbl>
      <w:tblPr>
        <w:tblW w:w="219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48"/>
        <w:gridCol w:w="448"/>
        <w:gridCol w:w="6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Previously filed. </w:t>
            </w:r>
          </w:p>
        </w:tc>
      </w:tr>
    </w:tbl>
    <w:p>
      <w:pPr>
        <w:pStyle w:val="TextBody"/>
        <w:bidi w:val="0"/>
        <w:spacing w:before="0" w:after="0"/>
        <w:jc w:val="left"/>
        <w:rPr/>
      </w:pPr>
      <w:r>
        <w:rPr/>
      </w:r>
    </w:p>
    <w:tbl>
      <w:tblPr>
        <w:tblW w:w="2112"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413"/>
        <w:gridCol w:w="413"/>
        <w:gridCol w:w="5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 </w:t>
            </w:r>
          </w:p>
        </w:tc>
      </w:tr>
    </w:tbl>
    <w:p>
      <w:pPr>
        <w:pStyle w:val="TextBody"/>
        <w:bidi w:val="0"/>
        <w:spacing w:before="0" w:after="0"/>
        <w:jc w:val="left"/>
        <w:rPr/>
      </w:pPr>
      <w:r>
        <w:rPr/>
      </w:r>
    </w:p>
    <w:tbl>
      <w:tblPr>
        <w:tblW w:w="8052" w:type="dxa"/>
        <w:jc w:val="left"/>
        <w:tblInd w:w="0" w:type="dxa"/>
        <w:tblLayout w:type="fixed"/>
        <w:tblCellMar>
          <w:top w:w="28" w:type="dxa"/>
          <w:left w:w="28" w:type="dxa"/>
          <w:bottom w:w="28" w:type="dxa"/>
          <w:right w:w="28" w:type="dxa"/>
        </w:tblCellMar>
      </w:tblPr>
      <w:tblGrid>
        <w:gridCol w:w="124"/>
        <w:gridCol w:w="109"/>
        <w:gridCol w:w="109"/>
        <w:gridCol w:w="155"/>
        <w:gridCol w:w="155"/>
        <w:gridCol w:w="155"/>
        <w:gridCol w:w="2122"/>
        <w:gridCol w:w="2122"/>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72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If required, to be filed by amendment or under subsequent Current Report on Form 8-K. </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(b) </w:t>
      </w:r>
      <w:r>
        <w:rPr>
          <w:rFonts w:ascii="Times New Roman;serif" w:hAnsi="Times New Roman;serif"/>
          <w:b w:val="false"/>
          <w:i/>
          <w:color w:val="000000"/>
          <w:sz w:val="20"/>
        </w:rPr>
        <w:t>Financial Statements</w:t>
      </w:r>
      <w:r>
        <w:rPr>
          <w:rFonts w:ascii="Times New Roman;serif" w:hAnsi="Times New Roman;serif"/>
          <w:b w:val="false"/>
          <w:color w:val="000000"/>
          <w:sz w:val="20"/>
        </w:rPr>
        <w:t>. The financial statements filed as part of this registration statement are listed in the index to the financial statements immediately preceding such financial statements, which index to the financial statements is incorporated herein by reference.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37565"/>
                <wp:effectExtent l="0" t="0" r="0" b="0"/>
                <wp:wrapNone/>
                <wp:docPr id="38" name="Frame3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102"/>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file, during any period in which offers or sales are being made, a post-effective amendment to this registration statement: (i) to include any prospectus required by Section 10(a)(3) of the Securities Act of 1933;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(1)(i), (1)(ii), and (1)(iii)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 remove from registration by means of a post-effective amendment any of the securities being registered which remain unsold at the termination of the offering.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That, for the purpose of determining liability under the Securities Act to any purchaser: (i) each prospectus filed by the registrant pursuant to Rule 424(b)(3) shall be deemed to be part of the registration statement as of the date the filed prospectus was deemed part of and included in the registration statement; and (ii) e</w:t>
            </w:r>
            <w:r>
              <w:rPr>
                <w:rFonts w:ascii="Times New Roman;serif" w:hAnsi="Times New Roman;serif"/>
                <w:b w:val="false"/>
                <w:color w:val="000000"/>
                <w:sz w:val="20"/>
                <w:shd w:fill="FFFFFF" w:val="clear"/>
              </w:rPr>
              <w:t xml:space="preserv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serif" w:hAnsi="Times New Roman;serif"/>
                <w:b w:val="false"/>
                <w:i/>
                <w:color w:val="000000"/>
                <w:sz w:val="20"/>
                <w:shd w:fill="FFFFFF" w:val="clear"/>
              </w:rPr>
              <w:t>bona fide</w:t>
            </w:r>
            <w:r>
              <w:rPr>
                <w:color w:val="000000"/>
                <w:shd w:fill="FFFFFF" w:val="clear"/>
              </w:rPr>
              <w:t xml:space="preserve"> </w:t>
            </w:r>
            <w:r>
              <w:rPr>
                <w:rFonts w:ascii="Times New Roman;serif" w:hAnsi="Times New Roman;serif"/>
                <w:b w:val="false"/>
                <w:color w:val="000000"/>
                <w:sz w:val="20"/>
                <w:shd w:fill="FFFFFF" w:val="clear"/>
              </w:rPr>
              <w:t xml:space="preserve">offering thereof. </w:t>
            </w:r>
            <w:r>
              <w:rPr>
                <w:rFonts w:ascii="Times New Roman;serif" w:hAnsi="Times New Roman;serif"/>
                <w:b w:val="false"/>
                <w:i/>
                <w:color w:val="000000"/>
                <w:sz w:val="20"/>
                <w:shd w:fill="FFFFFF" w:val="clear"/>
              </w:rPr>
              <w:t>Provided, however,</w:t>
            </w:r>
            <w:r>
              <w:rPr>
                <w:color w:val="000000"/>
                <w:shd w:fill="FFFFFF" w:val="clear"/>
              </w:rPr>
              <w:t xml:space="preserve"> </w:t>
            </w:r>
            <w:r>
              <w:rPr>
                <w:rFonts w:ascii="Times New Roman;serif" w:hAnsi="Times New Roman;serif"/>
                <w:b w:val="false"/>
                <w:color w:val="000000"/>
                <w:sz w:val="20"/>
                <w:shd w:fill="FFFFFF" w:val="clear"/>
              </w:rPr>
              <w:t>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37565"/>
                <wp:effectExtent l="0" t="0" r="0" b="0"/>
                <wp:wrapNone/>
                <wp:docPr id="39" name="Frame3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That, for the purpose of determining liability of the registrant under the Securities Act of 1933 to any purchaser in the initial distribution of the securities: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 (§ 230.424 of this chapter);</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White Plains, State of New York, on September 4, 2026. </w:t>
      </w:r>
    </w:p>
    <w:p>
      <w:pPr>
        <w:pStyle w:val="TextBody"/>
        <w:bidi w:val="0"/>
        <w:spacing w:lineRule="auto" w:line="288"/>
        <w:ind w:left="0" w:right="0" w:firstLine="72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37565"/>
                <wp:effectExtent l="0" t="0" r="0" b="0"/>
                <wp:wrapNone/>
                <wp:docPr id="40" name="Frame3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4103" w:type="dxa"/>
        <w:jc w:val="left"/>
        <w:tblInd w:w="0" w:type="dxa"/>
        <w:tblLayout w:type="fixed"/>
        <w:tblCellMar>
          <w:top w:w="28" w:type="dxa"/>
          <w:left w:w="28" w:type="dxa"/>
          <w:bottom w:w="28" w:type="dxa"/>
          <w:right w:w="28" w:type="dxa"/>
        </w:tblCellMar>
      </w:tblPr>
      <w:tblGrid>
        <w:gridCol w:w="124"/>
        <w:gridCol w:w="109"/>
        <w:gridCol w:w="109"/>
        <w:gridCol w:w="191"/>
        <w:gridCol w:w="191"/>
        <w:gridCol w:w="191"/>
        <w:gridCol w:w="273"/>
        <w:gridCol w:w="273"/>
        <w:gridCol w:w="273"/>
        <w:gridCol w:w="693"/>
        <w:gridCol w:w="693"/>
        <w:gridCol w:w="9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Maurer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23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Maurer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constitutes and appoints Jonathan Maurer, Adam Comora, Kazi Hasan and John Coghlin,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dates indicated.</w:t>
      </w:r>
    </w:p>
    <w:p>
      <w:pPr>
        <w:pStyle w:val="TextBody"/>
        <w:bidi w:val="0"/>
        <w:spacing w:lineRule="auto" w:line="288"/>
        <w:ind w:left="0" w:right="0" w:firstLine="72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37565"/>
                <wp:effectExtent l="0" t="0" r="0" b="0"/>
                <wp:wrapNone/>
                <wp:docPr id="41" name="Frame3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tbl>
      <w:tblPr>
        <w:tblW w:w="9231" w:type="dxa"/>
        <w:jc w:val="left"/>
        <w:tblInd w:w="0" w:type="dxa"/>
        <w:tblLayout w:type="fixed"/>
        <w:tblCellMar>
          <w:top w:w="28" w:type="dxa"/>
          <w:left w:w="28" w:type="dxa"/>
          <w:bottom w:w="28" w:type="dxa"/>
          <w:right w:w="28" w:type="dxa"/>
        </w:tblCellMar>
      </w:tblPr>
      <w:tblGrid>
        <w:gridCol w:w="640"/>
        <w:gridCol w:w="563"/>
        <w:gridCol w:w="566"/>
        <w:gridCol w:w="109"/>
        <w:gridCol w:w="109"/>
        <w:gridCol w:w="109"/>
        <w:gridCol w:w="1707"/>
        <w:gridCol w:w="1707"/>
        <w:gridCol w:w="1730"/>
        <w:gridCol w:w="109"/>
        <w:gridCol w:w="109"/>
        <w:gridCol w:w="109"/>
        <w:gridCol w:w="486"/>
        <w:gridCol w:w="486"/>
        <w:gridCol w:w="692"/>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Signature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Title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Date</w:t>
            </w:r>
            <w:r>
              <w:rPr>
                <w:color w:val="000000"/>
              </w:rPr>
              <w:t> </w:t>
            </w:r>
          </w:p>
        </w:tc>
      </w:tr>
      <w:tr>
        <w:trPr/>
        <w:tc>
          <w:tcPr>
            <w:tcW w:w="17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Maurer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Co-Chief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Maurer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Adam Comora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Co-Chief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Comora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Kazi Hasan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Kazi Hasan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Comora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Comora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Betsy L. Battle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Betsy L. Battle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Dols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Dols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Martell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Martell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Lance Moll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Lance Moll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Nadeem Nisar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Nadeem Nisar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M. Sutton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Sutton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Ashok Vemuri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4, 2026</w:t>
            </w:r>
          </w:p>
        </w:tc>
      </w:tr>
      <w:tr>
        <w:trPr/>
        <w:tc>
          <w:tcPr>
            <w:tcW w:w="176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Ashok Vemuri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II-5</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37565"/>
                <wp:effectExtent l="0" t="0" r="0" b="0"/>
                <wp:wrapNone/>
                <wp:docPr id="42" name="Frame4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16"/>
        </w:rPr>
      </w:pPr>
      <w:r>
        <w:rPr>
          <w:rFonts w:ascii="Arial;sans-serif" w:hAnsi="Arial;sans-serif"/>
          <w:b/>
          <w:color w:val="000000"/>
          <w:sz w:val="16"/>
        </w:rPr>
        <w:t>Exhibit 107</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Calculation of Filing Fee Tables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 S-3</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 Type)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OPAL FUELS INC.</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6104" w:type="dxa"/>
        <w:jc w:val="left"/>
        <w:tblInd w:w="0" w:type="dxa"/>
        <w:tblLayout w:type="fixed"/>
        <w:tblCellMar>
          <w:top w:w="28" w:type="dxa"/>
          <w:left w:w="28" w:type="dxa"/>
          <w:bottom w:w="28" w:type="dxa"/>
          <w:right w:w="28" w:type="dxa"/>
        </w:tblCellMar>
      </w:tblPr>
      <w:tblGrid>
        <w:gridCol w:w="1633"/>
        <w:gridCol w:w="1439"/>
        <w:gridCol w:w="1443"/>
        <w:gridCol w:w="465"/>
        <w:gridCol w:w="465"/>
        <w:gridCol w:w="659"/>
      </w:tblGrid>
      <w:tr>
        <w:trPr/>
        <w:tc>
          <w:tcPr>
            <w:tcW w:w="16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Table 1: Newly Registered and Carry Forward Securities</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color w:val="000000"/>
              </w:rPr>
              <w:t xml:space="preserve">☐ </w:t>
            </w:r>
            <w:r>
              <w:rPr>
                <w:rFonts w:ascii="Arial;sans-serif" w:hAnsi="Arial;sans-serif"/>
                <w:b/>
                <w:color w:val="000000"/>
                <w:sz w:val="16"/>
              </w:rPr>
              <w:t>Not Applicable</w:t>
            </w:r>
          </w:p>
        </w:tc>
      </w:tr>
    </w:tbl>
    <w:p>
      <w:pPr>
        <w:pStyle w:val="TextBody"/>
        <w:bidi w:val="0"/>
        <w:spacing w:before="0" w:after="0"/>
        <w:jc w:val="center"/>
        <w:rPr/>
      </w:pPr>
      <w:r>
        <w:rPr/>
      </w:r>
    </w:p>
    <w:p>
      <w:pPr>
        <w:pStyle w:val="TextBody"/>
        <w:bidi w:val="0"/>
        <w:spacing w:before="0" w:after="0"/>
        <w:jc w:val="left"/>
        <w:rPr/>
      </w:pPr>
      <w:r>
        <w:rPr/>
      </w:r>
    </w:p>
    <w:tbl>
      <w:tblPr>
        <w:tblW w:w="12301" w:type="dxa"/>
        <w:jc w:val="left"/>
        <w:tblInd w:w="0" w:type="dxa"/>
        <w:tblLayout w:type="fixed"/>
        <w:tblCellMar>
          <w:top w:w="28" w:type="dxa"/>
          <w:left w:w="28" w:type="dxa"/>
          <w:bottom w:w="28" w:type="dxa"/>
          <w:right w:w="28" w:type="dxa"/>
        </w:tblCellMar>
      </w:tblPr>
      <w:tblGrid>
        <w:gridCol w:w="455"/>
        <w:gridCol w:w="272"/>
        <w:gridCol w:w="159"/>
        <w:gridCol w:w="109"/>
        <w:gridCol w:w="109"/>
        <w:gridCol w:w="109"/>
        <w:gridCol w:w="394"/>
        <w:gridCol w:w="316"/>
        <w:gridCol w:w="251"/>
        <w:gridCol w:w="295"/>
        <w:gridCol w:w="250"/>
        <w:gridCol w:w="251"/>
        <w:gridCol w:w="335"/>
        <w:gridCol w:w="335"/>
        <w:gridCol w:w="336"/>
        <w:gridCol w:w="320"/>
        <w:gridCol w:w="320"/>
        <w:gridCol w:w="321"/>
        <w:gridCol w:w="290"/>
        <w:gridCol w:w="290"/>
        <w:gridCol w:w="291"/>
        <w:gridCol w:w="236"/>
        <w:gridCol w:w="562"/>
        <w:gridCol w:w="133"/>
        <w:gridCol w:w="458"/>
        <w:gridCol w:w="458"/>
        <w:gridCol w:w="156"/>
        <w:gridCol w:w="274"/>
        <w:gridCol w:w="653"/>
        <w:gridCol w:w="154"/>
        <w:gridCol w:w="255"/>
        <w:gridCol w:w="255"/>
        <w:gridCol w:w="256"/>
        <w:gridCol w:w="255"/>
        <w:gridCol w:w="255"/>
        <w:gridCol w:w="256"/>
        <w:gridCol w:w="265"/>
        <w:gridCol w:w="265"/>
        <w:gridCol w:w="266"/>
        <w:gridCol w:w="316"/>
        <w:gridCol w:w="316"/>
        <w:gridCol w:w="449"/>
      </w:tblGrid>
      <w:tr>
        <w:trPr/>
        <w:tc>
          <w:tcPr>
            <w:tcW w:w="4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6" w:space="0" w:color="000000"/>
              <w:left w:val="single" w:sz="6" w:space="0" w:color="000000"/>
            </w:tcBorders>
            <w:shd w:fill="9ADAF6"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9ADAF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Security Type</w:t>
            </w:r>
          </w:p>
        </w:tc>
        <w:tc>
          <w:tcPr>
            <w:tcW w:w="796"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Security Class Title </w:t>
            </w:r>
          </w:p>
        </w:tc>
        <w:tc>
          <w:tcPr>
            <w:tcW w:w="1006"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Fee Calculation or Carry Forward Rule</w:t>
            </w:r>
          </w:p>
        </w:tc>
        <w:tc>
          <w:tcPr>
            <w:tcW w:w="96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 Registered</w:t>
            </w:r>
          </w:p>
        </w:tc>
        <w:tc>
          <w:tcPr>
            <w:tcW w:w="87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Proposed Maximum Offering Price Per Unit</w:t>
            </w:r>
          </w:p>
        </w:tc>
        <w:tc>
          <w:tcPr>
            <w:tcW w:w="93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Maximum Aggregate Offering Price</w:t>
            </w:r>
          </w:p>
        </w:tc>
        <w:tc>
          <w:tcPr>
            <w:tcW w:w="1072"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Fee Rate</w:t>
            </w:r>
          </w:p>
        </w:tc>
        <w:tc>
          <w:tcPr>
            <w:tcW w:w="108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 of Registration Fee</w:t>
            </w:r>
          </w:p>
        </w:tc>
        <w:tc>
          <w:tcPr>
            <w:tcW w:w="766"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 Forward Form Type</w:t>
            </w:r>
          </w:p>
        </w:tc>
        <w:tc>
          <w:tcPr>
            <w:tcW w:w="766"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 Forward File Number</w:t>
            </w:r>
          </w:p>
        </w:tc>
        <w:tc>
          <w:tcPr>
            <w:tcW w:w="796"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 Forward Initial Effective Date</w:t>
            </w:r>
          </w:p>
        </w:tc>
        <w:tc>
          <w:tcPr>
            <w:tcW w:w="1081" w:type="dxa"/>
            <w:gridSpan w:val="3"/>
            <w:tcBorders>
              <w:top w:val="single" w:sz="6" w:space="0" w:color="000000"/>
              <w:right w:val="single" w:sz="6" w:space="0" w:color="000000"/>
            </w:tcBorders>
            <w:shd w:fill="9ADAF6"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Filing Fee Previously Paid in Connection with Unsold Securities to be Carried Forward</w:t>
            </w:r>
          </w:p>
        </w:tc>
      </w:tr>
      <w:tr>
        <w:trPr/>
        <w:tc>
          <w:tcPr>
            <w:tcW w:w="12301" w:type="dxa"/>
            <w:gridSpan w:val="42"/>
            <w:tcBorders>
              <w:left w:val="single" w:sz="6" w:space="0" w:color="000000"/>
              <w:right w:val="single" w:sz="6"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Newly Registered Securities</w:t>
            </w:r>
          </w:p>
        </w:tc>
      </w:tr>
      <w:tr>
        <w:trPr/>
        <w:tc>
          <w:tcPr>
            <w:tcW w:w="886"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Equity </w:t>
            </w:r>
          </w:p>
        </w:tc>
        <w:tc>
          <w:tcPr>
            <w:tcW w:w="79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$0.0001 par value per share</w:t>
            </w:r>
          </w:p>
        </w:tc>
        <w:tc>
          <w:tcPr>
            <w:tcW w:w="100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457(o)</w:t>
            </w:r>
          </w:p>
        </w:tc>
        <w:tc>
          <w:tcPr>
            <w:tcW w:w="96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Equity </w:t>
            </w:r>
          </w:p>
        </w:tc>
        <w:tc>
          <w:tcPr>
            <w:tcW w:w="79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Stock, par value $0.0001 per share</w:t>
            </w:r>
          </w:p>
        </w:tc>
        <w:tc>
          <w:tcPr>
            <w:tcW w:w="100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457(o)</w:t>
            </w:r>
          </w:p>
        </w:tc>
        <w:tc>
          <w:tcPr>
            <w:tcW w:w="96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w:t>
            </w:r>
          </w:p>
        </w:tc>
        <w:tc>
          <w:tcPr>
            <w:tcW w:w="79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Warrants</w:t>
            </w:r>
          </w:p>
        </w:tc>
        <w:tc>
          <w:tcPr>
            <w:tcW w:w="100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457(o)</w:t>
            </w:r>
          </w:p>
        </w:tc>
        <w:tc>
          <w:tcPr>
            <w:tcW w:w="96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left w:val="single" w:sz="6" w:space="0" w:color="000000"/>
            </w:tcBorders>
            <w:shd w:fill="E7E7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w:t>
            </w:r>
          </w:p>
        </w:tc>
        <w:tc>
          <w:tcPr>
            <w:tcW w:w="79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Units</w:t>
            </w:r>
          </w:p>
        </w:tc>
        <w:tc>
          <w:tcPr>
            <w:tcW w:w="100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457(o)</w:t>
            </w:r>
          </w:p>
        </w:tc>
        <w:tc>
          <w:tcPr>
            <w:tcW w:w="96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Fees to be Paid</w:t>
            </w:r>
          </w:p>
        </w:tc>
        <w:tc>
          <w:tcPr>
            <w:tcW w:w="327"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c>
          <w:tcPr>
            <w:tcW w:w="961"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(Universal) Shelf</w:t>
            </w:r>
          </w:p>
        </w:tc>
        <w:tc>
          <w:tcPr>
            <w:tcW w:w="79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457(o)</w:t>
            </w:r>
          </w:p>
        </w:tc>
        <w:tc>
          <w:tcPr>
            <w:tcW w:w="96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0.00 </w:t>
            </w:r>
          </w:p>
        </w:tc>
        <w:tc>
          <w:tcPr>
            <w:tcW w:w="133" w:type="dxa"/>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0.0001381 </w:t>
            </w:r>
          </w:p>
        </w:tc>
        <w:tc>
          <w:tcPr>
            <w:tcW w:w="156" w:type="dxa"/>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0.00 </w:t>
            </w:r>
          </w:p>
        </w:tc>
        <w:tc>
          <w:tcPr>
            <w:tcW w:w="154" w:type="dxa"/>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Fees Previously Paid </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2301" w:type="dxa"/>
            <w:gridSpan w:val="42"/>
            <w:tcBorders>
              <w:left w:val="single" w:sz="6" w:space="0" w:color="000000"/>
              <w:right w:val="single" w:sz="6"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 Forward Securities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7"/>
        <w:gridCol w:w="341"/>
        <w:gridCol w:w="342"/>
        <w:gridCol w:w="109"/>
        <w:gridCol w:w="109"/>
        <w:gridCol w:w="109"/>
        <w:gridCol w:w="401"/>
        <w:gridCol w:w="401"/>
        <w:gridCol w:w="406"/>
        <w:gridCol w:w="490"/>
        <w:gridCol w:w="466"/>
        <w:gridCol w:w="468"/>
        <w:gridCol w:w="168"/>
        <w:gridCol w:w="168"/>
        <w:gridCol w:w="169"/>
        <w:gridCol w:w="109"/>
        <w:gridCol w:w="109"/>
        <w:gridCol w:w="109"/>
        <w:gridCol w:w="109"/>
        <w:gridCol w:w="109"/>
        <w:gridCol w:w="109"/>
        <w:gridCol w:w="365"/>
        <w:gridCol w:w="365"/>
        <w:gridCol w:w="366"/>
        <w:gridCol w:w="109"/>
        <w:gridCol w:w="109"/>
        <w:gridCol w:w="109"/>
        <w:gridCol w:w="196"/>
        <w:gridCol w:w="466"/>
        <w:gridCol w:w="109"/>
        <w:gridCol w:w="111"/>
        <w:gridCol w:w="111"/>
        <w:gridCol w:w="111"/>
        <w:gridCol w:w="236"/>
        <w:gridCol w:w="236"/>
        <w:gridCol w:w="237"/>
        <w:gridCol w:w="184"/>
        <w:gridCol w:w="184"/>
        <w:gridCol w:w="185"/>
        <w:gridCol w:w="196"/>
        <w:gridCol w:w="871"/>
        <w:gridCol w:w="161"/>
      </w:tblGrid>
      <w:tr>
        <w:trPr/>
        <w:tc>
          <w:tcPr>
            <w:tcW w:w="38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70"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Carry Forward Securities </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Equity </w:t>
            </w:r>
          </w:p>
        </w:tc>
        <w:tc>
          <w:tcPr>
            <w:tcW w:w="1424"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$0.0001 par value per share</w:t>
            </w:r>
          </w:p>
        </w:tc>
        <w:tc>
          <w:tcPr>
            <w:tcW w:w="505"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415(a)(6)</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S-3</w:t>
            </w:r>
          </w:p>
        </w:tc>
        <w:tc>
          <w:tcPr>
            <w:tcW w:w="709"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333-273584</w:t>
            </w:r>
          </w:p>
        </w:tc>
        <w:tc>
          <w:tcPr>
            <w:tcW w:w="55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09/06/2023</w:t>
            </w:r>
          </w:p>
        </w:tc>
        <w:tc>
          <w:tcPr>
            <w:tcW w:w="1228"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Carry Forward Securities </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Equity </w:t>
            </w:r>
          </w:p>
        </w:tc>
        <w:tc>
          <w:tcPr>
            <w:tcW w:w="1424"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Stock, par value $0.0001 per share</w:t>
            </w:r>
          </w:p>
        </w:tc>
        <w:tc>
          <w:tcPr>
            <w:tcW w:w="505"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415(a)(6)</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S-3</w:t>
            </w:r>
          </w:p>
        </w:tc>
        <w:tc>
          <w:tcPr>
            <w:tcW w:w="709"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333-273584</w:t>
            </w:r>
          </w:p>
        </w:tc>
        <w:tc>
          <w:tcPr>
            <w:tcW w:w="55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09/06/2023</w:t>
            </w:r>
          </w:p>
        </w:tc>
        <w:tc>
          <w:tcPr>
            <w:tcW w:w="1228"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Carry Forward Securities </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w:t>
            </w:r>
          </w:p>
        </w:tc>
        <w:tc>
          <w:tcPr>
            <w:tcW w:w="1424"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Warrants</w:t>
            </w:r>
          </w:p>
        </w:tc>
        <w:tc>
          <w:tcPr>
            <w:tcW w:w="505"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415(a)(6)</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S-3</w:t>
            </w:r>
          </w:p>
        </w:tc>
        <w:tc>
          <w:tcPr>
            <w:tcW w:w="709"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333-273584</w:t>
            </w:r>
          </w:p>
        </w:tc>
        <w:tc>
          <w:tcPr>
            <w:tcW w:w="55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09/06/2023</w:t>
            </w:r>
          </w:p>
        </w:tc>
        <w:tc>
          <w:tcPr>
            <w:tcW w:w="1228"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Carry Forward Securities </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w:t>
            </w:r>
          </w:p>
        </w:tc>
        <w:tc>
          <w:tcPr>
            <w:tcW w:w="1424"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Units</w:t>
            </w:r>
          </w:p>
        </w:tc>
        <w:tc>
          <w:tcPr>
            <w:tcW w:w="505"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415(a)(6)</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S-3</w:t>
            </w:r>
          </w:p>
        </w:tc>
        <w:tc>
          <w:tcPr>
            <w:tcW w:w="709"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333-273584</w:t>
            </w:r>
          </w:p>
        </w:tc>
        <w:tc>
          <w:tcPr>
            <w:tcW w:w="55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09/06/2023</w:t>
            </w:r>
          </w:p>
        </w:tc>
        <w:tc>
          <w:tcPr>
            <w:tcW w:w="1228"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Carry Forward Securities </w:t>
            </w:r>
          </w:p>
        </w:tc>
        <w:tc>
          <w:tcPr>
            <w:tcW w:w="327"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1208"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Unallocated (Universal) Shelf</w:t>
            </w:r>
          </w:p>
        </w:tc>
        <w:tc>
          <w:tcPr>
            <w:tcW w:w="1424"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415(a)(6)</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$199,000,000</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S-3</w:t>
            </w:r>
          </w:p>
        </w:tc>
        <w:tc>
          <w:tcPr>
            <w:tcW w:w="709"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333-273584</w:t>
            </w:r>
          </w:p>
        </w:tc>
        <w:tc>
          <w:tcPr>
            <w:tcW w:w="553" w:type="dxa"/>
            <w:gridSpan w:val="3"/>
            <w:tcBorders/>
            <w:shd w:fill="E7E7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09/06/2023</w:t>
            </w:r>
          </w:p>
        </w:tc>
        <w:tc>
          <w:tcPr>
            <w:tcW w:w="196" w:type="dxa"/>
            <w:tcBorders/>
            <w:shd w:fill="E7E7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E7E7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21,929.80 </w:t>
            </w:r>
          </w:p>
        </w:tc>
        <w:tc>
          <w:tcPr>
            <w:tcW w:w="161" w:type="dxa"/>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 Offering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$199,000,000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xml:space="preserve">Total Fees Previously Paid: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xml:space="preserve">Total Fee Offsets: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70" w:type="dxa"/>
            <w:gridSpan w:val="3"/>
            <w:tcBorders>
              <w:left w:val="single" w:sz="6" w:space="0" w:color="000000"/>
              <w:bottom w:val="single" w:sz="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 xml:space="preserve">Net Fee Due: </w:t>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0.00 </w:t>
            </w:r>
          </w:p>
        </w:tc>
        <w:tc>
          <w:tcPr>
            <w:tcW w:w="109" w:type="dxa"/>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6" w:space="0" w:color="000000"/>
              <w:right w:val="single" w:sz="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572" w:type="dxa"/>
        <w:jc w:val="left"/>
        <w:tblInd w:w="0" w:type="dxa"/>
        <w:tblLayout w:type="fixed"/>
        <w:tblCellMar>
          <w:top w:w="28" w:type="dxa"/>
          <w:left w:w="28" w:type="dxa"/>
          <w:bottom w:w="28" w:type="dxa"/>
          <w:right w:w="28" w:type="dxa"/>
        </w:tblCellMar>
      </w:tblPr>
      <w:tblGrid>
        <w:gridCol w:w="435"/>
        <w:gridCol w:w="381"/>
        <w:gridCol w:w="384"/>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Offering Note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This registration statement ("Registration Statement") covers the registration of such indeterminate number of (a) shares of Class A common stock, (b) shares of preferred stock, (c) warrants to purchase shares of Class A common stock or shares of preferred stock of the registrant, and (d) units consisting of any of the aforementioned securities, as may be offered and sold from time to time by the registrant. In addition, pursuant to Rule 416 under the Securities Act of 1933, as amended (the "Securities Act"), the shares being registered hereunder include such indeterminate number of shares of Class A common stock as may be issuable with respect to the shares being registered hereunder as a result of stock splits, stock dividends or similar transactions.</w:t>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registration fee has been calculated in accordance with Rule 457(o) under the Securities Act. The aggregate maximum offering price of all securities issued by the registrant pursuant to this Registration Statement will not exceed $199,000,000.00.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w:t>
            </w:r>
          </w:p>
        </w:tc>
      </w:tr>
      <w:tr>
        <w:trPr/>
        <w:tc>
          <w:tcPr>
            <w:tcW w:w="10205"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The registrant previously registered the offer and sale of securities having a maximum aggregate offering price of $200,000,000 pursuant to a registration statement on Form S-3 (File No. 333-273584) initially filed with the Securities and Exchange Commission on August 1, 2023 (as amended, the "</w:t>
            </w:r>
            <w:r>
              <w:rPr>
                <w:rFonts w:ascii="Arial;sans-serif" w:hAnsi="Arial;sans-serif"/>
                <w:b w:val="false"/>
                <w:color w:val="000000"/>
                <w:sz w:val="16"/>
                <w:u w:val="single"/>
              </w:rPr>
              <w:t>Expiring Registration Statement</w:t>
            </w:r>
            <w:r>
              <w:rPr>
                <w:rFonts w:ascii="Arial;sans-serif" w:hAnsi="Arial;sans-serif"/>
                <w:b w:val="false"/>
                <w:color w:val="000000"/>
                <w:sz w:val="16"/>
              </w:rPr>
              <w:t>") and, in connection therewith, paid a filing fee of $22,040. Of such securities, an aggregate of more than $199,000,000 remains unsold (the "</w:t>
            </w:r>
            <w:r>
              <w:rPr>
                <w:rFonts w:ascii="Arial;sans-serif" w:hAnsi="Arial;sans-serif"/>
                <w:b w:val="false"/>
                <w:color w:val="000000"/>
                <w:sz w:val="16"/>
                <w:u w:val="single"/>
              </w:rPr>
              <w:t>Unsold Securities</w:t>
            </w:r>
            <w:r>
              <w:rPr>
                <w:rFonts w:ascii="Arial;sans-serif" w:hAnsi="Arial;sans-serif"/>
                <w:b w:val="false"/>
                <w:color w:val="000000"/>
                <w:sz w:val="16"/>
              </w:rPr>
              <w:t>"). Pursuant to Rule 415(a)(6) under the Securities Act, the securities registered pursuant to this Registration Statement include the Unsold Securities, and the filing fee of $21,929.80 associated therewith (which amount is based on the filing fee rate in effect at the time of the filing of the Expiring Registration Statement) is hereby carried forward to be applied to the Unsold Securities and no additional filing fee is due with respect to such Unsold Securities in connection with the filing of this Registration Statement. In accordance with Rule 415(a)(5) and Rule 415(a)(6), the registrant may continue to offer and sell the securities covered by the Expiring Registration Statement during the grace period afforded by Rule 415(a)(5). To the extent that, after the filing date hereof and prior to effectiveness of this Registration Statement, the registrant sells any Unsold Securities under the Expiring Registration Statement pursuant to Rule 415(a)(6), the Registrant will identify in a pre-effective amendment to this Registration Statement the updated amount of Unsold Securities from the Prior Registration Statement to be included in this Registration Statement pursuant to Rule 415(a)(6) and the updated amount of securities to be registered on this Registration Statement, if any. Pursuant to Rule 415(a)(6) under the Securities Act, the offering of the Unsold Securities under the Expiring Registration Statement shall be deemed terminated upon the earlier of (i) the effective date of this Registration Statement or (ii) 180 days from the third anniversary of the initial effective date of the Expiring Registration Statement.</w:t>
            </w:r>
          </w:p>
        </w:tc>
      </w:tr>
      <w:tr>
        <w:trPr/>
        <w:tc>
          <w:tcPr>
            <w:tcW w:w="10205" w:type="dxa"/>
            <w:gridSpan w:val="6"/>
            <w:tcBorders/>
            <w:tcMar>
              <w:top w:w="0" w:type="dxa"/>
              <w:left w:w="0" w:type="dxa"/>
              <w:bottom w:w="0" w:type="dxa"/>
              <w:right w:w="0" w:type="dxa"/>
            </w:tcMar>
            <w:vAlign w:val="center"/>
          </w:tcPr>
          <w:p>
            <w:pPr>
              <w:pStyle w:val="TableContents"/>
              <w:bidi w:val="0"/>
              <w:spacing w:before="0" w:after="0"/>
              <w:jc w:val="left"/>
              <w:rPr/>
            </w:pPr>
            <w:r>
              <w:rPr/>
            </w:r>
          </w:p>
        </w:tc>
      </w:tr>
    </w:tbl>
    <w:tbl>
      <w:tblPr>
        <w:tblW w:w="4770" w:type="dxa"/>
        <w:jc w:val="left"/>
        <w:tblInd w:w="0" w:type="dxa"/>
        <w:tblLayout w:type="fixed"/>
        <w:tblCellMar>
          <w:top w:w="28" w:type="dxa"/>
          <w:left w:w="28" w:type="dxa"/>
          <w:bottom w:w="28" w:type="dxa"/>
          <w:right w:w="28" w:type="dxa"/>
        </w:tblCellMar>
      </w:tblPr>
      <w:tblGrid>
        <w:gridCol w:w="1172"/>
        <w:gridCol w:w="1032"/>
        <w:gridCol w:w="1036"/>
        <w:gridCol w:w="448"/>
        <w:gridCol w:w="448"/>
        <w:gridCol w:w="634"/>
      </w:tblGrid>
      <w:tr>
        <w:trPr/>
        <w:tc>
          <w:tcPr>
            <w:tcW w:w="117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Table 2: Fee Offset Claims and Sources</w:t>
            </w:r>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color w:val="000000"/>
              </w:rPr>
              <w:t>☑</w:t>
            </w:r>
            <w:r>
              <w:rPr>
                <w:rFonts w:ascii="Arial;sans-serif" w:hAnsi="Arial;sans-serif"/>
                <w:b/>
                <w:color w:val="000000"/>
                <w:sz w:val="16"/>
              </w:rPr>
              <w:t>Not Applicable</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7"/>
        <w:gridCol w:w="201"/>
        <w:gridCol w:w="202"/>
        <w:gridCol w:w="109"/>
        <w:gridCol w:w="109"/>
        <w:gridCol w:w="109"/>
        <w:gridCol w:w="316"/>
        <w:gridCol w:w="316"/>
        <w:gridCol w:w="317"/>
        <w:gridCol w:w="191"/>
        <w:gridCol w:w="191"/>
        <w:gridCol w:w="192"/>
        <w:gridCol w:w="247"/>
        <w:gridCol w:w="247"/>
        <w:gridCol w:w="248"/>
        <w:gridCol w:w="190"/>
        <w:gridCol w:w="190"/>
        <w:gridCol w:w="191"/>
        <w:gridCol w:w="187"/>
        <w:gridCol w:w="187"/>
        <w:gridCol w:w="188"/>
        <w:gridCol w:w="255"/>
        <w:gridCol w:w="255"/>
        <w:gridCol w:w="256"/>
        <w:gridCol w:w="347"/>
        <w:gridCol w:w="347"/>
        <w:gridCol w:w="349"/>
        <w:gridCol w:w="347"/>
        <w:gridCol w:w="347"/>
        <w:gridCol w:w="348"/>
        <w:gridCol w:w="349"/>
        <w:gridCol w:w="349"/>
        <w:gridCol w:w="350"/>
        <w:gridCol w:w="358"/>
        <w:gridCol w:w="358"/>
        <w:gridCol w:w="359"/>
        <w:gridCol w:w="216"/>
        <w:gridCol w:w="216"/>
        <w:gridCol w:w="324"/>
      </w:tblGrid>
      <w:tr>
        <w:trPr/>
        <w:tc>
          <w:tcPr>
            <w:tcW w:w="3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op w:val="single" w:sz="6" w:space="0" w:color="000000"/>
              <w:left w:val="single" w:sz="6" w:space="0" w:color="000000"/>
            </w:tcBorders>
            <w:shd w:fill="9ADAF6"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9ADAF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Registrant or Filer Name </w:t>
            </w:r>
          </w:p>
        </w:tc>
        <w:tc>
          <w:tcPr>
            <w:tcW w:w="574"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Form or Filing Type </w:t>
            </w:r>
          </w:p>
        </w:tc>
        <w:tc>
          <w:tcPr>
            <w:tcW w:w="742"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File Number </w:t>
            </w:r>
          </w:p>
        </w:tc>
        <w:tc>
          <w:tcPr>
            <w:tcW w:w="571"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Initial Filing Date </w:t>
            </w:r>
          </w:p>
        </w:tc>
        <w:tc>
          <w:tcPr>
            <w:tcW w:w="562"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Filing Date </w:t>
            </w:r>
          </w:p>
        </w:tc>
        <w:tc>
          <w:tcPr>
            <w:tcW w:w="766"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Fee Offset Claimed </w:t>
            </w:r>
          </w:p>
        </w:tc>
        <w:tc>
          <w:tcPr>
            <w:tcW w:w="1043"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Security Type Associated with Fee Offset Claimed </w:t>
            </w:r>
          </w:p>
        </w:tc>
        <w:tc>
          <w:tcPr>
            <w:tcW w:w="1042"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Security Title Associated with Fee Offset Claimed </w:t>
            </w:r>
          </w:p>
        </w:tc>
        <w:tc>
          <w:tcPr>
            <w:tcW w:w="1048"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Unsold Securities Associated with Fee Offset Claimed </w:t>
            </w:r>
          </w:p>
        </w:tc>
        <w:tc>
          <w:tcPr>
            <w:tcW w:w="1075"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Unsold Aggregate Offering Amount Associated with Fee Offset Claimed </w:t>
            </w:r>
          </w:p>
        </w:tc>
        <w:tc>
          <w:tcPr>
            <w:tcW w:w="756" w:type="dxa"/>
            <w:gridSpan w:val="3"/>
            <w:tcBorders>
              <w:top w:val="single" w:sz="6" w:space="0" w:color="000000"/>
              <w:right w:val="single" w:sz="6" w:space="0" w:color="000000"/>
            </w:tcBorders>
            <w:shd w:fill="9ADAF6"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Fee Paid with Fee Offset Source </w:t>
            </w:r>
          </w:p>
        </w:tc>
      </w:tr>
      <w:tr>
        <w:trPr/>
        <w:tc>
          <w:tcPr>
            <w:tcW w:w="10205" w:type="dxa"/>
            <w:gridSpan w:val="39"/>
            <w:tcBorders>
              <w:left w:val="single" w:sz="6" w:space="0" w:color="000000"/>
              <w:right w:val="single" w:sz="6"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Rules 457(b) and 0-11(a)(2)</w:t>
            </w:r>
          </w:p>
        </w:tc>
      </w:tr>
      <w:tr>
        <w:trPr/>
        <w:tc>
          <w:tcPr>
            <w:tcW w:w="750"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Fee Offset Claims </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Fee Offset Sources </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left w:val="single" w:sz="6" w:space="0" w:color="000000"/>
              <w:right w:val="single" w:sz="6"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Rule 457(p)</w:t>
            </w:r>
          </w:p>
        </w:tc>
      </w:tr>
      <w:tr>
        <w:trPr/>
        <w:tc>
          <w:tcPr>
            <w:tcW w:w="750" w:type="dxa"/>
            <w:gridSpan w:val="3"/>
            <w:tcBorders>
              <w:left w:val="single" w:sz="6" w:space="0" w:color="000000"/>
            </w:tcBorders>
            <w:shd w:fill="E7E7E2"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Fee Offset Claims </w:t>
            </w:r>
          </w:p>
        </w:tc>
        <w:tc>
          <w:tcPr>
            <w:tcW w:w="327"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E7E7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right w:val="single" w:sz="6" w:space="0" w:color="000000"/>
            </w:tcBorders>
            <w:shd w:fill="E7E7E2"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left w:val="single" w:sz="6" w:space="0" w:color="000000"/>
              <w:bottom w:val="single" w:sz="6" w:space="0" w:color="000000"/>
            </w:tcBorders>
            <w:shd w:fill="E7E7E2"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Fee Offset Sources </w:t>
            </w:r>
          </w:p>
        </w:tc>
        <w:tc>
          <w:tcPr>
            <w:tcW w:w="327"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6" w:space="0" w:color="000000"/>
              <w:right w:val="single" w:sz="6" w:space="0" w:color="000000"/>
            </w:tcBorders>
            <w:shd w:fill="E7E7E2" w:val="clear"/>
            <w:tcMar>
              <w:top w:w="0" w:type="dxa"/>
              <w:left w:w="0" w:type="dxa"/>
            </w:tcMar>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994"/>
        <w:gridCol w:w="873"/>
        <w:gridCol w:w="877"/>
        <w:gridCol w:w="448"/>
        <w:gridCol w:w="448"/>
        <w:gridCol w:w="634"/>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Table 3: Combined Prospectuses</w:t>
            </w:r>
          </w:p>
        </w:tc>
        <w:tc>
          <w:tcPr>
            <w:tcW w:w="1530"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color w:val="000000"/>
              </w:rPr>
              <w:t>☑</w:t>
            </w:r>
            <w:r>
              <w:rPr>
                <w:rFonts w:ascii="Arial;sans-serif" w:hAnsi="Arial;sans-serif"/>
                <w:b/>
                <w:color w:val="000000"/>
                <w:sz w:val="16"/>
              </w:rPr>
              <w:t>Not Applicable</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0"/>
        <w:gridCol w:w="310"/>
        <w:gridCol w:w="312"/>
        <w:gridCol w:w="372"/>
        <w:gridCol w:w="372"/>
        <w:gridCol w:w="373"/>
        <w:gridCol w:w="685"/>
        <w:gridCol w:w="685"/>
        <w:gridCol w:w="686"/>
        <w:gridCol w:w="984"/>
        <w:gridCol w:w="984"/>
        <w:gridCol w:w="987"/>
        <w:gridCol w:w="235"/>
        <w:gridCol w:w="235"/>
        <w:gridCol w:w="237"/>
        <w:gridCol w:w="291"/>
        <w:gridCol w:w="291"/>
        <w:gridCol w:w="292"/>
        <w:gridCol w:w="355"/>
        <w:gridCol w:w="355"/>
        <w:gridCol w:w="5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000000"/>
              <w:left w:val="single" w:sz="6" w:space="0" w:color="000000"/>
            </w:tcBorders>
            <w:shd w:fill="9ADAF6" w:val="clear"/>
            <w:tcMar>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Security Type</w:t>
            </w:r>
          </w:p>
        </w:tc>
        <w:tc>
          <w:tcPr>
            <w:tcW w:w="1117"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Security Class Title</w:t>
            </w:r>
          </w:p>
        </w:tc>
        <w:tc>
          <w:tcPr>
            <w:tcW w:w="2056"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 of Securities Previously Registered</w:t>
            </w:r>
          </w:p>
        </w:tc>
        <w:tc>
          <w:tcPr>
            <w:tcW w:w="2955"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Maximum Aggregate Offering Price of Securities Previously Registered</w:t>
            </w:r>
          </w:p>
        </w:tc>
        <w:tc>
          <w:tcPr>
            <w:tcW w:w="707"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 Type</w:t>
            </w:r>
          </w:p>
        </w:tc>
        <w:tc>
          <w:tcPr>
            <w:tcW w:w="874" w:type="dxa"/>
            <w:gridSpan w:val="3"/>
            <w:tcBorders>
              <w:top w:val="single" w:sz="6" w:space="0" w:color="000000"/>
            </w:tcBorders>
            <w:shd w:fill="9ADAF6"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1222" w:type="dxa"/>
            <w:gridSpan w:val="3"/>
            <w:tcBorders>
              <w:top w:val="single" w:sz="6" w:space="0" w:color="000000"/>
              <w:right w:val="single" w:sz="6" w:space="0" w:color="000000"/>
            </w:tcBorders>
            <w:shd w:fill="9ADAF6"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Initial Effective Date</w:t>
            </w:r>
          </w:p>
        </w:tc>
      </w:tr>
      <w:tr>
        <w:trPr/>
        <w:tc>
          <w:tcPr>
            <w:tcW w:w="342" w:type="dxa"/>
            <w:gridSpan w:val="3"/>
            <w:tcBorders>
              <w:left w:val="single" w:sz="6" w:space="0" w:color="000000"/>
              <w:bottom w:val="single" w:sz="6" w:space="0" w:color="000000"/>
            </w:tcBorders>
            <w:shd w:fill="E7E7E2" w:val="clear"/>
            <w:tcMar>
              <w:top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bottom w:val="single" w:sz="6" w:space="0" w:color="000000"/>
            </w:tcBorders>
            <w:shd w:fill="E7E7E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bottom w:val="single" w:sz="6" w:space="0" w:color="000000"/>
              <w:right w:val="single" w:sz="6" w:space="0" w:color="000000"/>
            </w:tcBorders>
            <w:shd w:fill="E7E7E2"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205" w:type="dxa"/>
        <w:jc w:val="left"/>
        <w:tblInd w:w="0" w:type="dxa"/>
        <w:tblLayout w:type="fixed"/>
        <w:tblCellMar>
          <w:top w:w="28" w:type="dxa"/>
          <w:left w:w="28" w:type="dxa"/>
          <w:bottom w:w="28" w:type="dxa"/>
          <w:right w:w="28" w:type="dxa"/>
        </w:tblCellMar>
      </w:tblPr>
      <w:tblGrid>
        <w:gridCol w:w="928"/>
        <w:gridCol w:w="816"/>
        <w:gridCol w:w="817"/>
        <w:gridCol w:w="1066"/>
        <w:gridCol w:w="1066"/>
        <w:gridCol w:w="1512"/>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r>
      <w:tr>
        <w:trPr/>
        <w:tc>
          <w:tcPr>
            <w:tcW w:w="25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62100" cy="628650"/>
                  <wp:effectExtent l="0" t="0" r="0" b="0"/>
                  <wp:docPr id="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 descr=""/>
                          <pic:cNvPicPr>
                            <a:picLocks noChangeAspect="1" noChangeArrowheads="1"/>
                          </pic:cNvPicPr>
                        </pic:nvPicPr>
                        <pic:blipFill>
                          <a:blip r:embed="rId14"/>
                          <a:stretch>
                            <a:fillRect/>
                          </a:stretch>
                        </pic:blipFill>
                        <pic:spPr bwMode="auto">
                          <a:xfrm>
                            <a:off x="0" y="0"/>
                            <a:ext cx="1562100" cy="628650"/>
                          </a:xfrm>
                          <a:prstGeom prst="rect">
                            <a:avLst/>
                          </a:prstGeom>
                        </pic:spPr>
                      </pic:pic>
                    </a:graphicData>
                  </a:graphic>
                </wp:inline>
              </w:drawing>
            </w:r>
          </w:p>
        </w:tc>
        <w:tc>
          <w:tcPr>
            <w:tcW w:w="36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Sheppard, Mullin, Richter &amp; Hampton LLP</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 Rockefeller Plaza</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 10112-0015</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212.653.8700 main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212.653.8701 fax</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www.sheppardmullin.com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September 4,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VIA ELECTRONIC MAIL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OPAL Fuels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One North Lexington Avenue, Suite 1450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Plains, New York 10601</w:t>
      </w:r>
    </w:p>
    <w:p>
      <w:pPr>
        <w:pStyle w:val="TextBody"/>
        <w:bidi w:val="0"/>
        <w:spacing w:lineRule="auto" w:line="288" w:before="0" w:after="0"/>
        <w:jc w:val="left"/>
        <w:rPr>
          <w:color w:val="000000"/>
        </w:rPr>
      </w:pPr>
      <w:r>
        <w:rPr>
          <w:color w:val="000000"/>
        </w:rPr>
        <w:t> </w:t>
      </w:r>
    </w:p>
    <w:tbl>
      <w:tblPr>
        <w:tblW w:w="3910" w:type="dxa"/>
        <w:jc w:val="left"/>
        <w:tblInd w:w="0" w:type="dxa"/>
        <w:tblLayout w:type="fixed"/>
        <w:tblCellMar>
          <w:top w:w="28" w:type="dxa"/>
          <w:left w:w="28" w:type="dxa"/>
          <w:bottom w:w="28" w:type="dxa"/>
          <w:right w:w="28" w:type="dxa"/>
        </w:tblCellMar>
      </w:tblPr>
      <w:tblGrid>
        <w:gridCol w:w="124"/>
        <w:gridCol w:w="109"/>
        <w:gridCol w:w="109"/>
        <w:gridCol w:w="129"/>
        <w:gridCol w:w="129"/>
        <w:gridCol w:w="131"/>
        <w:gridCol w:w="929"/>
        <w:gridCol w:w="929"/>
        <w:gridCol w:w="13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Re:</w:t>
            </w:r>
          </w:p>
        </w:tc>
        <w:tc>
          <w:tcPr>
            <w:tcW w:w="3179"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Registration Statement on Form S-3</w:t>
            </w:r>
          </w:p>
        </w:tc>
      </w:tr>
    </w:tbl>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We have acted as counsel to OPAL Fuels Inc., a Delaware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in connection with the shelf Registration Statement on Form S-3 (as amended or supplemented, the “</w:t>
      </w:r>
      <w:r>
        <w:rPr>
          <w:rFonts w:ascii="Times New Roman;serif" w:hAnsi="Times New Roman;serif"/>
          <w:b w:val="false"/>
          <w:color w:val="000000"/>
          <w:sz w:val="20"/>
          <w:u w:val="single"/>
        </w:rPr>
        <w:t>Registration Statement</w:t>
      </w:r>
      <w:r>
        <w:rPr>
          <w:color w:val="000000"/>
        </w:rPr>
        <w:t>”</w:t>
      </w:r>
      <w:r>
        <w:rPr>
          <w:rFonts w:ascii="Times New Roman;serif" w:hAnsi="Times New Roman;serif"/>
          <w:b w:val="false"/>
          <w:color w:val="000000"/>
          <w:sz w:val="20"/>
        </w:rPr>
        <w:t>), filed by the Company on September 4, 2026 with the Securities and Exchange Commission (the “</w:t>
      </w:r>
      <w:r>
        <w:rPr>
          <w:rFonts w:ascii="Times New Roman;serif" w:hAnsi="Times New Roman;serif"/>
          <w:b w:val="false"/>
          <w:color w:val="000000"/>
          <w:sz w:val="20"/>
          <w:u w:val="single"/>
        </w:rPr>
        <w:t>Commission</w:t>
      </w:r>
      <w:r>
        <w:rPr>
          <w:color w:val="000000"/>
        </w:rPr>
        <w:t>”</w:t>
      </w:r>
      <w:r>
        <w:rPr>
          <w:rFonts w:ascii="Times New Roman;serif" w:hAnsi="Times New Roman;serif"/>
          <w:b w:val="false"/>
          <w:color w:val="000000"/>
          <w:sz w:val="20"/>
        </w:rPr>
        <w:t>) under the Securities Act of 1933, as amended (the “</w:t>
      </w:r>
      <w:r>
        <w:rPr>
          <w:rFonts w:ascii="Times New Roman;serif" w:hAnsi="Times New Roman;serif"/>
          <w:b w:val="false"/>
          <w:color w:val="000000"/>
          <w:sz w:val="20"/>
          <w:u w:val="single"/>
        </w:rPr>
        <w:t>Securities Act</w:t>
      </w:r>
      <w:r>
        <w:rPr>
          <w:color w:val="000000"/>
        </w:rPr>
        <w:t>”</w:t>
      </w:r>
      <w:r>
        <w:rPr>
          <w:rFonts w:ascii="Times New Roman;serif" w:hAnsi="Times New Roman;serif"/>
          <w:b w:val="false"/>
          <w:color w:val="000000"/>
          <w:sz w:val="20"/>
        </w:rPr>
        <w:t>). The Registration Statement relates to the proposed issuance and sale from time to time pursuant to Rule 415 under the Securities Act, as set forth in the Registration Statement, the prospectus contained therein (the “</w:t>
      </w:r>
      <w:r>
        <w:rPr>
          <w:rFonts w:ascii="Times New Roman;serif" w:hAnsi="Times New Roman;serif"/>
          <w:b w:val="false"/>
          <w:color w:val="000000"/>
          <w:sz w:val="20"/>
          <w:u w:val="single"/>
        </w:rPr>
        <w:t>Base Prospectus</w:t>
      </w:r>
      <w:r>
        <w:rPr>
          <w:color w:val="000000"/>
        </w:rPr>
        <w:t>”</w:t>
      </w:r>
      <w:r>
        <w:rPr>
          <w:rFonts w:ascii="Times New Roman;serif" w:hAnsi="Times New Roman;serif"/>
          <w:b w:val="false"/>
          <w:color w:val="000000"/>
          <w:sz w:val="20"/>
        </w:rPr>
        <w:t>) and one or more supplements to the Base Prospectus (each, a “</w:t>
      </w:r>
      <w:r>
        <w:rPr>
          <w:rFonts w:ascii="Times New Roman;serif" w:hAnsi="Times New Roman;serif"/>
          <w:b w:val="false"/>
          <w:color w:val="000000"/>
          <w:sz w:val="20"/>
          <w:u w:val="single"/>
        </w:rPr>
        <w:t>Prospectus Supplement</w:t>
      </w:r>
      <w:r>
        <w:rPr>
          <w:color w:val="000000"/>
        </w:rPr>
        <w:t>”</w:t>
      </w:r>
      <w:r>
        <w:rPr>
          <w:rFonts w:ascii="Times New Roman;serif" w:hAnsi="Times New Roman;serif"/>
          <w:b w:val="false"/>
          <w:color w:val="000000"/>
          <w:sz w:val="20"/>
        </w:rPr>
        <w:t>), and any free-writing prospectus(es), of up to $199,000,000 in aggregate offering proceeds, of the following securities of the Company (collectively, the “</w:t>
      </w:r>
      <w:r>
        <w:rPr>
          <w:rFonts w:ascii="Times New Roman;serif" w:hAnsi="Times New Roman;serif"/>
          <w:b w:val="false"/>
          <w:color w:val="000000"/>
          <w:sz w:val="20"/>
          <w:u w:val="single"/>
        </w:rPr>
        <w:t>Securities</w:t>
      </w:r>
      <w:r>
        <w:rPr>
          <w:color w:val="000000"/>
        </w:rPr>
        <w:t>”</w:t>
      </w:r>
      <w:r>
        <w:rPr>
          <w:rFonts w:ascii="Times New Roman;serif" w:hAnsi="Times New Roman;serif"/>
          <w:b w:val="false"/>
          <w:color w:val="000000"/>
          <w:sz w:val="20"/>
        </w:rPr>
        <w:t>):</w:t>
      </w:r>
    </w:p>
    <w:p>
      <w:pPr>
        <w:pStyle w:val="TextBody"/>
        <w:bidi w:val="0"/>
        <w:spacing w:lineRule="auto" w:line="288" w:before="0" w:after="0"/>
        <w:jc w:val="both"/>
        <w:rPr>
          <w:color w:val="000000"/>
        </w:rPr>
      </w:pPr>
      <w:r>
        <w:rPr>
          <w:color w:val="000000"/>
        </w:rPr>
        <w:t> </w:t>
      </w:r>
    </w:p>
    <w:tbl>
      <w:tblPr>
        <w:tblW w:w="91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73"/>
        <w:gridCol w:w="2473"/>
        <w:gridCol w:w="34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34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c>
          <w:tcPr>
            <w:tcW w:w="8445"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shares of Class A common stock, par value $0.0001 per share, of the Company (the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shares of preferred stock, par value $0.0001 par value, of the Company, in one or more series or classes (the “</w:t>
            </w:r>
            <w:r>
              <w:rPr>
                <w:rFonts w:ascii="Times New Roman;serif" w:hAnsi="Times New Roman;serif"/>
                <w:b w:val="false"/>
                <w:color w:val="000000"/>
                <w:sz w:val="20"/>
                <w:u w:val="single"/>
              </w:rPr>
              <w:t>Preferred Stock</w:t>
            </w:r>
            <w:r>
              <w:rPr>
                <w:color w:val="000000"/>
              </w:rPr>
              <w:t>”</w:t>
            </w: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warrants to purchase Common Stock or Preferred Stock (the “</w:t>
            </w:r>
            <w:r>
              <w:rPr>
                <w:rFonts w:ascii="Times New Roman;serif" w:hAnsi="Times New Roman;serif"/>
                <w:b w:val="false"/>
                <w:color w:val="000000"/>
                <w:sz w:val="20"/>
                <w:u w:val="single"/>
              </w:rPr>
              <w:t>Warrants</w:t>
            </w:r>
            <w:r>
              <w:rPr>
                <w:color w:val="000000"/>
              </w:rPr>
              <w:t>”</w:t>
            </w:r>
            <w:r>
              <w:rPr>
                <w:rFonts w:ascii="Times New Roman;serif" w:hAnsi="Times New Roman;serif"/>
                <w:b w:val="false"/>
                <w:color w:val="000000"/>
                <w:sz w:val="20"/>
              </w:rPr>
              <w:t>), which may be issued under warrant agreements (each, a “</w:t>
            </w:r>
            <w:r>
              <w:rPr>
                <w:rFonts w:ascii="Times New Roman;serif" w:hAnsi="Times New Roman;serif"/>
                <w:b w:val="false"/>
                <w:color w:val="000000"/>
                <w:sz w:val="20"/>
                <w:u w:val="single"/>
              </w:rPr>
              <w:t>Warrant Agreement</w:t>
            </w:r>
            <w:r>
              <w:rPr>
                <w:color w:val="000000"/>
              </w:rPr>
              <w:t>”</w:t>
            </w:r>
            <w:r>
              <w:rPr>
                <w:rFonts w:ascii="Times New Roman;serif" w:hAnsi="Times New Roman;serif"/>
                <w:b w:val="false"/>
                <w:color w:val="000000"/>
                <w:sz w:val="20"/>
              </w:rPr>
              <w:t>), to be dated on or about the date of the first issuance of the applicable Warrants thereunder, by and between the Company and a warrant agent to be selected by the Company (the “</w:t>
            </w:r>
            <w:r>
              <w:rPr>
                <w:rFonts w:ascii="Times New Roman;serif" w:hAnsi="Times New Roman;serif"/>
                <w:b w:val="false"/>
                <w:color w:val="000000"/>
                <w:sz w:val="20"/>
                <w:u w:val="single"/>
              </w:rPr>
              <w:t>Warrant Agent</w:t>
            </w:r>
            <w:r>
              <w:rPr>
                <w:color w:val="000000"/>
              </w:rPr>
              <w:t>”</w:t>
            </w:r>
            <w:r>
              <w:rPr>
                <w:rFonts w:ascii="Times New Roman;serif" w:hAnsi="Times New Roman;serif"/>
                <w:b w:val="false"/>
                <w:color w:val="000000"/>
                <w:sz w:val="20"/>
              </w:rPr>
              <w:t>); and</w:t>
            </w:r>
          </w:p>
        </w:tc>
      </w:tr>
    </w:tbl>
    <w:p>
      <w:pPr>
        <w:pStyle w:val="TextBody"/>
        <w:bidi w:val="0"/>
        <w:spacing w:lineRule="auto" w:line="288" w:before="0" w:after="0"/>
        <w:ind w:left="0" w:right="0" w:hanging="36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units consisting of Common Stock, Preferred Stock or Warrants (the “</w:t>
            </w:r>
            <w:r>
              <w:rPr>
                <w:rFonts w:ascii="Times New Roman;serif" w:hAnsi="Times New Roman;serif"/>
                <w:b w:val="false"/>
                <w:color w:val="000000"/>
                <w:sz w:val="20"/>
                <w:u w:val="single"/>
              </w:rPr>
              <w:t>Units</w:t>
            </w:r>
            <w:r>
              <w:rPr>
                <w:color w:val="000000"/>
              </w:rPr>
              <w:t>”</w:t>
            </w:r>
            <w:r>
              <w:rPr>
                <w:rFonts w:ascii="Times New Roman;serif" w:hAnsi="Times New Roman;serif"/>
                <w:b w:val="false"/>
                <w:color w:val="000000"/>
                <w:sz w:val="20"/>
              </w:rPr>
              <w:t>), which may be issued under unit agreements (each, a “</w:t>
            </w:r>
            <w:r>
              <w:rPr>
                <w:rFonts w:ascii="Times New Roman;serif" w:hAnsi="Times New Roman;serif"/>
                <w:b w:val="false"/>
                <w:color w:val="000000"/>
                <w:sz w:val="20"/>
                <w:u w:val="single"/>
              </w:rPr>
              <w:t>Unit Agreement</w:t>
            </w:r>
            <w:r>
              <w:rPr>
                <w:color w:val="000000"/>
              </w:rPr>
              <w:t>”</w:t>
            </w:r>
            <w:r>
              <w:rPr>
                <w:rFonts w:ascii="Times New Roman;serif" w:hAnsi="Times New Roman;serif"/>
                <w:b w:val="false"/>
                <w:color w:val="000000"/>
                <w:sz w:val="20"/>
              </w:rPr>
              <w:t>), to be dated on or about the date of the first issuance of the applicable Units thereunder, by and between the Company and the other parties thereto (the “</w:t>
            </w:r>
            <w:r>
              <w:rPr>
                <w:rFonts w:ascii="Times New Roman;serif" w:hAnsi="Times New Roman;serif"/>
                <w:b w:val="false"/>
                <w:color w:val="000000"/>
                <w:sz w:val="20"/>
                <w:u w:val="single"/>
              </w:rPr>
              <w:t>Unit Parties</w:t>
            </w:r>
            <w:r>
              <w:rPr>
                <w:color w:val="000000"/>
              </w:rPr>
              <w:t>”</w:t>
            </w:r>
            <w:r>
              <w:rPr>
                <w:rFonts w:ascii="Times New Roman;serif" w:hAnsi="Times New Roman;serif"/>
                <w:b w:val="false"/>
                <w:color w:val="000000"/>
                <w:sz w:val="2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delivering this opinion pursuant to the requirements of Item 601(b)(5) of Regulation S-K under the Securities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certificates of officers of the Company and have not independently sought to verify such matters.</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In rendering this opinion, we have assumed (i) the genuineness and authenticity of all signatures on original documents; (ii) the authenticity of all documents submitted to us as originals; (iii) the conformity to originals of all documents submitted to us as copies; (iv) the accuracy, completeness and authenticity of certificates of public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8"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62100" cy="628650"/>
            <wp:effectExtent l="0" t="0" r="0" b="0"/>
            <wp:docPr id="4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 descr=""/>
                    <pic:cNvPicPr>
                      <a:picLocks noChangeAspect="1" noChangeArrowheads="1"/>
                    </pic:cNvPicPr>
                  </pic:nvPicPr>
                  <pic:blipFill>
                    <a:blip r:embed="rId15"/>
                    <a:stretch>
                      <a:fillRect/>
                    </a:stretch>
                  </pic:blipFill>
                  <pic:spPr bwMode="auto">
                    <a:xfrm>
                      <a:off x="0" y="0"/>
                      <a:ext cx="1562100" cy="628650"/>
                    </a:xfrm>
                    <a:prstGeom prst="rect">
                      <a:avLst/>
                    </a:prstGeom>
                  </pic:spPr>
                </pic:pic>
              </a:graphicData>
            </a:graphic>
          </wp:inline>
        </w:drawing>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officials; (v) the due authorization, execution and delivery of all documents where authorization, execution and delivery are prerequisites to the effectiveness of such documents; (vi) that the Registration Statement and any required post-effective amendment thereto have all become effective under the Securities Act and the Base Prospectus any and all Prospectus Supplement(s) required by applicable laws and any and all free-writing prospectus(es) related to the offer and sale of the Securities have been delivered and filed as required by such laws; (vii) that the issuance and sale of the Securities do not violate any applicable law, are in conformity with the Company’s then operative Certificate of Incorporation (as defined below) and Bylaws, do not result in a default under or breach of any agreement or instrument binding upon the Company and comply with any applicable requirement or restriction imposed by any court or governmental body having jurisdiction over the Company or its properties or assets; (viii) a prospectus supplement will have been prepared and filed with the Commission describing the Securities offered thereby; and (ix) a definitive purchase, underwriting or similar agreement with respect to any Securities offered will have been duly authorized and validly executed and delivered by the Company and the other parties thereto, as applicable.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With respect to our opinion as to the Common Stock or other Securities convertible into, exercisable for, or including Common Stock, we have been advised by the Company and for purposes of this opinion we have assumed that, at the time of issuance and sale, a sufficient number of shares of Common Stock are authorized and available for issuance and that the consideration for the issuance and sale of the Common Stock (or for Preferred Stock convertible into Common Stock, or for Warrants exercisable for Common Stock, or Units consisting of or including Common Stock) is in an amount that is not less than the par value of the Common Stock. With respect to our opinion as to the Preferred Stock or other Securities convertible into, exercisable for, or including Preferred Stock, we have assumed that, (a) at the time of issuance and sale, a sufficient number of shares of Preferred Stock are authorized, designated and available for issuance and that the consideration for the issuance and sale of the Preferred Stock (or for Warrants exercisable for Preferred Stock or for Units consisting of or including Preferred Stock) is in an amount that is not less than the par value of the Preferred Stock, and (b) the rights, preferences, privileges and restrictions, including voting rights, dividend rights, conversion rights, redemption privileges and liquidation privileges of each series of Preferred Stock will be set forth in a certificate of designation to be approved by the Company’s Board of Directors, or in an amendment to the Company’s then operative certificate of incorporation (the “</w:t>
      </w:r>
      <w:r>
        <w:rPr>
          <w:rFonts w:ascii="Times New Roman;serif" w:hAnsi="Times New Roman;serif"/>
          <w:b w:val="false"/>
          <w:color w:val="000000"/>
          <w:sz w:val="20"/>
          <w:u w:val="single"/>
        </w:rPr>
        <w:t>Certificate of Incorporation</w:t>
      </w:r>
      <w:r>
        <w:rPr>
          <w:color w:val="000000"/>
        </w:rPr>
        <w:t>”</w:t>
      </w:r>
      <w:r>
        <w:rPr>
          <w:rFonts w:ascii="Times New Roman;serif" w:hAnsi="Times New Roman;serif"/>
          <w:b w:val="false"/>
          <w:color w:val="000000"/>
          <w:sz w:val="20"/>
        </w:rPr>
        <w:t>), to be approved by the Company’s Board of Directors and stockholders, and that one or both of these documents will be filed either as an exhibit to an amendment to the Registration Statement to be filed after the date of this opinion or as an exhibit to a Current Report on Form 8-K to be filed after the Registration Statement has become effective. We have also assumed that (i) with respect to Securities being issued upon conversion of any convertible Preferred Stock, the applicable convertible Preferred Stock will be duly authorized, validly issued, fully paid and nonassessable; and (ii) with respect to any Securities being issued upon exercise of any Warrants or relating to any Units, the applicable convertible Warrants or Units will be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 We have also assumed with respect to the Warrants offered under the Registration Statement, that (a) such Warrants will be issued pursuant to a Warrant Agreement, (b) the Warrant Agreement will be filed either as an exhibit to an amendment to the Registration Statement to be filed after the date of this opinion or as an exhibit to a Current Report on Form 8-K to be filed after the Registration Statement has become effective, and (c) the particular terms of any series of Warrants will be set forth in a supplement to the prospectus forming a part of the Registration Statement. We have also assumed with respect to the Units offered under the Registration Statement, that (a) such Units will be issued pursuant to a Unit Agreement, (b) the Unit Agreement will be filed either as an exhibit to an amendment to the Registration Statement to be filed after the date of this opinion or as an exhibit to a Current Report on Form 8-K to be filed after the Registration Statement has become effective, and (c) the particular terms of any series of Units will be set forth in a supplement to the prospectus forming a part of the Registration Statement.</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014095"/>
                <wp:effectExtent l="0" t="0" r="0" b="0"/>
                <wp:wrapNone/>
                <wp:docPr id="50" name="Frame46"/>
                <a:graphic xmlns:a="http://schemas.openxmlformats.org/drawingml/2006/main">
                  <a:graphicData uri="http://schemas.microsoft.com/office/word/2010/wordprocessingShape">
                    <wps:wsp>
                      <wps:cNvSpPr txBox="1"/>
                      <wps:spPr>
                        <a:xfrm>
                          <a:off x="0" y="0"/>
                          <a:ext cx="6480175" cy="101409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62100" cy="628650"/>
            <wp:effectExtent l="0" t="0" r="0" b="0"/>
            <wp:docPr id="5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 descr=""/>
                    <pic:cNvPicPr>
                      <a:picLocks noChangeAspect="1" noChangeArrowheads="1"/>
                    </pic:cNvPicPr>
                  </pic:nvPicPr>
                  <pic:blipFill>
                    <a:blip r:embed="rId16"/>
                    <a:stretch>
                      <a:fillRect/>
                    </a:stretch>
                  </pic:blipFill>
                  <pic:spPr bwMode="auto">
                    <a:xfrm>
                      <a:off x="0" y="0"/>
                      <a:ext cx="1562100" cy="628650"/>
                    </a:xfrm>
                    <a:prstGeom prst="rect">
                      <a:avLst/>
                    </a:prstGeom>
                  </pic:spPr>
                </pic:pic>
              </a:graphicData>
            </a:graphic>
          </wp:inline>
        </w:drawing>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our opinion herein is expressed solely with respect to the federal laws of the United States and the Delaware General Corporation Law. We express no opinion as to whether the laws of any jurisdiction are applicable to the subject matter hereof. We are not rendering any opinion as to compliance with any federal or state law, rule or regulation relating to securities, or to the sale or issuance thereof. We express no opinions concerning the validity or enforceability of any provisions contained in Warrant Agreements or Unit Agreements that purport to waive or not give effect to rights to notices, defenses, subrogation or other rights or benefits that cannot be effectively waived under applicable law.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the basis of the foregoing and in reliance thereon, and subject to the qualifications herein stated, we are of the opinion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1. With respect to the Common Stock offered under the Registration Statement,</w:t>
      </w:r>
      <w:r>
        <w:rPr>
          <w:color w:val="000000"/>
          <w:shd w:fill="FFFFFF" w:val="clear"/>
        </w:rPr>
        <w:t> </w:t>
      </w:r>
      <w:r>
        <w:rPr>
          <w:rFonts w:ascii="Times New Roman;serif" w:hAnsi="Times New Roman;serif"/>
          <w:b w:val="false"/>
          <w:color w:val="000000"/>
          <w:sz w:val="20"/>
        </w:rPr>
        <w:t>provided that (i) the issuance of the Common Stock has been duly authorized by all necessary corporate action on the part of the Company; and (ii) the certificates for the Common Stock have been duly executed by the Company, countersigned by the transfer agent therefor and duly delivered to the purchasers thereof against the requisite payment therefor, which the Company has received, the Common Stock, when issued and sold as contemplated in the Registration Statement, the Base Prospectus and the related Prospectus Supplement(s) and any related free-writing prospectus(es) and in accordance with any applicable duly authorized, executed and delivered purchase, underwriting or similar agreement, or upon conversion of any convertible Preferred Stock in accordance with their terms, or upon exercise of any Warrants in accordance with their terms, will be duly authorized, validly issued, fully paid and nonassessable.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With respect to the Preferred Stock offered under the Registration Statement, provided that (i) the terms and issuance of the Preferred Stock have been duly authorized by all necessary corporate action on the part of the Company; (ii) appropriate certificates of amendment to the then operative Certificate of Incorporation relating to the terms and issuance of Preferred Stock have been duly approved by the Company’s Board of Directors and been filed with and accepted by the State of Delaware; and (iii) the certificates for the Preferred Stock have been duly executed by the Company, countersigned by the transfer agent therefor and duly delivered to the purchasers thereof against the requisite payment therefor, which the Company has received, then the Preferred Stock, when issued and sold as contemplated in the Registration Statement, the Base Prospectus and the related Prospectus Supplement(s) and any related free-writing prospectus(es) and in accordance with any applicable duly authorized, executed and delivered purchase, underwriting or similar agreement, or upon exercise of any Warrants in accordance with their terms, will be duly authorized, validly issued, fully paid and nonassessable.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With respect to the Warrants issued under a Warrant Agreement and offered under the Registration Statement, provided that (i) the Warrant Agreement has been duly authorized by the Company and the Warrant Agent by all necessary corporate action; (ii) the Warrant Agreement has been duly executed and delivered by the Company and the Warrant Agent as described in the Registration Statement, the Prospectus and the related Prospectus Supplement(s); (iii) the issuance and terms of the Warrants have been duly authorized by the Company by all necessary corporate action; and (iv) the Warrants have been duly executed and delivered by the Company and authenticated by the Warrant Agent pursuant to the Warrant Agreement and delivered against the requisite payment therefor, which the Company has received, and assuming that the Warrants are then issued and sold as contemplated in the Registration Statement, the Prospectus and the Prospectus Supplement(s), then the Warrants, when issued and sold in accordance with the Warrant Agreement and a duly authorized, executed and delivered purchase, underwriting or similar agreement, will be valid and legally binding obligations of the Company, enforceable against the Company in accordance with their terms, except as enforcement thereof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014095"/>
                <wp:effectExtent l="0" t="0" r="0" b="0"/>
                <wp:wrapNone/>
                <wp:docPr id="52" name="Frame47"/>
                <a:graphic xmlns:a="http://schemas.openxmlformats.org/drawingml/2006/main">
                  <a:graphicData uri="http://schemas.microsoft.com/office/word/2010/wordprocessingShape">
                    <wps:wsp>
                      <wps:cNvSpPr txBox="1"/>
                      <wps:spPr>
                        <a:xfrm>
                          <a:off x="0" y="0"/>
                          <a:ext cx="6480175" cy="101409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62100" cy="628650"/>
            <wp:effectExtent l="0" t="0" r="0" b="0"/>
            <wp:docPr id="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 descr=""/>
                    <pic:cNvPicPr>
                      <a:picLocks noChangeAspect="1" noChangeArrowheads="1"/>
                    </pic:cNvPicPr>
                  </pic:nvPicPr>
                  <pic:blipFill>
                    <a:blip r:embed="rId17"/>
                    <a:stretch>
                      <a:fillRect/>
                    </a:stretch>
                  </pic:blipFill>
                  <pic:spPr bwMode="auto">
                    <a:xfrm>
                      <a:off x="0" y="0"/>
                      <a:ext cx="1562100" cy="628650"/>
                    </a:xfrm>
                    <a:prstGeom prst="rect">
                      <a:avLst/>
                    </a:prstGeom>
                  </pic:spPr>
                </pic:pic>
              </a:graphicData>
            </a:graphic>
          </wp:inline>
        </w:drawing>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With respect to the Units issued under a Unit Agreement and offered under the Registration Statement, provided that (i) the Unit Agreement has been duly authorized by the Company and the Unit Parties by all necessary corporate action; (ii) the Unit Agreement has been duly executed and delivered by the Company and the Unit Parties as described in the Registration Statement, the Prospectus and the related Prospectus Supplement(s); (iii) the issuance and terms of the Units have been duly authorized by the Company by all necessary corporate action; and (iv) the Units have been duly executed and delivered by the Company and authenticated by the Unit Parties pursuant to the Unit Agreement and delivered against the requisite payment therefor, which the Company has received, and assuming that the Units are then issued and sold as contemplated in the Registration Statement, the Prospectus and the Prospectus Supplement(s), then the Units, when issued and sold in accordance with the Unit Agreement and a duly authorized, executed and delivered purchase, underwriting or similar agreement, will constitute valid and legally binding obligations of the Company, enforceable against the Company in accordance with their terms, except as enforcement thereof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opinions are qualified to the extent that the enforceability of any document, instrument or the Securities may be limited by or subject to bankruptcy, insolvency, fraudulent transfer or conveyance, reorganization, moratorium or other similar laws relating to or affecting creditors’ rights generally, and general equitable or public policy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as an exhibit to the above-referenced Registration Statement and to the use of our name wherever it appears in the Registration Statement, the Base Prospectus, and any Prospectus Supplement. In giving such consent, we do not believe that we are “experts” within the meaning of such term as used in the Securities Act or the rules and regulations of the Commission issued thereunder with respect to any part of the Registration Statement, including this opinion as an exhibit or otherwise.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opinion is expressed as of the date hereof unless otherwise expressly stated, and we disclaim any undertaking to advise you of any subsequent changes in the facts stated or assumed herein or of any subsequent changes in applicable laws.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Very truly yours,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SHEPPARD, MULLIN, RICHTER &amp; HAMPTON LLP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SHEPPARD, MULLIN, RICHTER &amp; HAMPTON LLP</w:t>
      </w:r>
    </w:p>
    <w:p>
      <w:pPr>
        <w:pStyle w:val="TextBody"/>
        <w:bidi w:val="0"/>
        <w:spacing w:lineRule="auto" w:line="288" w:before="0" w:after="0"/>
        <w:jc w:val="center"/>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014095"/>
                <wp:effectExtent l="0" t="0" r="0" b="0"/>
                <wp:wrapNone/>
                <wp:docPr id="54" name="Frame48"/>
                <a:graphic xmlns:a="http://schemas.openxmlformats.org/drawingml/2006/main">
                  <a:graphicData uri="http://schemas.microsoft.com/office/word/2010/wordprocessingShape">
                    <wps:wsp>
                      <wps:cNvSpPr txBox="1"/>
                      <wps:spPr>
                        <a:xfrm>
                          <a:off x="0" y="0"/>
                          <a:ext cx="6480175" cy="1014095"/>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85pt;mso-wrap-distance-left:0pt;mso-wrap-distance-right:0pt;mso-wrap-distance-top:0pt;mso-wrap-distance-bottom:0pt;margin-top:0pt;mso-position-vertical:top;mso-position-vertical-relative:text;margin-left:0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rebuchet MS;sans-serif" w:hAnsi="Trebuchet MS;sans-serif"/>
          <w:b w:val="false"/>
          <w:color w:val="000000"/>
          <w:sz w:val="21"/>
          <w:u w:val="single"/>
        </w:rPr>
      </w:pPr>
      <w:r>
        <w:rPr>
          <w:rFonts w:ascii="Trebuchet MS;sans-serif" w:hAnsi="Trebuchet MS;sans-serif"/>
          <w:b w:val="false"/>
          <w:color w:val="000000"/>
          <w:sz w:val="21"/>
          <w:u w:val="single"/>
        </w:rPr>
        <w:t>Consent of Independent Registered Public Accounting Firm</w:t>
      </w:r>
    </w:p>
    <w:p>
      <w:pPr>
        <w:pStyle w:val="TextBody"/>
        <w:bidi w:val="0"/>
        <w:spacing w:before="240" w:after="283"/>
        <w:jc w:val="both"/>
        <w:rPr/>
      </w:pPr>
      <w:r>
        <w:rPr/>
      </w:r>
    </w:p>
    <w:p>
      <w:pPr>
        <w:pStyle w:val="TextBody"/>
        <w:bidi w:val="0"/>
        <w:spacing w:lineRule="auto" w:line="288" w:before="240" w:after="283"/>
        <w:jc w:val="both"/>
        <w:rPr>
          <w:rFonts w:ascii="Trebuchet MS;sans-serif" w:hAnsi="Trebuchet MS;sans-serif"/>
          <w:b w:val="false"/>
          <w:color w:val="000000"/>
          <w:sz w:val="21"/>
        </w:rPr>
      </w:pPr>
      <w:r>
        <w:rPr>
          <w:rFonts w:ascii="Trebuchet MS;sans-serif" w:hAnsi="Trebuchet MS;sans-serif"/>
          <w:b w:val="false"/>
          <w:color w:val="000000"/>
          <w:sz w:val="21"/>
        </w:rPr>
        <w:t xml:space="preserve">We hereby consent to the incorporation by reference in the Prospectus constituting a part of this Registration Statement of our report dated March 16, 2026, relating to the consolidated financial statements of OPAL Fuels Inc., (the Company) appearing in the Company’s Annual Report on Form 10-K for the year ended December 31, 2025. </w:t>
      </w:r>
    </w:p>
    <w:p>
      <w:pPr>
        <w:pStyle w:val="TextBody"/>
        <w:bidi w:val="0"/>
        <w:spacing w:before="0" w:after="0"/>
        <w:jc w:val="both"/>
        <w:rPr/>
      </w:pPr>
      <w:r>
        <w:rPr/>
      </w:r>
    </w:p>
    <w:p>
      <w:pPr>
        <w:pStyle w:val="TextBody"/>
        <w:bidi w:val="0"/>
        <w:spacing w:lineRule="auto" w:line="288" w:before="0" w:after="0"/>
        <w:jc w:val="both"/>
        <w:rPr>
          <w:rFonts w:ascii="Trebuchet MS;sans-serif" w:hAnsi="Trebuchet MS;sans-serif"/>
          <w:b w:val="false"/>
          <w:color w:val="000000"/>
          <w:sz w:val="21"/>
        </w:rPr>
      </w:pPr>
      <w:r>
        <w:rPr>
          <w:rFonts w:ascii="Trebuchet MS;sans-serif" w:hAnsi="Trebuchet MS;sans-serif"/>
          <w:b w:val="false"/>
          <w:color w:val="000000"/>
          <w:sz w:val="21"/>
        </w:rPr>
        <w:t>We also consent to the reference to us under the caption “Experts” in the Prospectus.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rebuchet MS;sans-serif" w:hAnsi="Trebuchet MS;sans-serif"/>
          <w:b w:val="false"/>
          <w:color w:val="000000"/>
          <w:sz w:val="21"/>
        </w:rPr>
      </w:pPr>
      <w:r>
        <w:rPr>
          <w:rFonts w:ascii="Trebuchet MS;sans-serif" w:hAnsi="Trebuchet MS;sans-serif"/>
          <w:b w:val="false"/>
          <w:color w:val="000000"/>
          <w:sz w:val="21"/>
        </w:rPr>
        <w:t>/s/ BDO USA, P.C.</w:t>
      </w:r>
    </w:p>
    <w:p>
      <w:pPr>
        <w:pStyle w:val="TextBody"/>
        <w:bidi w:val="0"/>
        <w:spacing w:lineRule="auto" w:line="288" w:before="0" w:after="0"/>
        <w:jc w:val="both"/>
        <w:rPr>
          <w:rFonts w:ascii="Trebuchet MS;sans-serif" w:hAnsi="Trebuchet MS;sans-serif"/>
          <w:b w:val="false"/>
          <w:color w:val="000000"/>
          <w:sz w:val="21"/>
        </w:rPr>
      </w:pPr>
      <w:r>
        <w:rPr>
          <w:rFonts w:ascii="Trebuchet MS;sans-serif" w:hAnsi="Trebuchet MS;sans-serif"/>
          <w:b w:val="false"/>
          <w:color w:val="000000"/>
          <w:sz w:val="21"/>
        </w:rPr>
        <w:t>Melville, New York</w:t>
      </w:r>
    </w:p>
    <w:p>
      <w:pPr>
        <w:pStyle w:val="TextBody"/>
        <w:bidi w:val="0"/>
        <w:spacing w:lineRule="auto" w:line="288" w:before="240" w:after="283"/>
        <w:jc w:val="both"/>
        <w:rPr>
          <w:rFonts w:ascii="Trebuchet MS;sans-serif" w:hAnsi="Trebuchet MS;sans-serif"/>
          <w:b w:val="false"/>
          <w:color w:val="000000"/>
          <w:sz w:val="21"/>
        </w:rPr>
      </w:pPr>
      <w:r>
        <w:rPr>
          <w:rFonts w:ascii="Trebuchet MS;sans-serif" w:hAnsi="Trebuchet MS;sans-serif"/>
          <w:b w:val="false"/>
          <w:color w:val="000000"/>
          <w:sz w:val="21"/>
        </w:rPr>
        <w:t>September 4, 2026</w:t>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25780"/>
                <wp:effectExtent l="0" t="0" r="0" b="0"/>
                <wp:wrapNone/>
                <wp:docPr id="55" name="Frame4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both"/>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Trebuchet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842279/000162828026017908/wdq-20251231.htm" TargetMode="External"/><Relationship Id="rId4" Type="http://schemas.openxmlformats.org/officeDocument/2006/relationships/hyperlink" Target="https://www.sec.gov/ix?doc=/Archives/edgar/data/1842279/000162828026033091/wdq-20260331.htm" TargetMode="External"/><Relationship Id="rId5" Type="http://schemas.openxmlformats.org/officeDocument/2006/relationships/hyperlink" Target="https://www.sec.gov/ix?doc=/Archives/edgar/data/1842279/000162828026054995/wdq-20260630.htm" TargetMode="External"/><Relationship Id="rId6" Type="http://schemas.openxmlformats.org/officeDocument/2006/relationships/hyperlink" Target="https://www.sec.gov/ix?doc=/Archives/edgar/data/1842279/000162828026016131/opal-20260306.htm" TargetMode="External"/><Relationship Id="rId7" Type="http://schemas.openxmlformats.org/officeDocument/2006/relationships/hyperlink" Target="https://www.sec.gov/ix?doc=/Archives/edgar/data/1842279/000162828026036906/opal-20260518.htm" TargetMode="External"/><Relationship Id="rId8" Type="http://schemas.openxmlformats.org/officeDocument/2006/relationships/hyperlink" Target="https://www.sec.gov/ix?doc=/Archives/edgar/data/1842279/000162828026040255/opal-20260603.htm" TargetMode="External"/><Relationship Id="rId9" Type="http://schemas.openxmlformats.org/officeDocument/2006/relationships/hyperlink" Target="https://www.sec.gov/ix?doc=/Archives/edgar/data/1842279/000162828026044625/opal-20260617.htm" TargetMode="External"/><Relationship Id="rId10" Type="http://schemas.openxmlformats.org/officeDocument/2006/relationships/image" Target="media/image2.jpeg"/><Relationship Id="rId11" Type="http://schemas.openxmlformats.org/officeDocument/2006/relationships/hyperlink" Target="http://www.sec.gov/Archives/edgar/data/1842279/000121390022046338/ea164030ex3-1_opal.htm" TargetMode="External"/><Relationship Id="rId12" Type="http://schemas.openxmlformats.org/officeDocument/2006/relationships/hyperlink" Target="http://www.sec.gov/Archives/edgar/data/1842279/000121390022042020/ea163248ex3-2_opal.htm" TargetMode="External"/><Relationship Id="rId13" Type="http://schemas.openxmlformats.org/officeDocument/2006/relationships/hyperlink" Target="https://www.sec.gov/Archives/edgar/data/1842279/000162828026016131/a31opalfuelsllc-amendedand.htm" TargetMode="External"/><Relationship Id="rId14" Type="http://schemas.openxmlformats.org/officeDocument/2006/relationships/image" Target="media/image3.png"/><Relationship Id="rId15" Type="http://schemas.openxmlformats.org/officeDocument/2006/relationships/image" Target="media/image3.png"/><Relationship Id="rId16" Type="http://schemas.openxmlformats.org/officeDocument/2006/relationships/image" Target="media/image3.png"/><Relationship Id="rId17" Type="http://schemas.openxmlformats.org/officeDocument/2006/relationships/image" Target="media/image3.pn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24200</Words>
  <Characters>126541</Characters>
  <CharactersWithSpaces>150484</CharactersWithSpaces>
  <Paragraphs>1321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