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wf-form4_168064203711334.xml.htm"/>
      <w:bookmarkStart w:id="1" w:name="kswfform4_16806420371133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Nisar Nadeem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ONE NORTH LEXINGTON AVE, 14TH FLOOR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WHITE PLAINS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10601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OPAL Fuels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OPAL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03/31/2023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12149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46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4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4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03/31/2023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19,369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Class A 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19,369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highlight w:val="white"/>
              </w:rPr>
              <w:t>6.97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29,494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Reporting Person was granted restricted stock units ("RSUs"), which represent a contingent right to receive one share of Common Stock for each RSU. The RSUs vest 100% on March 31, 2024, provided that the Reporting Person remains in continuous service on the vesting date.</w:t>
            </w:r>
          </w:p>
        </w:tc>
      </w:tr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John Coghlin as Attorney-in-Fact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04/04/2023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WenQuanYi Zen Hei Sharp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WenQuanYi Zen Hei Sharp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DejaVu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styleId="List">
    <w:name w:val="List"/>
    <w:basedOn w:val="TextBody"/>
    <w:pPr/>
    <w:rPr>
      <w:rFonts w:cs="DejaVu Sans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827382" TargetMode="External"/><Relationship Id="rId4" Type="http://schemas.openxmlformats.org/officeDocument/2006/relationships/hyperlink" Target="http://www.sec.gov/cgi-bin/browse-edgar?action=getcompany&amp;CIK=0001842279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573</Words>
  <CharactersWithSpaces>3604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