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86"/>
          <w:szCs w:val="86"/>
          <w:b w:val="1"/>
          <w:bCs w:val="1"/>
          <w:color w:val="FFFFFF"/>
        </w:rPr>
        <w:t>Annual Report</w:t>
      </w:r>
    </w:p>
    <w:p>
      <w:pPr>
        <w:spacing w:after="0" w:line="4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76"/>
          <w:szCs w:val="76"/>
          <w:b w:val="1"/>
          <w:bCs w:val="1"/>
          <w:color w:val="FFFFFF"/>
        </w:rPr>
        <w:t>202</w:t>
      </w:r>
      <w:r>
        <w:rPr>
          <w:rFonts w:ascii="PMingLiU" w:cs="PMingLiU" w:eastAsia="PMingLiU" w:hAnsi="PMingLiU"/>
          <w:sz w:val="76"/>
          <w:szCs w:val="76"/>
          <w:b w:val="1"/>
          <w:bCs w:val="1"/>
          <w:color w:val="FFFFFF"/>
        </w:rPr>
        <w:t/>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FFFFFF"/>
        </w:rPr>
        <w:t>OPAL Fuels</w:t>
      </w:r>
    </w:p>
    <w:p>
      <w:pPr>
        <w:sectPr>
          <w:pgSz w:w="12240" w:h="15840" w:orient="portrait"/>
          <w:cols w:equalWidth="0" w:num="1">
            <w:col w:w="10060"/>
          </w:cols>
          <w:pgMar w:left="740" w:top="1440" w:right="1440" w:bottom="414" w:gutter="0" w:footer="0" w:header="0"/>
        </w:sectPr>
      </w:pP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27"/>
          <w:szCs w:val="27"/>
          <w:b w:val="1"/>
          <w:bCs w:val="1"/>
          <w:color w:val="FFFFFF"/>
        </w:rPr>
        <w:t>202</w:t>
      </w:r>
      <w:r>
        <w:rPr>
          <w:rFonts w:ascii="PMingLiU" w:cs="PMingLiU" w:eastAsia="PMingLiU" w:hAnsi="PMingLiU"/>
          <w:sz w:val="27"/>
          <w:szCs w:val="27"/>
          <w:b w:val="1"/>
          <w:bCs w:val="1"/>
          <w:color w:val="FFFFFF"/>
        </w:rPr>
        <w:t/>
      </w:r>
      <w:r>
        <w:rPr>
          <w:rFonts w:ascii="Times New Roman" w:cs="Times New Roman" w:eastAsia="Times New Roman" w:hAnsi="Times New Roman"/>
          <w:sz w:val="27"/>
          <w:szCs w:val="27"/>
          <w:b w:val="1"/>
          <w:bCs w:val="1"/>
          <w:color w:val="FFFFFF"/>
        </w:rPr>
        <w:t xml:space="preserve"> Summary Annual Report and Form 10-K</w:t>
      </w:r>
    </w:p>
    <w:p>
      <w:pPr>
        <w:sectPr>
          <w:pgSz w:w="12240" w:h="15840" w:orient="portrait"/>
          <w:cols w:equalWidth="0" w:num="1">
            <w:col w:w="10060"/>
          </w:cols>
          <w:pgMar w:left="740" w:top="1440" w:right="1440" w:bottom="41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475615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7.45pt" to="576pt,37.45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501015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9.45pt" to="576pt,39.45pt" o:allowincell="f" strokecolor="#000000" strokeweight="0.5009pt">
                <w10:wrap anchorx="page" anchory="page"/>
              </v:line>
            </w:pict>
          </mc:Fallback>
        </mc:AlternateContent>
        <w:t>UNITED STATES</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47" w:lineRule="exact"/>
        <w:rPr>
          <w:sz w:val="20"/>
          <w:szCs w:val="20"/>
          <w:color w:val="auto"/>
        </w:rPr>
      </w:pPr>
    </w:p>
    <w:p>
      <w:pPr>
        <w:spacing w:after="0"/>
        <w:rPr>
          <w:sz w:val="20"/>
          <w:szCs w:val="20"/>
          <w:color w:val="auto"/>
        </w:rPr>
      </w:pPr>
      <w:r>
        <w:rPr>
          <w:rFonts w:ascii="PMingLiU" w:cs="PMingLiU" w:eastAsia="PMingLiU" w:hAnsi="PMingLiU"/>
          <w:sz w:val="20"/>
          <w:szCs w:val="20"/>
          <w:color w:val="auto"/>
        </w:rPr>
        <w:t>6</w:t>
      </w: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6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65" w:lineRule="exact"/>
        <w:rPr>
          <w:sz w:val="20"/>
          <w:szCs w:val="20"/>
          <w:color w:val="auto"/>
        </w:rPr>
      </w:pPr>
    </w:p>
    <w:p>
      <w:pPr>
        <w:ind w:left="2600" w:right="480" w:hanging="2600"/>
        <w:spacing w:after="0" w:line="283" w:lineRule="auto"/>
        <w:tabs>
          <w:tab w:leader="none" w:pos="209"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_______________ to 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001-40272</w:t>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OPAL FUELS INC.</w:t>
      </w:r>
    </w:p>
    <w:p>
      <w:pPr>
        <w:jc w:val="center"/>
        <w:spacing w:after="0" w:line="210" w:lineRule="auto"/>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5400" w:type="dxa"/>
            <w:vAlign w:val="bottom"/>
            <w:gridSpan w:val="2"/>
          </w:tcPr>
          <w:p>
            <w:pPr>
              <w:jc w:val="right"/>
              <w:ind w:right="2020"/>
              <w:spacing w:after="0"/>
              <w:rPr>
                <w:sz w:val="20"/>
                <w:szCs w:val="20"/>
                <w:color w:val="auto"/>
              </w:rPr>
            </w:pPr>
            <w:r>
              <w:rPr>
                <w:rFonts w:ascii="Times New Roman" w:cs="Times New Roman" w:eastAsia="Times New Roman" w:hAnsi="Times New Roman"/>
                <w:sz w:val="20"/>
                <w:szCs w:val="20"/>
                <w:b w:val="1"/>
                <w:bCs w:val="1"/>
                <w:color w:val="auto"/>
              </w:rPr>
              <w:t>98-1578357</w:t>
            </w:r>
          </w:p>
        </w:tc>
        <w:tc>
          <w:tcPr>
            <w:tcW w:w="20" w:type="dxa"/>
            <w:vAlign w:val="bottom"/>
          </w:tcPr>
          <w:p>
            <w:pPr>
              <w:spacing w:after="0"/>
              <w:rPr>
                <w:sz w:val="19"/>
                <w:szCs w:val="19"/>
                <w:color w:val="auto"/>
              </w:rPr>
            </w:pPr>
          </w:p>
        </w:tc>
      </w:tr>
      <w:tr>
        <w:trPr>
          <w:trHeight w:val="205"/>
        </w:trPr>
        <w:tc>
          <w:tcPr>
            <w:tcW w:w="52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180" w:type="dxa"/>
            <w:vAlign w:val="bottom"/>
          </w:tcPr>
          <w:p>
            <w:pPr>
              <w:spacing w:after="0"/>
              <w:rPr>
                <w:sz w:val="17"/>
                <w:szCs w:val="17"/>
                <w:color w:val="auto"/>
              </w:rPr>
            </w:pPr>
          </w:p>
        </w:tc>
        <w:tc>
          <w:tcPr>
            <w:tcW w:w="524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23"/>
        </w:trPr>
        <w:tc>
          <w:tcPr>
            <w:tcW w:w="52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180" w:type="dxa"/>
            <w:vAlign w:val="bottom"/>
          </w:tcPr>
          <w:p>
            <w:pPr>
              <w:spacing w:after="0"/>
              <w:rPr>
                <w:sz w:val="19"/>
                <w:szCs w:val="19"/>
                <w:color w:val="auto"/>
              </w:rPr>
            </w:pPr>
          </w:p>
        </w:tc>
        <w:tc>
          <w:tcPr>
            <w:tcW w:w="52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75"/>
        </w:trPr>
        <w:tc>
          <w:tcPr>
            <w:tcW w:w="5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One North Lexington Avenue, Suite 1450</w:t>
            </w: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5280" w:type="dxa"/>
            <w:vAlign w:val="bottom"/>
            <w:tcBorders>
              <w:bottom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8"/>
              </w:rPr>
              <w:t>White Plains, New York</w:t>
            </w:r>
          </w:p>
        </w:tc>
        <w:tc>
          <w:tcPr>
            <w:tcW w:w="180" w:type="dxa"/>
            <w:vAlign w:val="bottom"/>
          </w:tcPr>
          <w:p>
            <w:pPr>
              <w:spacing w:after="0"/>
              <w:rPr>
                <w:sz w:val="18"/>
                <w:szCs w:val="18"/>
                <w:color w:val="auto"/>
              </w:rPr>
            </w:pPr>
          </w:p>
        </w:tc>
        <w:tc>
          <w:tcPr>
            <w:tcW w:w="5220" w:type="dxa"/>
            <w:vAlign w:val="bottom"/>
            <w:tcBorders>
              <w:bottom w:val="single" w:sz="8" w:color="auto"/>
            </w:tcBorders>
          </w:tcPr>
          <w:p>
            <w:pPr>
              <w:jc w:val="right"/>
              <w:ind w:right="2260"/>
              <w:spacing w:after="0" w:line="217" w:lineRule="exact"/>
              <w:rPr>
                <w:sz w:val="20"/>
                <w:szCs w:val="20"/>
                <w:color w:val="auto"/>
              </w:rPr>
            </w:pPr>
            <w:r>
              <w:rPr>
                <w:rFonts w:ascii="Times New Roman" w:cs="Times New Roman" w:eastAsia="Times New Roman" w:hAnsi="Times New Roman"/>
                <w:sz w:val="20"/>
                <w:szCs w:val="20"/>
                <w:b w:val="1"/>
                <w:bCs w:val="1"/>
                <w:color w:val="auto"/>
              </w:rPr>
              <w:t>10601</w:t>
            </w:r>
          </w:p>
        </w:tc>
        <w:tc>
          <w:tcPr>
            <w:tcW w:w="20" w:type="dxa"/>
            <w:vAlign w:val="bottom"/>
          </w:tcPr>
          <w:p>
            <w:pPr>
              <w:spacing w:after="0"/>
              <w:rPr>
                <w:sz w:val="18"/>
                <w:szCs w:val="18"/>
                <w:color w:val="auto"/>
              </w:rPr>
            </w:pPr>
          </w:p>
        </w:tc>
      </w:tr>
      <w:tr>
        <w:trPr>
          <w:trHeight w:val="228"/>
        </w:trPr>
        <w:tc>
          <w:tcPr>
            <w:tcW w:w="52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rPr>
              <w:t>(Address of principal executive offices)</w:t>
            </w:r>
          </w:p>
        </w:tc>
        <w:tc>
          <w:tcPr>
            <w:tcW w:w="180" w:type="dxa"/>
            <w:vAlign w:val="bottom"/>
          </w:tcPr>
          <w:p>
            <w:pPr>
              <w:spacing w:after="0"/>
              <w:rPr>
                <w:sz w:val="19"/>
                <w:szCs w:val="19"/>
                <w:color w:val="auto"/>
              </w:rPr>
            </w:pPr>
          </w:p>
        </w:tc>
        <w:tc>
          <w:tcPr>
            <w:tcW w:w="524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(Zip Code)</w:t>
            </w:r>
          </w:p>
        </w:tc>
      </w:tr>
    </w:tbl>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r>
        <w:rPr>
          <w:rFonts w:ascii="Times New Roman" w:cs="Times New Roman" w:eastAsia="Times New Roman" w:hAnsi="Times New Roman"/>
          <w:sz w:val="20"/>
          <w:szCs w:val="20"/>
          <w:b w:val="1"/>
          <w:bCs w:val="1"/>
          <w:color w:val="auto"/>
        </w:rPr>
        <w:t>: (914) 705-4000</w:t>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8"/>
                <w:szCs w:val="18"/>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Class A Common Stock, par value $0.0001 per share</w:t>
            </w:r>
          </w:p>
        </w:tc>
        <w:tc>
          <w:tcPr>
            <w:tcW w:w="180" w:type="dxa"/>
            <w:vAlign w:val="bottom"/>
          </w:tcPr>
          <w:p>
            <w:pPr>
              <w:spacing w:after="0"/>
              <w:rPr>
                <w:sz w:val="19"/>
                <w:szCs w:val="19"/>
                <w:color w:val="auto"/>
              </w:rPr>
            </w:pPr>
          </w:p>
        </w:tc>
        <w:tc>
          <w:tcPr>
            <w:tcW w:w="20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1"/>
              </w:rPr>
              <w:t>OPAL</w:t>
            </w:r>
          </w:p>
        </w:tc>
        <w:tc>
          <w:tcPr>
            <w:tcW w:w="180" w:type="dxa"/>
            <w:vAlign w:val="bottom"/>
          </w:tcPr>
          <w:p>
            <w:pPr>
              <w:spacing w:after="0"/>
              <w:rPr>
                <w:sz w:val="19"/>
                <w:szCs w:val="19"/>
                <w:color w:val="auto"/>
              </w:rPr>
            </w:pPr>
          </w:p>
        </w:tc>
        <w:tc>
          <w:tcPr>
            <w:tcW w:w="38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The Nasdaq Stock Market LLC</w:t>
            </w: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Securities registered pursuant to Section 12(g) of the Act: </w:t>
      </w:r>
      <w:r>
        <w:rPr>
          <w:rFonts w:ascii="Times New Roman" w:cs="Times New Roman" w:eastAsia="Times New Roman" w:hAnsi="Times New Roman"/>
          <w:sz w:val="20"/>
          <w:szCs w:val="20"/>
          <w:b w:val="1"/>
          <w:bCs w:val="1"/>
          <w:color w:val="auto"/>
        </w:rPr>
        <w:t>None</w:t>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53" w:lineRule="exact"/>
        <w:rPr>
          <w:sz w:val="20"/>
          <w:szCs w:val="20"/>
          <w:color w:val="auto"/>
        </w:rPr>
      </w:pPr>
    </w:p>
    <w:p>
      <w:pPr>
        <w:ind w:left="480" w:right="1820"/>
        <w:spacing w:after="0" w:line="249"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36" w:lineRule="exact"/>
        <w:rPr>
          <w:sz w:val="20"/>
          <w:szCs w:val="20"/>
          <w:color w:val="auto"/>
        </w:rPr>
      </w:pPr>
    </w:p>
    <w:p>
      <w:pPr>
        <w:jc w:val="both"/>
        <w:ind w:firstLine="480"/>
        <w:spacing w:after="0" w:line="22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46" w:lineRule="exact"/>
        <w:rPr>
          <w:sz w:val="20"/>
          <w:szCs w:val="20"/>
          <w:color w:val="auto"/>
        </w:rPr>
      </w:pPr>
    </w:p>
    <w:p>
      <w:pPr>
        <w:jc w:val="both"/>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43" w:lineRule="exact"/>
        <w:rPr>
          <w:sz w:val="20"/>
          <w:szCs w:val="20"/>
          <w:color w:val="auto"/>
        </w:rPr>
      </w:pPr>
    </w:p>
    <w:p>
      <w:pPr>
        <w:jc w:val="both"/>
        <w:ind w:firstLine="480"/>
        <w:spacing w:after="0" w:line="23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80" w:type="dxa"/>
            <w:vAlign w:val="bottom"/>
          </w:tcPr>
          <w:p>
            <w:pPr>
              <w:jc w:val="right"/>
              <w:ind w:right="1180"/>
              <w:spacing w:after="0"/>
              <w:rPr>
                <w:sz w:val="20"/>
                <w:szCs w:val="20"/>
                <w:color w:val="auto"/>
              </w:rPr>
            </w:pPr>
            <w:r>
              <w:rPr>
                <w:rFonts w:ascii="PMingLiU" w:cs="PMingLiU" w:eastAsia="PMingLiU" w:hAnsi="PMingLiU"/>
                <w:sz w:val="16"/>
                <w:szCs w:val="16"/>
                <w:color w:val="auto"/>
              </w:rPr>
              <w:t></w:t>
            </w:r>
          </w:p>
        </w:tc>
        <w:tc>
          <w:tcPr>
            <w:tcW w:w="3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jc w:val="right"/>
              <w:spacing w:after="0"/>
              <w:rPr>
                <w:sz w:val="20"/>
                <w:szCs w:val="20"/>
                <w:color w:val="auto"/>
              </w:rPr>
            </w:pPr>
            <w:r>
              <w:rPr>
                <w:rFonts w:ascii="PMingLiU" w:cs="PMingLiU" w:eastAsia="PMingLiU" w:hAnsi="PMingLiU"/>
                <w:sz w:val="16"/>
                <w:szCs w:val="16"/>
                <w:color w:val="auto"/>
              </w:rPr>
              <w:t>6</w:t>
            </w:r>
          </w:p>
        </w:tc>
      </w:tr>
      <w:tr>
        <w:trPr>
          <w:trHeight w:val="20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80" w:type="dxa"/>
            <w:vAlign w:val="bottom"/>
          </w:tcPr>
          <w:p>
            <w:pPr>
              <w:jc w:val="right"/>
              <w:ind w:right="1180"/>
              <w:spacing w:after="0"/>
              <w:rPr>
                <w:sz w:val="20"/>
                <w:szCs w:val="20"/>
                <w:color w:val="auto"/>
              </w:rPr>
            </w:pPr>
            <w:r>
              <w:rPr>
                <w:rFonts w:ascii="PMingLiU" w:cs="PMingLiU" w:eastAsia="PMingLiU" w:hAnsi="PMingLiU"/>
                <w:sz w:val="16"/>
                <w:szCs w:val="16"/>
                <w:color w:val="auto"/>
              </w:rPr>
              <w:t></w:t>
            </w:r>
          </w:p>
        </w:tc>
        <w:tc>
          <w:tcPr>
            <w:tcW w:w="3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jc w:val="right"/>
              <w:spacing w:after="0"/>
              <w:rPr>
                <w:sz w:val="20"/>
                <w:szCs w:val="20"/>
                <w:color w:val="auto"/>
              </w:rPr>
            </w:pPr>
            <w:r>
              <w:rPr>
                <w:rFonts w:ascii="PMingLiU" w:cs="PMingLiU" w:eastAsia="PMingLiU" w:hAnsi="PMingLiU"/>
                <w:sz w:val="16"/>
                <w:szCs w:val="16"/>
                <w:color w:val="auto"/>
              </w:rPr>
              <w:t>6</w:t>
            </w:r>
          </w:p>
        </w:tc>
      </w:tr>
      <w:tr>
        <w:trPr>
          <w:trHeight w:val="203"/>
        </w:trPr>
        <w:tc>
          <w:tcPr>
            <w:tcW w:w="19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0" w:type="dxa"/>
            <w:vAlign w:val="bottom"/>
          </w:tcPr>
          <w:p>
            <w:pPr>
              <w:jc w:val="right"/>
              <w:spacing w:after="0"/>
              <w:rPr>
                <w:sz w:val="20"/>
                <w:szCs w:val="20"/>
                <w:color w:val="auto"/>
              </w:rPr>
            </w:pPr>
            <w:r>
              <w:rPr>
                <w:rFonts w:ascii="PMingLiU" w:cs="PMingLiU" w:eastAsia="PMingLiU" w:hAnsi="PMingLiU"/>
                <w:sz w:val="16"/>
                <w:szCs w:val="16"/>
                <w:color w:val="auto"/>
              </w:rPr>
              <w:t>6</w:t>
            </w:r>
          </w:p>
        </w:tc>
      </w:tr>
    </w:tbl>
    <w:p>
      <w:pPr>
        <w:spacing w:after="0" w:line="69" w:lineRule="exact"/>
        <w:rPr>
          <w:sz w:val="20"/>
          <w:szCs w:val="20"/>
          <w:color w:val="auto"/>
        </w:rPr>
      </w:pPr>
    </w:p>
    <w:p>
      <w:pPr>
        <w:jc w:val="both"/>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t>
      </w:r>
    </w:p>
    <w:p>
      <w:pPr>
        <w:spacing w:after="0" w:line="43" w:lineRule="exact"/>
        <w:rPr>
          <w:sz w:val="20"/>
          <w:szCs w:val="20"/>
          <w:color w:val="auto"/>
        </w:rPr>
      </w:pPr>
    </w:p>
    <w:p>
      <w:pPr>
        <w:jc w:val="both"/>
        <w:ind w:firstLine="480"/>
        <w:spacing w:after="0" w:line="24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</w:t>
      </w:r>
    </w:p>
    <w:p>
      <w:pPr>
        <w:spacing w:after="0" w:line="42" w:lineRule="exact"/>
        <w:rPr>
          <w:sz w:val="20"/>
          <w:szCs w:val="20"/>
          <w:color w:val="auto"/>
        </w:rPr>
      </w:pPr>
    </w:p>
    <w:p>
      <w:pPr>
        <w:jc w:val="both"/>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t>
      </w:r>
    </w:p>
    <w:p>
      <w:pPr>
        <w:spacing w:after="0" w:line="43" w:lineRule="exact"/>
        <w:rPr>
          <w:sz w:val="20"/>
          <w:szCs w:val="20"/>
          <w:color w:val="auto"/>
        </w:rPr>
      </w:pPr>
    </w:p>
    <w:p>
      <w:pPr>
        <w:jc w:val="both"/>
        <w:ind w:firstLine="480"/>
        <w:spacing w:after="0" w:line="226"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auto"/>
        </w:rPr>
        <w:t></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43" w:lineRule="exact"/>
        <w:rPr>
          <w:sz w:val="20"/>
          <w:szCs w:val="20"/>
          <w:color w:val="auto"/>
        </w:rPr>
      </w:pPr>
    </w:p>
    <w:p>
      <w:pPr>
        <w:jc w:val="both"/>
        <w:ind w:firstLine="480"/>
        <w:spacing w:after="0" w:line="233"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on June 30, 2025, the last business day of the registrant’s most recently completed second fiscal quarter, was approximately $65,017,000 based on the closing price of the registrant’s Class A common stock on The Nasdaq Capital Market on that date.</w:t>
      </w:r>
    </w:p>
    <w:p>
      <w:pPr>
        <w:spacing w:after="0" w:line="44" w:lineRule="exact"/>
        <w:rPr>
          <w:sz w:val="20"/>
          <w:szCs w:val="20"/>
          <w:color w:val="auto"/>
        </w:rPr>
      </w:pPr>
    </w:p>
    <w:p>
      <w:pPr>
        <w:jc w:val="both"/>
        <w:ind w:firstLine="480"/>
        <w:spacing w:after="0" w:line="232" w:lineRule="auto"/>
        <w:rPr>
          <w:sz w:val="20"/>
          <w:szCs w:val="20"/>
          <w:color w:val="auto"/>
        </w:rPr>
      </w:pPr>
      <w:r>
        <w:rPr>
          <w:rFonts w:ascii="Times New Roman" w:cs="Times New Roman" w:eastAsia="Times New Roman" w:hAnsi="Times New Roman"/>
          <w:sz w:val="16"/>
          <w:szCs w:val="16"/>
          <w:color w:val="auto"/>
        </w:rPr>
        <w:t>As of March 16, 2026, a total of 29,001,120 shares of Class A common stock, par value $0.0001 per share, 121,500,000 shares of Class B common stock, par value $0.0001 per share and 22,899,037 shares of Class D common stock, par value $0.0001 per share were outstanding.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43" w:lineRule="exact"/>
        <w:rPr>
          <w:sz w:val="20"/>
          <w:szCs w:val="20"/>
          <w:color w:val="auto"/>
        </w:rPr>
      </w:pPr>
    </w:p>
    <w:p>
      <w:pPr>
        <w:jc w:val="both"/>
        <w:ind w:firstLine="480"/>
        <w:spacing w:after="0" w:line="291" w:lineRule="auto"/>
        <w:rPr>
          <w:sz w:val="20"/>
          <w:szCs w:val="20"/>
          <w:color w:val="auto"/>
        </w:rPr>
      </w:pPr>
      <w:r>
        <w:rPr>
          <w:rFonts w:ascii="Times New Roman" w:cs="Times New Roman" w:eastAsia="Times New Roman" w:hAnsi="Times New Roman"/>
          <w:sz w:val="14"/>
          <w:szCs w:val="14"/>
          <w:color w:val="auto"/>
        </w:rPr>
        <w:t>The information required by Part III of Form 10-K is incorporated herein by reference to portions of the registrant’s Definitive Proxy Statement relating to its 2026 Annual General Meeting of Shareholders, which will be filed with the Securities and Exchange Commission within 120 days after the end of the registrant’s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59055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5pt" to="540pt,4.65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84455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5pt" to="540pt,6.65pt" o:allowincell="f" strokecolor="#000000" strokeweight="1.5pt"/>
            </w:pict>
          </mc:Fallback>
        </mc:AlternateContent>
      </w:r>
    </w:p>
    <w:p>
      <w:pPr>
        <w:sectPr>
          <w:pgSz w:w="12240" w:h="15840" w:orient="portrait"/>
          <w:cols w:equalWidth="0" w:num="1">
            <w:col w:w="10800"/>
          </w:cols>
          <w:pgMar w:left="720" w:top="882" w:right="720" w:bottom="374" w:gutter="0" w:footer="0" w:header="0"/>
        </w:sectPr>
      </w:pPr>
    </w:p>
    <w:bookmarkStart w:id="2" w:name="page3"/>
    <w:bookmarkEnd w:id="2"/>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3" w:name="page4"/>
    <w:bookmarkEnd w:id="3"/>
    <w:p>
      <w:pPr>
        <w:ind w:left="394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9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5372100</wp:posOffset>
                </wp:positionH>
                <wp:positionV relativeFrom="paragraph">
                  <wp:posOffset>13970</wp:posOffset>
                </wp:positionV>
                <wp:extent cx="4953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pt,1.1pt" to="462pt,1.1pt" o:allowincell="f" strokecolor="#000000" strokeweight="0.5pt"/>
            </w:pict>
          </mc:Fallback>
        </mc:AlternateConten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0" w:lineRule="exact"/>
        <w:rPr>
          <w:sz w:val="20"/>
          <w:szCs w:val="20"/>
          <w:color w:val="auto"/>
        </w:rPr>
      </w:pPr>
    </w:p>
    <w:p>
      <w:pPr>
        <w:spacing w:after="0"/>
        <w:tabs>
          <w:tab w:leader="none" w:pos="1000" w:val="left"/>
          <w:tab w:leader="none" w:pos="88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17</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54</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w:t>
      </w:r>
      <w:r>
        <w:rPr>
          <w:sz w:val="20"/>
          <w:szCs w:val="20"/>
          <w:color w:val="auto"/>
        </w:rPr>
        <w:tab/>
      </w:r>
      <w:r>
        <w:rPr>
          <w:rFonts w:ascii="Times New Roman" w:cs="Times New Roman" w:eastAsia="Times New Roman" w:hAnsi="Times New Roman"/>
          <w:sz w:val="20"/>
          <w:szCs w:val="20"/>
          <w:color w:val="auto"/>
        </w:rPr>
        <w:t>55</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w:t>
      </w:r>
      <w:r>
        <w:rPr>
          <w:sz w:val="20"/>
          <w:szCs w:val="20"/>
          <w:color w:val="auto"/>
        </w:rPr>
        <w:tab/>
      </w:r>
      <w:r>
        <w:rPr>
          <w:rFonts w:ascii="Times New Roman" w:cs="Times New Roman" w:eastAsia="Times New Roman" w:hAnsi="Times New Roman"/>
          <w:sz w:val="20"/>
          <w:szCs w:val="20"/>
          <w:color w:val="auto"/>
        </w:rPr>
        <w:t>56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2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 . .</w:t>
      </w:r>
      <w:r>
        <w:rPr>
          <w:sz w:val="20"/>
          <w:szCs w:val="20"/>
          <w:color w:val="auto"/>
        </w:rPr>
        <w:tab/>
      </w:r>
      <w:r>
        <w:rPr>
          <w:rFonts w:ascii="Times New Roman" w:cs="Times New Roman" w:eastAsia="Times New Roman" w:hAnsi="Times New Roman"/>
          <w:sz w:val="20"/>
          <w:szCs w:val="20"/>
          <w:color w:val="auto"/>
        </w:rPr>
        <w:t>57</w:t>
      </w:r>
    </w:p>
    <w:p>
      <w:pPr>
        <w:spacing w:after="0" w:line="31"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57</w:t>
      </w:r>
    </w:p>
    <w:p>
      <w:pPr>
        <w:spacing w:after="0" w:line="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w:t>
      </w:r>
    </w:p>
    <w:p>
      <w:pPr>
        <w:ind w:left="12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of Operations . . . . . . . . . . . . . . . . . . . . . . . . . . . . . . . . . . . . . . . . . . . . . . . . . . . . . . . . . . . .</w:t>
      </w:r>
      <w:r>
        <w:rPr>
          <w:sz w:val="20"/>
          <w:szCs w:val="20"/>
          <w:color w:val="auto"/>
        </w:rPr>
        <w:tab/>
      </w:r>
      <w:r>
        <w:rPr>
          <w:rFonts w:ascii="Times New Roman" w:cs="Times New Roman" w:eastAsia="Times New Roman" w:hAnsi="Times New Roman"/>
          <w:sz w:val="20"/>
          <w:szCs w:val="20"/>
          <w:color w:val="auto"/>
        </w:rPr>
        <w:t>57</w:t>
      </w:r>
    </w:p>
    <w:p>
      <w:pPr>
        <w:spacing w:after="0" w:line="31"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w:t>
      </w:r>
      <w:r>
        <w:rPr>
          <w:sz w:val="20"/>
          <w:szCs w:val="20"/>
          <w:color w:val="auto"/>
        </w:rPr>
        <w:tab/>
      </w:r>
      <w:r>
        <w:rPr>
          <w:rFonts w:ascii="Times New Roman" w:cs="Times New Roman" w:eastAsia="Times New Roman" w:hAnsi="Times New Roman"/>
          <w:sz w:val="20"/>
          <w:szCs w:val="20"/>
          <w:color w:val="auto"/>
        </w:rPr>
        <w:t>70</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 .</w:t>
      </w:r>
      <w:r>
        <w:rPr>
          <w:sz w:val="20"/>
          <w:szCs w:val="20"/>
          <w:color w:val="auto"/>
        </w:rPr>
        <w:tab/>
      </w:r>
      <w:r>
        <w:rPr>
          <w:rFonts w:ascii="Times New Roman" w:cs="Times New Roman" w:eastAsia="Times New Roman" w:hAnsi="Times New Roman"/>
          <w:sz w:val="20"/>
          <w:szCs w:val="20"/>
          <w:color w:val="auto"/>
        </w:rPr>
        <w:t>70</w:t>
      </w:r>
    </w:p>
    <w:p>
      <w:pPr>
        <w:spacing w:after="0" w:line="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w:t>
      </w:r>
    </w:p>
    <w:p>
      <w:pPr>
        <w:ind w:left="12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Financial Disclosure .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line="31"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 . .</w:t>
      </w:r>
      <w:r>
        <w:rPr>
          <w:sz w:val="20"/>
          <w:szCs w:val="20"/>
          <w:color w:val="auto"/>
        </w:rPr>
        <w:tab/>
      </w:r>
      <w:r>
        <w:rPr>
          <w:rFonts w:ascii="Times New Roman" w:cs="Times New Roman" w:eastAsia="Times New Roman" w:hAnsi="Times New Roman"/>
          <w:sz w:val="20"/>
          <w:szCs w:val="20"/>
          <w:color w:val="auto"/>
        </w:rPr>
        <w:t>71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ind w:left="12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31"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 .</w:t>
      </w:r>
      <w:r>
        <w:rPr>
          <w:sz w:val="20"/>
          <w:szCs w:val="20"/>
          <w:color w:val="auto"/>
        </w:rPr>
        <w:tab/>
      </w:r>
      <w:r>
        <w:rPr>
          <w:rFonts w:ascii="Times New Roman" w:cs="Times New Roman" w:eastAsia="Times New Roman" w:hAnsi="Times New Roman"/>
          <w:sz w:val="20"/>
          <w:szCs w:val="20"/>
          <w:color w:val="auto"/>
        </w:rPr>
        <w:t>72</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 . .</w:t>
      </w:r>
      <w:r>
        <w:rPr>
          <w:sz w:val="20"/>
          <w:szCs w:val="20"/>
          <w:color w:val="auto"/>
        </w:rPr>
        <w:tab/>
      </w:r>
      <w:r>
        <w:rPr>
          <w:rFonts w:ascii="Times New Roman" w:cs="Times New Roman" w:eastAsia="Times New Roman" w:hAnsi="Times New Roman"/>
          <w:sz w:val="20"/>
          <w:szCs w:val="20"/>
          <w:color w:val="auto"/>
        </w:rPr>
        <w:t>73</w:t>
      </w:r>
    </w:p>
    <w:p>
      <w:pPr>
        <w:spacing w:after="0" w:line="30" w:lineRule="exact"/>
        <w:rPr>
          <w:sz w:val="20"/>
          <w:szCs w:val="20"/>
          <w:color w:val="auto"/>
        </w:rPr>
      </w:pPr>
    </w:p>
    <w:p>
      <w:pPr>
        <w:ind w:left="1020"/>
        <w:spacing w:after="0"/>
        <w:tabs>
          <w:tab w:leader="none" w:pos="876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77</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References in this Annual Report on Form 10-K (this “Form 10-K” or “Annual Report”) to “we,” “us,” “our,” “OPAL Fuels,” “OPAL,” the “Company” and similar terms all refer to OPAL Fuels Inc. and its subsidiaries, unless otherwise stated or the context otherwise requires.</w:t>
      </w:r>
    </w:p>
    <w:p>
      <w:pPr>
        <w:spacing w:after="0" w:line="173"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A glossary of terms (the “Glossary”) that should be used as a reference when reading this Annual Report can be found immediately prior to Item 1A.</w:t>
      </w:r>
    </w:p>
    <w:p>
      <w:pPr>
        <w:spacing w:after="0" w:line="17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Capitalized terms that are used in this Annual Report are either defined when they are first used or in the Glossary.</w:t>
      </w:r>
    </w:p>
    <w:p>
      <w:pPr>
        <w:sectPr>
          <w:pgSz w:w="12240" w:h="15840" w:orient="portrait"/>
          <w:cols w:equalWidth="0" w:num="1">
            <w:col w:w="9380"/>
          </w:cols>
          <w:pgMar w:left="1440" w:top="941" w:right="142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80"/>
          </w:cols>
          <w:pgMar w:left="1440" w:top="941" w:right="1420" w:bottom="410"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FORWARD-LOOKING STATEMENTS AND RISK FACTOR SUMMARY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the federal securities laws.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75" w:lineRule="exact"/>
        <w:rPr>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grow and manage growth profitably, and maintain relationships with customers and suppliers;</w:t>
      </w:r>
    </w:p>
    <w:p>
      <w:pPr>
        <w:spacing w:after="0" w:line="174"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retaining or recruiting our principal officers, key employees or directors;</w:t>
      </w:r>
    </w:p>
    <w:p>
      <w:pPr>
        <w:spacing w:after="0" w:line="17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intense competition and competitive pressures from other companies in the industry in which we operate;</w:t>
      </w:r>
    </w:p>
    <w:p>
      <w:pPr>
        <w:spacing w:after="0" w:line="181" w:lineRule="exact"/>
        <w:rPr>
          <w:rFonts w:ascii="Times New Roman" w:cs="Times New Roman" w:eastAsia="Times New Roman" w:hAnsi="Times New Roman"/>
          <w:sz w:val="19"/>
          <w:szCs w:val="19"/>
          <w:color w:val="auto"/>
        </w:rPr>
      </w:pPr>
    </w:p>
    <w:p>
      <w:pPr>
        <w:jc w:val="both"/>
        <w:ind w:left="960" w:right="20" w:hanging="480"/>
        <w:spacing w:after="0" w:line="246"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of, or delays in obtaining, key components or labor for the construction and completion of landfill gas (“LFG”) and livestock waste projects that generate electricity and renewable natural gas (“RNG”) and compressed natural gas (“CNG”) and hydrogen dispensing stations;</w:t>
      </w:r>
    </w:p>
    <w:p>
      <w:pPr>
        <w:spacing w:after="0" w:line="172"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relating to our business, operations and financial performance, including market conditions and global and economic factors beyond our control;</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reduction or elimination of government economic incentives to the renewable energy market;</w:t>
      </w:r>
    </w:p>
    <w:p>
      <w:pPr>
        <w:spacing w:after="0" w:line="176" w:lineRule="exact"/>
        <w:rPr>
          <w:rFonts w:ascii="Times New Roman" w:cs="Times New Roman" w:eastAsia="Times New Roman" w:hAnsi="Times New Roman"/>
          <w:sz w:val="20"/>
          <w:szCs w:val="20"/>
          <w:color w:val="auto"/>
        </w:rPr>
      </w:pPr>
    </w:p>
    <w:p>
      <w:pPr>
        <w:jc w:val="both"/>
        <w:ind w:left="960" w:right="20" w:hanging="480"/>
        <w:spacing w:after="0" w:line="249"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on which we operate our LFG and livestock waste projects that generate electricity and (iii) RNG prices for Environmental Attributes, LCFS credits and other incentives;</w:t>
      </w:r>
    </w:p>
    <w:p>
      <w:pPr>
        <w:spacing w:after="0" w:line="168"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identify, acquire, develop and operate renewable projects and fueling stations (“Fueling Stations”);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issue and sell equity or equity-linked securities or obtain or amend debt financing;</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renewable energy not being sustained;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of climate change, changing weather patterns and conditions and natural disasters;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legal, tax and regulatory changes;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detailed under the section entitled “Risk Factors.”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forward-looking statements contained in this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10-K.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80"/>
          </w:cols>
          <w:pgMar w:left="1440" w:top="941" w:right="1420" w:bottom="348"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OPAL Fuels Inc. (including its subsidiaries, the “Company,” “OPAL,” “we,” “us” or “our”)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fuel-based natural gas. Partially treated biogas can be used directly in heating applications (as a form of medium-Btu fuel) or in the production of Renewable Power. Our principal sources of biogas are (i) LFG, which is produced by the decomposition of organic waste at landfills, and (ii) dairy manure, which is processed through anaerobic digesters to produce the biogas.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aim to maintain and grow our position as a leading producer and dispenser of RNG in the United States and a leading provider of RNG to the heavy and medium-duty commercial vehicle market in the U.S. We support these objectives through a multi-pronged strategy of:</w:t>
      </w:r>
    </w:p>
    <w:p>
      <w:pPr>
        <w:spacing w:after="0" w:line="175" w:lineRule="exact"/>
        <w:rPr>
          <w:sz w:val="20"/>
          <w:szCs w:val="20"/>
          <w:color w:val="auto"/>
        </w:rPr>
      </w:pPr>
    </w:p>
    <w:p>
      <w:pPr>
        <w:jc w:val="both"/>
        <w:ind w:left="960" w:hanging="480"/>
        <w:spacing w:after="0" w:line="263" w:lineRule="auto"/>
        <w:tabs>
          <w:tab w:leader="none" w:pos="9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Promoting the reduction of methane and greenhouse gases emissions and expanding the use of renewable fuels to displace fossil-based fuels: </w:t>
      </w:r>
      <w:r>
        <w:rPr>
          <w:rFonts w:ascii="Times New Roman" w:cs="Times New Roman" w:eastAsia="Times New Roman" w:hAnsi="Times New Roman"/>
          <w:sz w:val="19"/>
          <w:szCs w:val="19"/>
          <w:color w:val="auto"/>
        </w:rPr>
        <w:t>We share the renewable fuel industry’s commitment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164" w:lineRule="exact"/>
        <w:rPr>
          <w:rFonts w:ascii="Times New Roman" w:cs="Times New Roman" w:eastAsia="Times New Roman" w:hAnsi="Times New Roman"/>
          <w:sz w:val="19"/>
          <w:szCs w:val="19"/>
          <w:color w:val="auto"/>
        </w:rPr>
      </w:pPr>
    </w:p>
    <w:p>
      <w:pPr>
        <w:jc w:val="both"/>
        <w:ind w:left="960" w:hanging="480"/>
        <w:spacing w:after="0" w:line="248"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Expanding our industry position as a full-service partner for development opportunities, including through strategic transactions: </w:t>
      </w:r>
      <w:r>
        <w:rPr>
          <w:rFonts w:ascii="Times New Roman" w:cs="Times New Roman" w:eastAsia="Times New Roman" w:hAnsi="Times New Roman"/>
          <w:sz w:val="20"/>
          <w:szCs w:val="20"/>
          <w:color w:val="auto"/>
        </w:rPr>
        <w:t>Throughout our over twenty years of biogas conversion experience,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developed the full range of biogas conversion project related capabilities from LFG collection system expertise, to engineering, construction, management and operations, through environmental health and safety (“EHS”) oversight and Environmental Attributes management. Our full suite of capabilities allows us to serve as a multi-project partner, including through strategic transactions.</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Expanding our capabilities to new feedstock sources and technologies: </w:t>
      </w:r>
      <w:r>
        <w:rPr>
          <w:rFonts w:ascii="Times New Roman" w:cs="Times New Roman" w:eastAsia="Times New Roman" w:hAnsi="Times New Roman"/>
          <w:sz w:val="20"/>
          <w:szCs w:val="20"/>
          <w:color w:val="auto"/>
        </w:rPr>
        <w:t>We believe we will be 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enter new markets for our products. With our experience and industry expertise, we believe we are well-positioned to take advantage of opportunities to meet the clean energy needs of other industries looking to use renewable energy in their operations both domestic and internationally. We are actively reviewing opportunities beyond our core LFG and dairy RNG business. Specifically, we intend to diversify our project portfolio beyond landfill biogas through the expansion into additional methane producing assets.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941" w:right="1440" w:bottom="348" w:gutter="0" w:footer="0" w:header="0"/>
          <w:type w:val="continuous"/>
        </w:sectPr>
      </w:pPr>
    </w:p>
    <w:bookmarkStart w:id="6" w:name="page7"/>
    <w:bookmarkEnd w:id="6"/>
    <w:p>
      <w:pPr>
        <w:jc w:val="both"/>
        <w:ind w:left="960" w:hanging="480"/>
        <w:spacing w:after="0" w:line="264" w:lineRule="auto"/>
        <w:tabs>
          <w:tab w:leader="none" w:pos="9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Empowering our customers to achieve their sustainability and carbon reduction objectives: </w:t>
      </w:r>
      <w:r>
        <w:rPr>
          <w:rFonts w:ascii="Times New Roman" w:cs="Times New Roman" w:eastAsia="Times New Roman" w:hAnsi="Times New Roman"/>
          <w:sz w:val="19"/>
          <w:szCs w:val="19"/>
          <w:color w:val="auto"/>
        </w:rPr>
        <w:t>We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well positioned to empower our customers to achieve their sustainability and carbon reduction goals, by, for example,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Vertical Integration of Business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combination of Biogas Conversion Projects and Fueling Stations, together with our dispensing, generation, and monetization of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transportation customers. The increasing adoption of RNG as a fuel for transportation use amongst our customers subsequently gives us more opportunities to secure additional gas rights for Biogas Conversion Projects.</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vertical integration also attracts low carbon intensity (“CI”) project developers that need partners to market and dispense their fuel to obtain Low Carbon Fuel Standard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 and Project Expertise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management team has decades of combined experience in the design, development, construction, maintenance, and operation of Biogas Conversion Projects and Fueling Stations that dispense RNG, as well as the monetization of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their day-to-day activities.</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 We apply our experience and knowledge to identify new sources of biogas.</w:t>
      </w:r>
    </w:p>
    <w:p>
      <w:pPr>
        <w:spacing w:after="0" w:line="156"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have a network of experienced and creditworthy EPC contractors to perform design, development, procurement and construction services under our supervision. Typically, our contracts for EPC services contain fixed price, date certain provisions and liquidated damages provisions, which greatly reduce the risks typically associated with construction projects.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Access to Development Opportunities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many relationships throughout the industry supply chain including technology and equipment providers, feedstock owners and RNG off-takers. We believe the strong reputation we have attained and our understanding of the various and complex requirements for generating and monetizing Environmental Attributes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8" w:right="1440" w:bottom="348" w:gutter="0" w:footer="0" w:header="0"/>
          <w:type w:val="continuous"/>
        </w:sectPr>
      </w:pPr>
    </w:p>
    <w:bookmarkStart w:id="7" w:name="page8"/>
    <w:bookmarkEnd w:id="7"/>
    <w:p>
      <w:pPr>
        <w:jc w:val="both"/>
        <w:spacing w:after="0" w:line="246" w:lineRule="auto"/>
        <w:rPr>
          <w:sz w:val="20"/>
          <w:szCs w:val="20"/>
          <w:color w:val="auto"/>
        </w:rPr>
      </w:pPr>
      <w:r>
        <w:rPr>
          <w:rFonts w:ascii="Times New Roman" w:cs="Times New Roman" w:eastAsia="Times New Roman" w:hAnsi="Times New Roman"/>
          <w:sz w:val="20"/>
          <w:szCs w:val="20"/>
          <w:color w:val="auto"/>
        </w:rPr>
        <w:t>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and referrals from existing partners. We actively seek to extend the term of our contracts at project sites and view our positive relationships with the owners and managers of host landfills and dairy farms as a contributing factor to our ability to extend contract terms as they come due.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Large and Diverse Project Portfolio</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 large, technologically optimized Biogas Conversion Project portfolio. Our ability to solve complex project development challenges and integrate such solutions across our entire project portfolio has supported the long-term successful partnerships we have with our Biogas Conversion Project hosts. Because we are able to meet the varying needs of our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EHS and Compliance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our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Nature of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Capture and Conversion Business</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w:t>
      </w:r>
    </w:p>
    <w:p>
      <w:pPr>
        <w:spacing w:after="0" w:line="2" w:lineRule="exact"/>
        <w:rPr>
          <w:sz w:val="20"/>
          <w:szCs w:val="20"/>
          <w:color w:val="auto"/>
        </w:rPr>
      </w:pPr>
    </w:p>
    <w:p>
      <w:pPr>
        <w:jc w:val="both"/>
        <w:spacing w:after="0" w:line="249" w:lineRule="auto"/>
        <w:tabs>
          <w:tab w:leader="none" w:pos="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power purchase agreements.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8" w:right="1440" w:bottom="348" w:gutter="0" w:footer="0" w:header="0"/>
          <w:type w:val="continuous"/>
        </w:sectPr>
      </w:pPr>
    </w:p>
    <w:bookmarkStart w:id="8" w:name="page9"/>
    <w:bookmarkEnd w:id="8"/>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current Biogas Conversion Projects generate RNG from landfill sites and dairy farms. We view the acquisition of new LFG, dairy farm, and other biogas waste projects as significant opportunities for us to expand our RNG business, complementing the ongoing conversion of certain of our existing Renewable Power plants to RNG production facilities. We believe our business is scalable and will continue to support growth through development and acquisitions.</w:t>
      </w:r>
    </w:p>
    <w:p>
      <w:pPr>
        <w:spacing w:after="0" w:line="172"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We differentiate ourselves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Dispensing and Monetization Business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w:t>
      </w:r>
    </w:p>
    <w:p>
      <w:pPr>
        <w:spacing w:after="0" w:line="15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2025, we dispensed 74 million gasoline gallon equivalent (“GGEs”) of RNG to the transportation market, generating corresponding Environmental Attributes, utilizing our current network of Fueling Stations across the United States.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Hydrogen Fuel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the coming years, we believe we will be able to provide hydrogen fuel to vehicle fleets by constructing and servicing hydrogen Fueling Stations as well as providing RNG for hydrogen production.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We Generate Revenue</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i w:val="1"/>
          <w:iCs w:val="1"/>
          <w:color w:val="auto"/>
        </w:rPr>
        <w:t xml:space="preserve">Overview. </w:t>
      </w:r>
      <w:r>
        <w:rPr>
          <w:rFonts w:ascii="Times New Roman" w:cs="Times New Roman" w:eastAsia="Times New Roman" w:hAnsi="Times New Roman"/>
          <w:sz w:val="19"/>
          <w:szCs w:val="19"/>
          <w:color w:val="auto"/>
        </w:rPr>
        <w:t>Our revenues are driven principally from the sale of Environmental Attributes that are generated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from dispensing RNG as transportation fuel for heavy and medium-duty trucking fleets at Fueling Stations. In addition, we generate revenue from (i) the sale of Renewable Power, (ii) design, development, construction and service of Fueling Stations, and (iii) sales of RNG produced by OPAL and third parties as pipeline quality natural gas.</w:t>
      </w:r>
    </w:p>
    <w:p>
      <w:pPr>
        <w:spacing w:after="0" w:line="15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Environmental Attributes. </w:t>
      </w:r>
      <w:r>
        <w:rPr>
          <w:rFonts w:ascii="Times New Roman" w:cs="Times New Roman" w:eastAsia="Times New Roman" w:hAnsi="Times New Roman"/>
          <w:sz w:val="20"/>
          <w:szCs w:val="20"/>
          <w:color w:val="auto"/>
        </w:rPr>
        <w:t>Currently, our Environmental Attributes revenue stream is primarily comprised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RINs, LCFS credits, ISCC Carbon Credits and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an LCFS credit may be generated as well. Lastly, LFG-to-Renewable Power projects can create Environmental Attributes, in the form of a REC, in certain states and can be bundled with electricity off-take or monetized separately. See “Biogas RNG Market Opportunity”.</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Power Purchase Agreements. </w:t>
      </w:r>
      <w:r>
        <w:rPr>
          <w:rFonts w:ascii="Times New Roman" w:cs="Times New Roman" w:eastAsia="Times New Roman" w:hAnsi="Times New Roman"/>
          <w:sz w:val="20"/>
          <w:szCs w:val="20"/>
          <w:color w:val="auto"/>
        </w:rPr>
        <w:t>Our Renewable Power projects have associated Power Purchase Agreements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Fueling Station Construction and Services. </w:t>
      </w:r>
      <w:r>
        <w:rPr>
          <w:rFonts w:ascii="Times New Roman" w:cs="Times New Roman" w:eastAsia="Times New Roman" w:hAnsi="Times New Roman"/>
          <w:sz w:val="20"/>
          <w:szCs w:val="20"/>
          <w:color w:val="auto"/>
        </w:rPr>
        <w:t>We have significant experience in the engineering, design,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construction and operation of Fueling Stations that dispense RNG. We use a combination of custom designed and off-the-shelf equipment to build these stations. We also perform in-house manufacturing of modularized portable CNG compressor packages for smaller dispensing stations, utilizing our patented technology that allows faster and easier station installations. These portable packages can include defueling panels that allow smaller fleet owners to avoid expensive maintenance shop upgrades. In addition, we also generate revenues by providing operations and maintenance services for customer stations; and by helping our customers obtain federal, state and local tax credits, grants and incentives.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8" w:right="1440" w:bottom="34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Biogas Conversion Projects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Typically, a Biogas Conversion Project includes two phases: (i) biogas collection, and (ii) processing and purifying biogas.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because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LFG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a process that separates carbon dioxide from the methane molecules. Further treatment of the biogas is often required to remove residual nitrogen and/or oxygen to meet pipeline specifications.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If a biogas capture and conversion project is not within close proximity to a pipeline, the RNG is transported by road using tube trailers to a gas injection point. This is referred to as a virtual pipeline.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Biogas RNG Market Opportunity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Biogas can be collected and processed to remove impurities for use as RNG (a form of high-Btu fuel) and can be injected into existing natural gas pipelines because it is fully interchangeable with fossil fuel-based natural gas. Partially treated biogas can be used directly in heating applications (as a form of medium-Btu fuel) or in the production of Renewable Power. Our current primary sources of biogas are landfills and dairy farms.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Landfill Gas Sources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41" w:right="1440" w:bottom="348" w:gutter="0" w:footer="0" w:header="0"/>
          <w:type w:val="continuous"/>
        </w:sectPr>
      </w:pPr>
    </w:p>
    <w:bookmarkStart w:id="10" w:name="page11"/>
    <w:bookmarkEnd w:id="10"/>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14 projects), all but one relates to landfills that are currently open and accepting more waste, which we believe provides a high degree of visibility into the long-term volumes of RNG capable of being generated at each of these projects.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Using proven biogas purification technology, biogas can be processed on-site to remove impurities, and used at around 50% methane to generate Renewable Power. Biogas can be further processed and upgraded to remove carbon dioxide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 and exported to international markets.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 of Livestock Sources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Livestock is the top agricultural source of GHG worldwide, according to the EPA. Livestock waste, particularly from dairies, produces methane that can be converted to RNG and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17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view dairy farms as a significant opportunity for us to expand our RNG business. Processing biogas from dairy farms requires similar expertise and capabilities as processing biogas from landfills.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Highly Fragmented Market</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LFG market is heavily fragmented, which we believe represents an opportunity for companies like us to find project opportunities. The top players in the industry account for the majority of installed LFG capacity. This market dynamic creates the opportunity for consolidation by well capitalized, experienced market participants such as OPAL.</w:t>
      </w:r>
    </w:p>
    <w:p>
      <w:pPr>
        <w:spacing w:after="0" w:line="15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While LFG has accounted for most of the growth in Biogas Conversion Projects to date, we believe additional economically viable LFG project opportunities exist. According to the EPA LMOP project database, as of July 2023, there were 532 LFG projects in operation in the United States, including 359 operating LFG-to-electricity projects that may be converted to produce RNG as well as 470 additional candidate landfills. Based on EPA data, these 470 candidate landfills have the potential to collect a combined 343 million standard cubic feet of LFG per day. Based on our industry experience, technical knowledge and analysis we believe many of these sites are potentially economically viable for RNG project acquisitions.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8" w:right="1440" w:bottom="348"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Well-Established Regulatory Framework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RINs are credits used by Obligated Parties for regulatory compliance as part of the RFS program. The RFS program is a federal law introduced in 2005 and updated in 2007 to incorporate renewable content into various transportation fuels. Through the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began in 2023.</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LCFS programs are attractive because LCFS credits can be additive to RINs. In California, the most established program, the LCFS program is administered by CARB, which sets annual CI standards. Fuel producers in the transportation fuel pool that have lower CI scores than the target established by the California Air Resources Board generate LCFS credits, and those with higher CI scores than the annual standard will generate deficits. A fuel producer with deficits must have enough LCFS credits through either generation or acquisitions to be in annual compliance with the annual standard. We are poised to take advantage of these LCFS programs because RNG from dairies has very low or negative CI, and therefore generates valuable credits in states with LCFS programs.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Currently, it is estimated that RNG production in the United States can only cover about 1.5% of the U.S. heavy-and medium-duty vehicles fuel market. RNG production is projected to increase by 2027, bringing the RNG industry share to as much as 2.5%. Although it is likely that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Economic Benefits Incentivize Switching to RNG</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Projects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2025, we owned and operated 27 projects, 12 of which are RNG projects and 15 of which are Renewable Power projects. As of that date, our RNG projects in operation had a design capacity of 9.1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as well as a portfolio of projects in development, with six of our current Renewable Power projects being considered candidates for conversion to RNG projects in the foreseeable future.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41" w:right="1440" w:bottom="348" w:gutter="0" w:footer="0" w:header="0"/>
          <w:type w:val="continuous"/>
        </w:sectPr>
      </w:pPr>
    </w:p>
    <w:bookmarkStart w:id="12" w:name="page13"/>
    <w:bookmarkEnd w:id="12"/>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RNG projects in operation and construction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5"/>
              </w:rPr>
              <w:t>OPAL’s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Share of</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Design Capacity</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(MMbtus</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Source of</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5"/>
              </w:rPr>
              <w:t>per year)</w:t>
            </w:r>
            <w:r>
              <w:rPr>
                <w:rFonts w:ascii="Times New Roman" w:cs="Times New Roman" w:eastAsia="Times New Roman" w:hAnsi="Times New Roman"/>
                <w:sz w:val="20"/>
                <w:szCs w:val="20"/>
                <w:b w:val="1"/>
                <w:bCs w:val="1"/>
                <w:color w:val="auto"/>
                <w:w w:val="95"/>
                <w:vertAlign w:val="superscript"/>
              </w:rPr>
              <w:t>(1)</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Biogas</w:t>
            </w:r>
          </w:p>
        </w:tc>
        <w:tc>
          <w:tcPr>
            <w:tcW w:w="180" w:type="dxa"/>
            <w:vAlign w:val="bottom"/>
          </w:tcPr>
          <w:p>
            <w:pPr>
              <w:spacing w:after="0"/>
              <w:rPr>
                <w:sz w:val="19"/>
                <w:szCs w:val="19"/>
                <w:color w:val="auto"/>
              </w:rPr>
            </w:pPr>
          </w:p>
        </w:tc>
        <w:tc>
          <w:tcPr>
            <w:tcW w:w="1260" w:type="dxa"/>
            <w:vAlign w:val="bottom"/>
            <w:tcBorders>
              <w:bottom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38"/>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Projects in Operation:</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Greentree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Imperial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1,061,712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9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Emerald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1,327,140</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Sapphire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796,284</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New River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19"/>
                <w:szCs w:val="19"/>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9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Noble Road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464,499</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Pine Bend</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424,685</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Biotown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43,750</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Sunoma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176,297</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Prince William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1,725,282</w:t>
            </w:r>
          </w:p>
        </w:tc>
        <w:tc>
          <w:tcPr>
            <w:tcW w:w="180" w:type="dxa"/>
            <w:vAlign w:val="bottom"/>
          </w:tcPr>
          <w:p>
            <w:pPr>
              <w:spacing w:after="0"/>
              <w:rPr>
                <w:sz w:val="19"/>
                <w:szCs w:val="19"/>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Polk County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1,060,000</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62"/>
        </w:trPr>
        <w:tc>
          <w:tcPr>
            <w:tcW w:w="510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Atlantic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331,785</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38"/>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9,136,716</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RNG Projects in Construction:</w:t>
            </w: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Hilltop</w:t>
            </w:r>
            <w:r>
              <w:rPr>
                <w:rFonts w:ascii="Times New Roman" w:cs="Times New Roman" w:eastAsia="Times New Roman" w:hAnsi="Times New Roman"/>
                <w:sz w:val="23"/>
                <w:szCs w:val="23"/>
                <w:color w:val="auto"/>
                <w:vertAlign w:val="superscript"/>
              </w:rPr>
              <w:t>(4),(6)</w:t>
            </w:r>
            <w:r>
              <w:rPr>
                <w:rFonts w:ascii="Times New Roman" w:cs="Times New Roman" w:eastAsia="Times New Roman" w:hAnsi="Times New Roman"/>
                <w:sz w:val="20"/>
                <w:szCs w:val="20"/>
                <w:color w:val="auto"/>
              </w:rPr>
              <w:t xml:space="preserve">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Dairy</w:t>
            </w:r>
          </w:p>
        </w:tc>
        <w:tc>
          <w:tcPr>
            <w:tcW w:w="144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Vander Schaaf</w:t>
            </w:r>
            <w:r>
              <w:rPr>
                <w:rFonts w:ascii="Times New Roman" w:cs="Times New Roman" w:eastAsia="Times New Roman" w:hAnsi="Times New Roman"/>
                <w:sz w:val="23"/>
                <w:szCs w:val="23"/>
                <w:color w:val="auto"/>
                <w:vertAlign w:val="superscript"/>
              </w:rPr>
              <w:t>(4),(6)</w:t>
            </w:r>
            <w:r>
              <w:rPr>
                <w:rFonts w:ascii="Times New Roman" w:cs="Times New Roman" w:eastAsia="Times New Roman" w:hAnsi="Times New Roman"/>
                <w:sz w:val="20"/>
                <w:szCs w:val="20"/>
                <w:color w:val="auto"/>
              </w:rPr>
              <w:t xml:space="preserve">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255,500</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Dairy</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w w:val="99"/>
              </w:rPr>
              <w:t>Burlington</w:t>
            </w:r>
            <w:r>
              <w:rPr>
                <w:rFonts w:ascii="Times New Roman" w:cs="Times New Roman" w:eastAsia="Times New Roman" w:hAnsi="Times New Roman"/>
                <w:sz w:val="23"/>
                <w:szCs w:val="23"/>
                <w:color w:val="auto"/>
                <w:w w:val="99"/>
                <w:vertAlign w:val="superscript"/>
              </w:rPr>
              <w:t>(2),(5),(6)</w:t>
            </w:r>
            <w:r>
              <w:rPr>
                <w:rFonts w:ascii="Times New Roman" w:cs="Times New Roman" w:eastAsia="Times New Roman" w:hAnsi="Times New Roman"/>
                <w:sz w:val="20"/>
                <w:szCs w:val="20"/>
                <w:color w:val="auto"/>
                <w:w w:val="99"/>
              </w:rPr>
              <w:t xml:space="preserve">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459,900</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60"/>
        </w:trPr>
        <w:tc>
          <w:tcPr>
            <w:tcW w:w="51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w w:val="99"/>
              </w:rPr>
              <w:t>Cottonwood</w:t>
            </w:r>
            <w:r>
              <w:rPr>
                <w:rFonts w:ascii="Times New Roman" w:cs="Times New Roman" w:eastAsia="Times New Roman" w:hAnsi="Times New Roman"/>
                <w:sz w:val="23"/>
                <w:szCs w:val="23"/>
                <w:color w:val="auto"/>
                <w:w w:val="99"/>
                <w:vertAlign w:val="superscript"/>
              </w:rPr>
              <w:t>(5),(6)</w:t>
            </w:r>
            <w:r>
              <w:rPr>
                <w:rFonts w:ascii="Times New Roman" w:cs="Times New Roman" w:eastAsia="Times New Roman" w:hAnsi="Times New Roman"/>
                <w:sz w:val="20"/>
                <w:szCs w:val="20"/>
                <w:color w:val="auto"/>
                <w:w w:val="99"/>
              </w:rPr>
              <w:t xml:space="preserve">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664,884</w:t>
            </w:r>
          </w:p>
        </w:tc>
        <w:tc>
          <w:tcPr>
            <w:tcW w:w="180" w:type="dxa"/>
            <w:vAlign w:val="bottom"/>
          </w:tcPr>
          <w:p>
            <w:pPr>
              <w:spacing w:after="0"/>
              <w:rPr>
                <w:sz w:val="22"/>
                <w:szCs w:val="22"/>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25"/>
        </w:trPr>
        <w:tc>
          <w:tcPr>
            <w:tcW w:w="510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w w:val="99"/>
              </w:rPr>
              <w:t>Kirby Canyon</w:t>
            </w:r>
            <w:r>
              <w:rPr>
                <w:rFonts w:ascii="Times New Roman" w:cs="Times New Roman" w:eastAsia="Times New Roman" w:hAnsi="Times New Roman"/>
                <w:sz w:val="23"/>
                <w:szCs w:val="23"/>
                <w:color w:val="auto"/>
                <w:w w:val="99"/>
                <w:vertAlign w:val="superscript"/>
              </w:rPr>
              <w:t>(5),(6)</w:t>
            </w:r>
            <w:r>
              <w:rPr>
                <w:rFonts w:ascii="Times New Roman" w:cs="Times New Roman" w:eastAsia="Times New Roman" w:hAnsi="Times New Roman"/>
                <w:sz w:val="20"/>
                <w:szCs w:val="20"/>
                <w:color w:val="auto"/>
                <w:w w:val="99"/>
              </w:rPr>
              <w:t xml:space="preserve">  . . . . . . . . . . . . . . . . . . . . . . . . . . . . . . . . . . .</w:t>
            </w: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663,570</w:t>
            </w:r>
          </w:p>
        </w:tc>
        <w:tc>
          <w:tcPr>
            <w:tcW w:w="180" w:type="dxa"/>
            <w:vAlign w:val="bottom"/>
          </w:tcPr>
          <w:p>
            <w:pPr>
              <w:spacing w:after="0"/>
              <w:rPr>
                <w:sz w:val="19"/>
                <w:szCs w:val="19"/>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LFG</w:t>
            </w:r>
          </w:p>
        </w:tc>
        <w:tc>
          <w:tcPr>
            <w:tcW w:w="1440" w:type="dxa"/>
            <w:vAlign w:val="bottom"/>
            <w:gridSpan w:val="2"/>
          </w:tcPr>
          <w:p>
            <w:pPr>
              <w:jc w:val="center"/>
              <w:ind w:left="200"/>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39"/>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2,299,354</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3569970</wp:posOffset>
                </wp:positionH>
                <wp:positionV relativeFrom="paragraph">
                  <wp:posOffset>-3905885</wp:posOffset>
                </wp:positionV>
                <wp:extent cx="285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 cy="4763"/>
                        </a:xfrm>
                        <a:prstGeom prst="line">
                          <a:avLst/>
                        </a:prstGeom>
                        <a:solidFill>
                          <a:srgbClr val="FFFFFF"/>
                        </a:solidFill>
                        <a:ln w="571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1pt,-307.5499pt" to="283.35pt,-307.5499pt" o:allowincell="f" strokecolor="#000000" strokeweight="0.45pt"/>
            </w:pict>
          </mc:Fallback>
        </mc:AlternateContent>
      </w:r>
    </w:p>
    <w:p>
      <w:pPr>
        <w:spacing w:after="0" w:line="63" w:lineRule="exact"/>
        <w:rPr>
          <w:sz w:val="20"/>
          <w:szCs w:val="20"/>
          <w:color w:val="auto"/>
        </w:rPr>
      </w:pPr>
    </w:p>
    <w:p>
      <w:pPr>
        <w:jc w:val="both"/>
        <w:ind w:left="480" w:hanging="480"/>
        <w:spacing w:after="0" w:line="252"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ownership interests in these projects as equity method investments in our consolidated financial statements.</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see Part I, Item 3: Legal Proceedings and </w:t>
      </w:r>
      <w:r>
        <w:rPr>
          <w:rFonts w:ascii="Times New Roman" w:cs="Times New Roman" w:eastAsia="Times New Roman" w:hAnsi="Times New Roman"/>
          <w:sz w:val="18"/>
          <w:szCs w:val="18"/>
          <w:i w:val="1"/>
          <w:iCs w:val="1"/>
          <w:color w:val="auto"/>
        </w:rPr>
        <w:t>Note 15. Commitments and Contingencies.</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the Cottonwood, Burlington and Kirby Canyon projects began in the second, third and fourth quarters of 2024, respectively.</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42" w:right="1440" w:bottom="348"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Renewable Power Projects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Below is a table setting forth the Renewable Power projects in operation in our portfolio:</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Nameplate</w:t>
            </w: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 RNG</w:t>
            </w:r>
          </w:p>
        </w:tc>
      </w:tr>
      <w:tr>
        <w:trPr>
          <w:trHeight w:val="200"/>
        </w:trPr>
        <w:tc>
          <w:tcPr>
            <w:tcW w:w="654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capacity (MW</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conversion</w:t>
            </w:r>
          </w:p>
        </w:tc>
      </w:tr>
      <w:tr>
        <w:trPr>
          <w:trHeight w:val="219"/>
        </w:trPr>
        <w:tc>
          <w:tcPr>
            <w:tcW w:w="654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6"/>
              </w:rPr>
              <w:t>per hour)</w:t>
            </w:r>
            <w:r>
              <w:rPr>
                <w:rFonts w:ascii="Times New Roman" w:cs="Times New Roman" w:eastAsia="Times New Roman" w:hAnsi="Times New Roman"/>
                <w:sz w:val="20"/>
                <w:szCs w:val="20"/>
                <w:b w:val="1"/>
                <w:bCs w:val="1"/>
                <w:color w:val="auto"/>
                <w:w w:val="96"/>
                <w:vertAlign w:val="superscript"/>
              </w:rPr>
              <w:t>(1)</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8"/>
                <w:szCs w:val="18"/>
                <w:b w:val="1"/>
                <w:bCs w:val="1"/>
                <w:color w:val="auto"/>
                <w:w w:val="94"/>
              </w:rPr>
              <w:t>candidate</w:t>
            </w:r>
            <w:r>
              <w:rPr>
                <w:rFonts w:ascii="Times New Roman" w:cs="Times New Roman" w:eastAsia="Times New Roman" w:hAnsi="Times New Roman"/>
                <w:sz w:val="20"/>
                <w:szCs w:val="20"/>
                <w:b w:val="1"/>
                <w:bCs w:val="1"/>
                <w:color w:val="auto"/>
                <w:w w:val="94"/>
                <w:vertAlign w:val="superscript"/>
              </w:rPr>
              <w:t>(2)</w:t>
            </w:r>
          </w:p>
        </w:tc>
      </w:t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operation:</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Sycamore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Lopez . .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Miramar Energy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San Marcos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Santa Cruz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San Diego – Miramar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West Covina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Port Charlotte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Taunton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Arbor Hills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18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N/A</w:t>
            </w:r>
          </w:p>
        </w:tc>
      </w:tr>
      <w:tr>
        <w:trPr>
          <w:trHeight w:val="223"/>
        </w:trPr>
        <w:tc>
          <w:tcPr>
            <w:tcW w:w="65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C&amp;C . . . . . . . . . . . . . . . . . .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19"/>
                <w:szCs w:val="19"/>
                <w:color w:val="auto"/>
              </w:rPr>
            </w:pPr>
          </w:p>
        </w:tc>
        <w:tc>
          <w:tcPr>
            <w:tcW w:w="12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Albany .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Concord and CMS.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Pioneer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Richmond (previously “Old Dominion”)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Yes</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Renewable Power projects in construction:</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Fall River</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jc w:val="both"/>
        <w:ind w:left="480" w:hanging="480"/>
        <w:spacing w:after="0" w:line="250"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70" w:lineRule="auto"/>
        <w:tabs>
          <w:tab w:leader="none" w:pos="4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ind w:left="480" w:hanging="480"/>
        <w:spacing w:after="0" w:line="245"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RNG conversion is completed, it is currently contemplated that the Arbor Hills Renewable Power plant will continue limited operations on a stand-by, emergency basis through March of 2031.</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Fall River project has been delayed due to permitting issues.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producers in the country, we are well-positioned to continue to operate and grow our portfolio and respond to competitive pressures. We have demonstrated a track record of strategic flexibility over our greater than 20-year history which has allowed us to pivot towards projects and markets that we believe deliver optimal returns and stockholder value in response to changes in market, regulatory and competitive pressures.</w:t>
      </w:r>
    </w:p>
    <w:p>
      <w:pPr>
        <w:spacing w:after="0" w:line="174"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biogas market is highly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w:t>
      </w:r>
    </w:p>
    <w:p>
      <w:pPr>
        <w:sectPr>
          <w:pgSz w:w="12240" w:h="15840" w:orient="portrait"/>
          <w:cols w:equalWidth="0" w:num="1">
            <w:col w:w="9360"/>
          </w:cols>
          <w:pgMar w:left="1440" w:top="942" w:right="1440" w:bottom="348"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42" w:right="1440" w:bottom="348" w:gutter="0" w:footer="0" w:header="0"/>
          <w:type w:val="continuous"/>
        </w:sectPr>
      </w:pPr>
    </w:p>
    <w:bookmarkStart w:id="14" w:name="page15"/>
    <w:bookmarkEnd w:id="14"/>
    <w:p>
      <w:pPr>
        <w:jc w:val="both"/>
        <w:spacing w:after="0" w:line="264" w:lineRule="auto"/>
        <w:rPr>
          <w:sz w:val="20"/>
          <w:szCs w:val="20"/>
          <w:color w:val="auto"/>
        </w:rPr>
      </w:pPr>
      <w:r>
        <w:rPr>
          <w:rFonts w:ascii="Times New Roman" w:cs="Times New Roman" w:eastAsia="Times New Roman" w:hAnsi="Times New Roman"/>
          <w:sz w:val="19"/>
          <w:szCs w:val="19"/>
          <w:color w:val="auto"/>
        </w:rPr>
        <w:t>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Governmental Regulation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RNG projects are subject to federal RFS program regulations, including the Energy Policy Act of 2005 (the “</w:t>
      </w:r>
      <w:r>
        <w:rPr>
          <w:rFonts w:ascii="Times New Roman" w:cs="Times New Roman" w:eastAsia="Times New Roman" w:hAnsi="Times New Roman"/>
          <w:sz w:val="19"/>
          <w:szCs w:val="19"/>
          <w:i w:val="1"/>
          <w:iCs w:val="1"/>
          <w:color w:val="auto"/>
        </w:rPr>
        <w:t>EPACT 2005</w:t>
      </w:r>
      <w:r>
        <w:rPr>
          <w:rFonts w:ascii="Times New Roman" w:cs="Times New Roman" w:eastAsia="Times New Roman" w:hAnsi="Times New Roman"/>
          <w:sz w:val="19"/>
          <w:szCs w:val="19"/>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RNG projects are also subject to state renewable fuel standard regulations. By way of example, the LCFS program in California required producers of petroleum-based fuels to reduce the CI of their products by at least 10% by 2020 and requires a reduction of at least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 for LCFS credits in California.</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EPA under the Clean Air Act (the “CAA”) regulates emissions of pollutants to protect the environment and public health. The CAA contains provisions for New Source Review (the “NSR”)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48" w:right="1440" w:bottom="348" w:gutter="0" w:footer="0" w:header="0"/>
          <w:type w:val="continuous"/>
        </w:sectPr>
      </w:pPr>
    </w:p>
    <w:bookmarkStart w:id="15" w:name="page16"/>
    <w:bookmarkEnd w:id="15"/>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Before an RNG project can be developed, all the Resource Conservation and Recovery (th</w:t>
      </w:r>
      <w:r>
        <w:rPr>
          <w:rFonts w:ascii="Times New Roman" w:cs="Times New Roman" w:eastAsia="Times New Roman" w:hAnsi="Times New Roman"/>
          <w:sz w:val="20"/>
          <w:szCs w:val="20"/>
          <w:i w:val="1"/>
          <w:iCs w:val="1"/>
          <w:color w:val="auto"/>
        </w:rPr>
        <w:t>e “</w:t>
      </w:r>
      <w:r>
        <w:rPr>
          <w:rFonts w:ascii="Times New Roman" w:cs="Times New Roman" w:eastAsia="Times New Roman" w:hAnsi="Times New Roman"/>
          <w:sz w:val="20"/>
          <w:szCs w:val="20"/>
          <w:color w:val="auto"/>
        </w:rPr>
        <w:t>RCRA</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FERC</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Qualifying Facilities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Public Utility Regulatory Policies Act established a class of generating facilities that would receive special rate and regulatory treatment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w:t>
      </w:r>
    </w:p>
    <w:p>
      <w:pPr>
        <w:sectPr>
          <w:pgSz w:w="12240" w:h="15840" w:orient="portrait"/>
          <w:cols w:equalWidth="0" w:num="1">
            <w:col w:w="9360"/>
          </w:cols>
          <w:pgMar w:left="1440" w:top="948" w:right="1440" w:bottom="348"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48" w:right="1440" w:bottom="348" w:gutter="0" w:footer="0" w:header="0"/>
          <w:type w:val="continuous"/>
        </w:sectPr>
      </w:pPr>
    </w:p>
    <w:bookmarkStart w:id="16" w:name="page17"/>
    <w:bookmarkEnd w:id="16"/>
    <w:p>
      <w:pPr>
        <w:jc w:val="both"/>
        <w:spacing w:after="0" w:line="248" w:lineRule="auto"/>
        <w:rPr>
          <w:sz w:val="20"/>
          <w:szCs w:val="20"/>
          <w:color w:val="auto"/>
        </w:rPr>
      </w:pPr>
      <w:r>
        <w:rPr>
          <w:rFonts w:ascii="Times New Roman" w:cs="Times New Roman" w:eastAsia="Times New Roman" w:hAnsi="Times New Roman"/>
          <w:sz w:val="20"/>
          <w:szCs w:val="20"/>
          <w:color w:val="auto"/>
        </w:rPr>
        <w:t>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State Utility Regulation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Production and Sale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Regulations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48" w:right="1440" w:bottom="348" w:gutter="0" w:footer="0" w:header="0"/>
          <w:type w:val="continuous"/>
        </w:sectPr>
      </w:pPr>
    </w:p>
    <w:bookmarkStart w:id="17" w:name="page18"/>
    <w:bookmarkEnd w:id="17"/>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Production Tax Credits (“PTCs”). We view the enactment of the IRA as favorable for the overall business climate for the renewable energy industry. However, there is uncertainty related to the applicability of the IRA to our current and planned projects and the scope of the IRA and its interpretations under the new U.S. administration or if government agencies’ authority to interpret federal law is restricted as a result of the Supreme Court’s review of the Chevron doctrine under which federal government agencies have been awarded broad authority to interpret broad or ambiguous legislation. We may also continue to experience a delay in our sales cycles and new award activity as our customers consider the applicability of the IRA and as financing projects may take longer as result of this uncertainty. The IRA may increase the competition in our industry and as such increase the demand and cost for labor, equipment and commodities needed for our projects. Similarly, recent presidential executive orders directing the review and potential termination of funds appropriated through the IRA are also creating uncertainty of whether these financial incentives could be reduced or repealed in the future.</w:t>
      </w:r>
    </w:p>
    <w:p>
      <w:pPr>
        <w:spacing w:after="0" w:line="18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believe our operations comply in all material respects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corporate headquarters are located in White Plains, New York, where we occupy approximately 13,600 square feet of shared office space with Fortistar pursuant to an Administrative Services Agreement. We believe this office space is adequate for our needs for the immediate future and that, should it be necessary, we can lease additional space to accommodate any future growth.</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services office and maintenance facility is located in Oronoco, Minnesota, where we own and occupy a 20,000 square foot building of combined office space, maintenance shop and loading dock located on 3.25 acres. The building was acquired in September 2018 and is adequate for our needs for the immediate future. Should it be necessary, we believe we can expand the building to accommodate future growth.</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construction office and maintenance facility is located in Rancho Cucamonga, California, where we occupy approximately 29,935 square feet of combined office space, maintenance shop and loading dock. In March 2022, we entered into an amendment to the lease which extended the lease term to January 2026. We believe the space that we currently lease is adequate for our needs for the immediate future but we may seek additional space to accommodate future growth, which we believe will be available to us on satisfactory terms.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2025, we employed 331 individuals, consisting of 330 full-time employees and one part-time employee. Substantially all of our employees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48" w:right="1440" w:bottom="348"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i w:val="1"/>
          <w:iCs w:val="1"/>
          <w:color w:val="auto"/>
        </w:rPr>
        <w:t>Our values</w:t>
      </w:r>
    </w:p>
    <w:p>
      <w:pPr>
        <w:spacing w:after="0" w:line="170" w:lineRule="exact"/>
        <w:rPr>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SAFETY — </w:t>
      </w:r>
      <w:r>
        <w:rPr>
          <w:rFonts w:ascii="Times New Roman" w:cs="Times New Roman" w:eastAsia="Times New Roman" w:hAnsi="Times New Roman"/>
          <w:sz w:val="20"/>
          <w:szCs w:val="20"/>
          <w:color w:val="auto"/>
        </w:rPr>
        <w:t>Passion for safety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INTEGRITY </w:t>
      </w:r>
      <w:r>
        <w:rPr>
          <w:rFonts w:ascii="Times New Roman" w:cs="Times New Roman" w:eastAsia="Times New Roman" w:hAnsi="Times New Roman"/>
          <w:sz w:val="20"/>
          <w:szCs w:val="20"/>
          <w:color w:val="auto"/>
        </w:rPr>
        <w:t>— Straightforward, open and honest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RELATIONSHIPS </w:t>
      </w:r>
      <w:r>
        <w:rPr>
          <w:rFonts w:ascii="Times New Roman" w:cs="Times New Roman" w:eastAsia="Times New Roman" w:hAnsi="Times New Roman"/>
          <w:sz w:val="20"/>
          <w:szCs w:val="20"/>
          <w:color w:val="auto"/>
        </w:rPr>
        <w:t>— Engaging all stakeholders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EXCELLENCE </w:t>
      </w:r>
      <w:r>
        <w:rPr>
          <w:rFonts w:ascii="Times New Roman" w:cs="Times New Roman" w:eastAsia="Times New Roman" w:hAnsi="Times New Roman"/>
          <w:sz w:val="20"/>
          <w:szCs w:val="20"/>
          <w:color w:val="auto"/>
        </w:rPr>
        <w:t>— Quality and creativity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Talent management and leadership</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Human rights, health and safety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accidents occur. We continuously strive to provide a secure working environment for both our office-based and field operations personnel.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Our website can be found at </w:t>
      </w:r>
      <w:r>
        <w:rPr>
          <w:rFonts w:ascii="Times New Roman" w:cs="Times New Roman" w:eastAsia="Times New Roman" w:hAnsi="Times New Roman"/>
          <w:sz w:val="20"/>
          <w:szCs w:val="20"/>
          <w:i w:val="1"/>
          <w:iCs w:val="1"/>
          <w:color w:val="auto"/>
        </w:rPr>
        <w:t>www.opalfuels.com</w:t>
      </w:r>
      <w:r>
        <w:rPr>
          <w:rFonts w:ascii="Times New Roman" w:cs="Times New Roman" w:eastAsia="Times New Roman" w:hAnsi="Times New Roman"/>
          <w:sz w:val="20"/>
          <w:szCs w:val="20"/>
          <w:color w:val="auto"/>
        </w:rPr>
        <w:t xml:space="preserve">. We make available, free of charge through our website, our Annual Report on Form 10-K, Quarterly Reports on Form 10-Q, Current Reports on Form 8-K, our proxy statement, our registration statements and Forms 3, 4 and 5 filed on behalf of directors and executive officers, and amendments to these reports, as soon as reasonably practicable after we electronically file such material with, or furnish such material to, the SEC. We are not including the information contained on our website or any other website as a part of, or incorporating it by reference into, this Annual Report on Form 10-K or any other filing we make with the SEC. The filings are also available through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Our Board of Directors (the “Board”) has documented its governance practices by adopting several corporate governance policies. These governance policies, including our Corporate Governance Guidelines and Code of Business Conduct and Ethics, as well as the charter for the Audit Committee of the Board may also be viewed on our website. Copies of such documents will be provided to stockholders without charge upon written request to the corporate secretary at the address shown on the cover page of this Annual Report on Form 10-K.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are definitions of terms used in this Form 10-K.</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“ArcLight” refers to ArcLight Clean Transition Corp. II, a blank check company incorporated as a Cayman Islands exempt company, and our previous name prior to the closing of the Business Combination.</w:t>
      </w:r>
    </w:p>
    <w:p>
      <w:pPr>
        <w:spacing w:after="0" w:line="17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i w:val="1"/>
          <w:iCs w:val="1"/>
          <w:color w:val="auto"/>
        </w:rPr>
        <w:t>“Business Combination” refers to the transactions contemplated by the Business Combination Agreement dated as of December 2, 2021 (as the same has been or may be amended, modified, supplemented or waived from time to time), by and among ArcLight, OPAL Fuels and OPAL Holdco.</w:t>
      </w:r>
    </w:p>
    <w:p>
      <w:pPr>
        <w:spacing w:after="0" w:line="176"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“Central Valley” refers to the consolidated variable interest entity of Central Valley RNG Holdings LLC and its subsidiaries.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A common stock” refers to the shares of Class A common stock, par value $0.0001 per share, of OPAL.</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B common stock” refers to the shares of Class B common stock, par value $0.0001 per share, of OPAL.</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“Class C common stock” refers to the shares of Class C common stock, par value $0.0001 per share, of OPAL.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41" w:right="1440" w:bottom="348" w:gutter="0" w:footer="0" w:header="0"/>
          <w:type w:val="continuous"/>
        </w:sectPr>
      </w:pPr>
    </w:p>
    <w:bookmarkStart w:id="19" w:name="page20"/>
    <w:bookmarkEnd w:id="19"/>
    <w:p>
      <w:pPr>
        <w:ind w:left="480"/>
        <w:spacing w:after="0"/>
        <w:rPr>
          <w:sz w:val="20"/>
          <w:szCs w:val="20"/>
          <w:color w:val="auto"/>
        </w:rPr>
      </w:pPr>
      <w:r>
        <w:rPr>
          <w:rFonts w:ascii="Times New Roman" w:cs="Times New Roman" w:eastAsia="Times New Roman" w:hAnsi="Times New Roman"/>
          <w:sz w:val="19"/>
          <w:szCs w:val="19"/>
          <w:i w:val="1"/>
          <w:iCs w:val="1"/>
          <w:color w:val="auto"/>
        </w:rPr>
        <w:t>“Class D common stock” refers to the shares of Class D common stock, par value $0.0001 per share, of OPAL.</w:t>
      </w:r>
    </w:p>
    <w:p>
      <w:pPr>
        <w:spacing w:after="0" w:line="182"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i w:val="1"/>
          <w:iCs w:val="1"/>
          <w:color w:val="auto"/>
        </w:rPr>
        <w:t>“CMS” refers to CMS RNG LLC, a consolidated variable interest entity formed on May 9, 2025 as a joint venture to develop, construct, own, and operate a renewable natural gas facility. The Company holds a 70% membership interest in CMS, with the remaining 30% owned by a third-party partner.</w:t>
      </w:r>
    </w:p>
    <w:p>
      <w:pPr>
        <w:spacing w:after="0" w:line="176"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“Company”, “we”, “our”, “us” or similar terms refers to OPAL Fuels Inc. individually or on a consolidated basis, as the context may require.</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“Exchange Act” refers to the Securities Exchange Act of 1934, as amended.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“FASB” refers to the Financial Accounting Standards Board.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“Fortistar” refers to Fortistar LLC, a Delaware limited liability company.</w:t>
      </w:r>
    </w:p>
    <w:p>
      <w:pPr>
        <w:spacing w:after="0" w:line="17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7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“Hillman” refers to Hillman RNG Investments, LLC, a Delaware limited liability company and an affiliate of Fortistar.</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Investment Company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refers to the Investment Company Act of 1940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as amended.</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“OPAL Intermediate Holdco” refers to OPAL Fuels Intermediate Holding Company LLC an indirect wholly owned subsidiary of the Company.</w:t>
      </w:r>
    </w:p>
    <w:p>
      <w:pPr>
        <w:spacing w:after="0" w:line="178"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“OPAL Term Loan” refers to the term loan agreement entered into on October 22, 2021, by OPAL Intermediate Holdco with a syndicate of lenders.</w:t>
      </w:r>
    </w:p>
    <w:p>
      <w:pPr>
        <w:spacing w:after="0" w:line="17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i w:val="1"/>
          <w:iCs w:val="1"/>
          <w:color w:val="auto"/>
        </w:rPr>
        <w:t>“Paragon Loan” refers to the senior secured delayed-draw term loan and related revolving loan facilities governed by the Amended and Restated Credit Agreement, under which Paragon RNG LLC, the Company’s joint venture, is the borrower and certain of its subsidiaries are guarantors.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“PTC” and “45z” refers to Production Tax Credits.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“Sarbanes-Oxley Act” refers to the Sarbanes-Oxley Act of 2002.</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“Securities Act” refers to the Securities Act of 1933, as amended.</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“Sunoma” refers to Sunoma Holdings LLC and its wholly-owned subsidiary, Sunoma Renewable Biofuel LLC, which together are owned 90% by OPAL Fuels Inc. and 10% by Paloma Dairy LLC.</w:t>
      </w:r>
    </w:p>
    <w:p>
      <w:pPr>
        <w:spacing w:after="0" w:line="178"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“Sunoma Loan” refers to the debt agreement entered into on August 27, 2020 by Sunoma Renewable Biofuel LLC, an indirect wholly-owned subsidiary of the Company, with Live Oak Banking Company.</w:t>
      </w:r>
    </w:p>
    <w:p>
      <w:pPr>
        <w:spacing w:after="0" w:line="178"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i w:val="1"/>
          <w:iCs w:val="1"/>
          <w:color w:val="auto"/>
        </w:rPr>
        <w:t>“Tax Receivable Agreement” refers to the Tax Receivable Agreement, dated July 21, 2022, by and among OPAL Fuels Inc, Opal Holdco LLC and the Parties named therein as included in Exhibit 10.6 to the Current Report on Form 8-K, filed with the SEC on July 27, 2022, as the same may be amended, modified, supplemented or waived from time to time in accordance with its terms.</w:t>
      </w:r>
    </w:p>
    <w:p>
      <w:pPr>
        <w:sectPr>
          <w:pgSz w:w="12240" w:h="15840" w:orient="portrait"/>
          <w:cols w:equalWidth="0" w:num="1">
            <w:col w:w="9360"/>
          </w:cols>
          <w:pgMar w:left="1440" w:top="950"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950" w:right="1440" w:bottom="348" w:gutter="0" w:footer="0" w:header="0"/>
          <w:type w:val="continuous"/>
        </w:sectPr>
      </w:pPr>
    </w:p>
    <w:bookmarkStart w:id="20" w:name="page21"/>
    <w:bookmarkEnd w:id="20"/>
    <w:p>
      <w:pPr>
        <w:ind w:left="480"/>
        <w:spacing w:after="0"/>
        <w:rPr>
          <w:sz w:val="20"/>
          <w:szCs w:val="20"/>
          <w:color w:val="auto"/>
        </w:rPr>
      </w:pPr>
      <w:r>
        <w:rPr>
          <w:rFonts w:ascii="Times New Roman" w:cs="Times New Roman" w:eastAsia="Times New Roman" w:hAnsi="Times New Roman"/>
          <w:sz w:val="20"/>
          <w:szCs w:val="20"/>
          <w:color w:val="auto"/>
        </w:rPr>
        <w:t>In addition, the following is a glossary of key industry terms used herein: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“AAA” refers to the American Arbitration Association.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“ATM” refers to At Market Issuance Sales Agreement.</w:t>
      </w:r>
    </w:p>
    <w:p>
      <w:pPr>
        <w:spacing w:after="0" w:line="17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“Btu” refers to British thermal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“CI” refers to carbon intensity.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“CNG” refers to compressed natural gas.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“D3” refers to cellulosic biofuel with a 60% GHG reduction requirement.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“EHS” refers to environment, health and safety.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“EISA” refers to the Energy Independence and Security Act of 2007.</w:t>
      </w:r>
    </w:p>
    <w:p>
      <w:pPr>
        <w:spacing w:after="0" w:line="179"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“EPA” refers to the U.S. Environmental Protection Agency.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“EPACT 2005” refers to the Energy Policy Act of 2005.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“FERC” refers to the U.S. Federal Energy Regulatory Commission.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“GHG” refers to greenhouse gases.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“IRA” refers to the Inflation Reduction Act of 2022.</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“ISCC Carbon Credits” refers to Environmental Attributes associated with renewable biomethane.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“ISOs” refers to independent system operators.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“ITC” refers to Investment Tax Credit.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“LCFS” refers to Low Carbon Fuel Standard or similar types of federal and state programs.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“LFG” refers to landfill gas.</w:t>
      </w:r>
    </w:p>
    <w:p>
      <w:pPr>
        <w:spacing w:after="0" w:line="17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“Obligated Parties” means refiners or importers of gasoline or diesel fuel under the RFS program.</w:t>
      </w:r>
    </w:p>
    <w:p>
      <w:pPr>
        <w:spacing w:after="0" w:line="179"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20"/>
          <w:szCs w:val="20"/>
          <w:i w:val="1"/>
          <w:iCs w:val="1"/>
          <w:color w:val="auto"/>
        </w:rPr>
        <w:t>“QFs” refers to qualifying small power production facilities under the Federal Power Act and the Public Utility Regulatory Policies Act of 1978, as amended</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“RECs” refers to renewable energy credits.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“Renewable Power” refers to electricity generated from renewable sources.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“RFS” refers to the EPA’s Renewable Fuel Standard.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“RINs” refers to Renewable Identification Numbers.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“RNG” refers to renewable natural gas.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1" w:right="1440" w:bottom="348" w:gutter="0" w:footer="0" w:header="0"/>
          <w:type w:val="continuous"/>
        </w:sectPr>
      </w:pPr>
    </w:p>
    <w:bookmarkStart w:id="21" w:name="page22"/>
    <w:bookmarkEnd w:id="21"/>
    <w:p>
      <w:pPr>
        <w:ind w:left="480"/>
        <w:spacing w:after="0"/>
        <w:rPr>
          <w:sz w:val="20"/>
          <w:szCs w:val="20"/>
          <w:color w:val="auto"/>
        </w:rPr>
      </w:pPr>
      <w:r>
        <w:rPr>
          <w:rFonts w:ascii="Times New Roman" w:cs="Times New Roman" w:eastAsia="Times New Roman" w:hAnsi="Times New Roman"/>
          <w:sz w:val="20"/>
          <w:szCs w:val="20"/>
          <w:i w:val="1"/>
          <w:iCs w:val="1"/>
          <w:color w:val="auto"/>
        </w:rPr>
        <w:t>“ROU” refers to a Right-of-Use asset representing a lessee’s rights to use a leased item.</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“RPS” refers to Renewable Portfolio Standards.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“RTOs” refers to regional transmission organizations.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“RVOs” refers to renewable volume obligations.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“VIEs” refers to variable interest entities.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i w:val="1"/>
          <w:iCs w:val="1"/>
          <w:color w:val="auto"/>
        </w:rPr>
        <w:t>Item 1A.</w:t>
      </w:r>
      <w:r>
        <w:rPr>
          <w:sz w:val="20"/>
          <w:szCs w:val="20"/>
          <w:color w:val="auto"/>
        </w:rPr>
        <w:tab/>
      </w:r>
      <w:r>
        <w:rPr>
          <w:rFonts w:ascii="Times New Roman" w:cs="Times New Roman" w:eastAsia="Times New Roman" w:hAnsi="Times New Roman"/>
          <w:sz w:val="19"/>
          <w:szCs w:val="19"/>
          <w:i w:val="1"/>
          <w:iCs w:val="1"/>
          <w:color w:val="auto"/>
        </w:rPr>
        <w:t>Risk Factors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There are many factors that affect our business and results of operations, some of which are beyond our control. The following is a description of some important factors that may cause the actual results of operations in future periods to differ materially from those currently expected or desired.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77" w:lineRule="exact"/>
        <w:rPr>
          <w:sz w:val="20"/>
          <w:szCs w:val="20"/>
          <w:color w:val="auto"/>
        </w:rPr>
      </w:pPr>
    </w:p>
    <w:p>
      <w:pPr>
        <w:jc w:val="both"/>
        <w:ind w:left="960" w:hanging="480"/>
        <w:spacing w:after="0" w:line="248"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69"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 and operators of biogas project sites generally make no warranties to us as to the quality or quantity of gas produced.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65" w:lineRule="auto"/>
        <w:tabs>
          <w:tab w:leader="none" w:pos="9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55" w:lineRule="exact"/>
        <w:rPr>
          <w:rFonts w:ascii="Times New Roman" w:cs="Times New Roman" w:eastAsia="Times New Roman" w:hAnsi="Times New Roman"/>
          <w:sz w:val="19"/>
          <w:szCs w:val="19"/>
          <w:color w:val="auto"/>
        </w:rPr>
      </w:pPr>
    </w:p>
    <w:p>
      <w:pPr>
        <w:jc w:val="both"/>
        <w:ind w:left="960" w:hanging="480"/>
        <w:spacing w:after="0" w:line="265" w:lineRule="auto"/>
        <w:tabs>
          <w:tab w:leader="none" w:pos="9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55" w:lineRule="exact"/>
        <w:rPr>
          <w:rFonts w:ascii="Times New Roman" w:cs="Times New Roman" w:eastAsia="Times New Roman" w:hAnsi="Times New Roman"/>
          <w:sz w:val="19"/>
          <w:szCs w:val="19"/>
          <w:color w:val="auto"/>
        </w:rPr>
      </w:pPr>
    </w:p>
    <w:p>
      <w:pPr>
        <w:jc w:val="both"/>
        <w:ind w:left="960" w:hanging="480"/>
        <w:spacing w:after="0" w:line="246"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the prices we can obtain for the Environmental Attributes generated from RNG, which include RINs, ISCC Carbon Credits, LCFS credits, and other incentives, could have a material adverse effect on our business prospects, financial condition and results of operations.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price of oil, gasoline, diesel, natural gas, RNG, or Environmental Attribute prices could adversely affect our business.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acquire, convert, develop and operate Biogas Conversion Projects, as well as expand production at current Biogas Conversion Projects, is subject to many risks.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ectPr>
          <w:pgSz w:w="12240" w:h="15840" w:orient="portrait"/>
          <w:cols w:equalWidth="0" w:num="1">
            <w:col w:w="9360"/>
          </w:cols>
          <w:pgMar w:left="1440" w:top="941" w:right="1440" w:bottom="348"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41" w:right="1440" w:bottom="348" w:gutter="0" w:footer="0" w:header="0"/>
          <w:type w:val="continuous"/>
        </w:sectPr>
      </w:pPr>
    </w:p>
    <w:bookmarkStart w:id="22" w:name="page23"/>
    <w:bookmarkEnd w:id="22"/>
    <w:p>
      <w:pPr>
        <w:jc w:val="both"/>
        <w:ind w:left="960" w:hanging="480"/>
        <w:spacing w:after="0" w:line="248"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49"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increasing reliance on information technology and other systems subjects us to risks associated with cybersecurity. Cybersecurity incidents or our failure to maintain the security and integrity of Company, employee, associate, customer or third-party data could have a disruptive effect on our business and adversely affect our reputation and financial performance.</w:t>
      </w:r>
    </w:p>
    <w:p>
      <w:pPr>
        <w:spacing w:after="0" w:line="149"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Regulations or Governmental Actions</w:t>
      </w:r>
    </w:p>
    <w:p>
      <w:pPr>
        <w:spacing w:after="0" w:line="157" w:lineRule="exact"/>
        <w:rPr>
          <w:sz w:val="20"/>
          <w:szCs w:val="20"/>
          <w:color w:val="auto"/>
        </w:rPr>
      </w:pPr>
    </w:p>
    <w:p>
      <w:pPr>
        <w:jc w:val="both"/>
        <w:ind w:left="960" w:hanging="480"/>
        <w:spacing w:after="0" w:line="249"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48"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48"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Indebtedness</w:t>
      </w:r>
    </w:p>
    <w:p>
      <w:pPr>
        <w:spacing w:after="0" w:line="157" w:lineRule="exact"/>
        <w:rPr>
          <w:sz w:val="20"/>
          <w:szCs w:val="20"/>
          <w:color w:val="auto"/>
        </w:rPr>
      </w:pPr>
    </w:p>
    <w:p>
      <w:pPr>
        <w:jc w:val="both"/>
        <w:ind w:left="960" w:hanging="480"/>
        <w:spacing w:after="0" w:line="248"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157" w:lineRule="exact"/>
        <w:rPr>
          <w:sz w:val="20"/>
          <w:szCs w:val="20"/>
          <w:color w:val="auto"/>
        </w:rPr>
      </w:pPr>
    </w:p>
    <w:p>
      <w:pPr>
        <w:jc w:val="both"/>
        <w:ind w:left="960" w:hanging="480"/>
        <w:spacing w:after="0" w:line="246"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controlled company, and thus not subject to all of the corporate governance rules of Nasdaq. You will not have the same protections afforded to stockholders of companies that are subject to such requirements.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151"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We do not own any of the biogas project sites from which our Biogas Conversion Projects collect biogas, and therefore we depend on contractual relationships with, and the cooperation of, site owners and operators for our operations. The invalidity of, or any default or termination under, any of our gas rights agreements, leases, easements,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48" w:right="1440" w:bottom="348" w:gutter="0" w:footer="0" w:header="0"/>
          <w:type w:val="continuous"/>
        </w:sectPr>
      </w:pPr>
    </w:p>
    <w:bookmarkStart w:id="23" w:name="page24"/>
    <w:bookmarkEnd w:id="23"/>
    <w:p>
      <w:pPr>
        <w:jc w:val="both"/>
        <w:spacing w:after="0" w:line="246" w:lineRule="auto"/>
        <w:rPr>
          <w:sz w:val="20"/>
          <w:szCs w:val="20"/>
          <w:color w:val="auto"/>
        </w:rPr>
      </w:pPr>
      <w:r>
        <w:rPr>
          <w:rFonts w:ascii="Times New Roman" w:cs="Times New Roman" w:eastAsia="Times New Roman" w:hAnsi="Times New Roman"/>
          <w:sz w:val="20"/>
          <w:szCs w:val="20"/>
          <w:color w:val="auto"/>
        </w:rPr>
        <w:t>licenses and rights-of-way may interfere with our rights to the underlying biogas and our ability to use and operate all or a portion of our Biogas Conversion Projects facilities, which may have an adverse impact on our business, financial condition and results of operations.</w:t>
      </w:r>
    </w:p>
    <w:p>
      <w:pPr>
        <w:spacing w:after="0" w:line="15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obtain rights to utilize the biogas and the biogas project sites on which our projects operate under contractual arrangements, with the associated biogas rights generally being for fixed terms of 20 years or more, with certain additional renewal options. See “Business — Our Projects.” Because the rights we hold in connection with our projects typically include the right to produce electricity generated from Renewable Power, or RNG, but not both,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additional rights necessary in connection with conversion from production of Renewable Power to RNG, we cannot guarantee that this success will continue in the future on commercial terms that are attractive to us or at all, and any failure to do so, or any other disruption in the relationship with any of the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the ownership interests in the land subject to the licenses, easements, leases and rights-of-way necessary for the operation of our business may be subject to mortgages securing loans or other liens (such as tax liens) and other easements, lease rights and rights-of-way of third parties (such as leases of mineral rights). As a result, certain of our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owners and operators of biogas project sites generally make no warranties to us as to the quality or quantity of gas produced.</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that may affect the quantity and quality of biogas, including, among other things: (i) their ability to perform in accordance with their commitments to third parties (other than us) under agreements and permits; (ii) transportation of source materials,</w:t>
      </w:r>
    </w:p>
    <w:p>
      <w:pPr>
        <w:ind w:left="360" w:hanging="360"/>
        <w:spacing w:after="0" w:line="235" w:lineRule="auto"/>
        <w:tabs>
          <w:tab w:leader="none" w:pos="3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herd health and labor issues at the dairy farms generating the manure to be processed at our digester facilities;</w:t>
      </w:r>
    </w:p>
    <w:p>
      <w:pPr>
        <w:spacing w:after="0" w:line="17" w:lineRule="exact"/>
        <w:rPr>
          <w:rFonts w:ascii="Times New Roman" w:cs="Times New Roman" w:eastAsia="Times New Roman" w:hAnsi="Times New Roman"/>
          <w:sz w:val="20"/>
          <w:szCs w:val="20"/>
          <w:color w:val="auto"/>
        </w:rPr>
      </w:pPr>
    </w:p>
    <w:p>
      <w:pPr>
        <w:jc w:val="both"/>
        <w:spacing w:after="0" w:line="248" w:lineRule="auto"/>
        <w:tabs>
          <w:tab w:leader="none" w:pos="3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gas collection issues at landfill projects such as broken pipes, ground water accumulation, inadequate landcover and labor issues, and (v) the particular character and mix of trash received. We cannot guarantee that our production will be free from operational risks, nor can we guarantee the production of a sufficient quantity and quality of biogas from the owners and operators of biogas conversion project sites.</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From time to time, we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without consulting with us, including in circumstances where they have a contractual obligation to do so. Such decisions made by the biogas conversion project site owners and operators could impact our ability to produce RNG or Renewable Power and generate the associated Environmental Attributes.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48" w:right="1440" w:bottom="348" w:gutter="0" w:footer="0" w:header="0"/>
          <w:type w:val="continuous"/>
        </w:sectPr>
      </w:pPr>
    </w:p>
    <w:bookmarkStart w:id="24" w:name="page25"/>
    <w:bookmarkEnd w:id="24"/>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the financial condition of the biogas conversion project sites may be affected by conditions and events that are beyond our control. Significant deterioration in the financial condition of any biogas conversion project waste site could cause the biogas conversion project site owners and operators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If we are unable to maintain good relationships with these site owners and operators, or if they take any actions that disrupt or halt production of RNG or Renewable Power, our business, financial condition and results of operations could be materially and adversely affected.</w:t>
      </w: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gas-powered vehicles and to contract with us for the provision of compressed natural gas to these fleets.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dependent on vehicle and engine manufacturers to succeed in our target RNG fuel dispensing markets, and we have no influence or control over their activities. These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and Executive Order N-79-20 issued by the Governor of the State of California in September 2020. The supply of engines or vehicle product lines by these vehicle and engine manufacturers may also be disrupted due to delays, restrictions or other business impacts related to supply chain disruptions, crises or other developments.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2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components manufactured and supplied by third parties and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our production and distribution of RNG and Renewable Power or the generation of related Environmental Attributes or RNG dispensing at Fueling Stations, potentially harming our brand, reputation and growth prospects.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48" w:right="1440" w:bottom="348" w:gutter="0" w:footer="0" w:header="0"/>
          <w:type w:val="continuous"/>
        </w:sectPr>
      </w:pPr>
    </w:p>
    <w:bookmarkStart w:id="25" w:name="page26"/>
    <w:bookmarkEnd w:id="25"/>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are dependent on third-party utility companies to provide sufficient utilities including sewer, water, gas and electricity, to sustain our operations and operate our Biogas Conversion Projects. Any major or sustained disruptions in the supply of utilities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51" w:right="1440" w:bottom="348" w:gutter="0" w:footer="0" w:header="0"/>
          <w:type w:val="continuous"/>
        </w:sectPr>
      </w:pPr>
    </w:p>
    <w:bookmarkStart w:id="26" w:name="page27"/>
    <w:bookmarkEnd w:id="26"/>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w:t>
      </w:r>
    </w:p>
    <w:p>
      <w:pPr>
        <w:spacing w:after="0" w:line="25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73"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ectPr>
          <w:pgSz w:w="12240" w:h="15840" w:orient="portrait"/>
          <w:cols w:equalWidth="0" w:num="1">
            <w:col w:w="9380"/>
          </w:cols>
          <w:pgMar w:left="1440" w:top="95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80"/>
          </w:cols>
          <w:pgMar w:left="1440" w:top="951" w:right="1420" w:bottom="348" w:gutter="0" w:footer="0" w:header="0"/>
          <w:type w:val="continuous"/>
        </w:sectPr>
      </w:pPr>
    </w:p>
    <w:bookmarkStart w:id="27" w:name="page28"/>
    <w:bookmarkEnd w:id="27"/>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 reduction in the prices we can obtain for the Environmental Attributes generated from RNG, which include RINs, ISCC Carbon Credits, LCFS credits, and other incentives, could have a material adverse effect on our business prospects, financial condition and results of operations</w:t>
      </w:r>
      <w:r>
        <w:rPr>
          <w:rFonts w:ascii="Times New Roman" w:cs="Times New Roman" w:eastAsia="Times New Roman" w:hAnsi="Times New Roman"/>
          <w:sz w:val="20"/>
          <w:szCs w:val="20"/>
          <w:b w:val="1"/>
          <w:bCs w:val="1"/>
          <w:color w:val="auto"/>
        </w:rPr>
        <w: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significant portion of our revenues comes from the sale of Environmental Attributes, which exist because of legal and governmental regulatory requirements. A change in law or in governmental policies concerning renewable fuels, landfill or animal waste site biogas or the sale of Environmental Attributes could be expected to affect the market for, and the pricing of, the Environmental Attributes that we can generate through production at our Biogas Conversion Projects. A reduction in the prices we receive for Environmental Attributes, or a reduction in demand for them, whether through market forces generally, through the actions of market participants generally, or through the consolidation or elimination of participants competing in the market for the purchase and retirement of Environmental Attributes, could have a material adverse effect on our results of operations. The current regulatory regime also creates uncertainty related to the future market for such Environmental Attributes and this could have an adverse effect on the earnings we generate from such attributes.</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Volatility in the price of oil, gasoline, diesel, natural gas, RNG, or Environmental Attribute prices could adversely affect our business.</w:t>
      </w:r>
    </w:p>
    <w:p>
      <w:pPr>
        <w:spacing w:after="0" w:line="177"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If the prices of crude oil, gasoline and diesel decline,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16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w:t>
      </w:r>
    </w:p>
    <w:p>
      <w:pPr>
        <w:sectPr>
          <w:pgSz w:w="12240" w:h="15840" w:orient="portrait"/>
          <w:cols w:equalWidth="0" w:num="1">
            <w:col w:w="9360"/>
          </w:cols>
          <w:pgMar w:left="1440" w:top="951" w:right="1440" w:bottom="348"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51" w:right="1440" w:bottom="348" w:gutter="0" w:footer="0" w:header="0"/>
          <w:type w:val="continuous"/>
        </w:sectPr>
      </w:pPr>
    </w:p>
    <w:bookmarkStart w:id="28" w:name="page29"/>
    <w:bookmarkEnd w:id="28"/>
    <w:p>
      <w:pPr>
        <w:jc w:val="both"/>
        <w:spacing w:after="0" w:line="248" w:lineRule="auto"/>
        <w:rPr>
          <w:sz w:val="20"/>
          <w:szCs w:val="20"/>
          <w:color w:val="auto"/>
        </w:rPr>
      </w:pPr>
      <w:r>
        <w:rPr>
          <w:rFonts w:ascii="Times New Roman" w:cs="Times New Roman" w:eastAsia="Times New Roman" w:hAnsi="Times New Roman"/>
          <w:sz w:val="20"/>
          <w:szCs w:val="20"/>
          <w:color w:val="auto"/>
        </w:rPr>
        <w:t>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5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2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5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market prices for LCFS credits specifically within California have declined over the past year,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20"/>
          <w:szCs w:val="20"/>
          <w:b w:val="1"/>
          <w:bCs w:val="1"/>
          <w:color w:val="auto"/>
        </w:rPr>
        <w:t>.</w:t>
      </w:r>
    </w:p>
    <w:p>
      <w:pPr>
        <w:spacing w:after="0" w:line="15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(vii) development of new fuels or new technologies for the production of power; (viii) federal and state regulations; and (ix) actions of the ISOs and RTOs that control and administer regional power markets.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48" w:right="1440" w:bottom="348" w:gutter="0" w:footer="0" w:header="0"/>
          <w:type w:val="continuous"/>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5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158"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15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2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ability to acquire, convert, develop and operate Biogas Conversion Projects, as well as expand production at current Biogas Conversion Projects, is subject to many risks.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business strategy includes (i) the conversion of LFG projects from Renewable Power to RNG production where we already control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15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w:t>
      </w:r>
    </w:p>
    <w:p>
      <w:pPr>
        <w:sectPr>
          <w:pgSz w:w="12240" w:h="15840" w:orient="portrait"/>
          <w:cols w:equalWidth="0" w:num="1">
            <w:col w:w="9360"/>
          </w:cols>
          <w:pgMar w:left="1440" w:top="951" w:right="1440" w:bottom="348"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51" w:right="1440" w:bottom="348" w:gutter="0" w:footer="0" w:header="0"/>
          <w:type w:val="continuous"/>
        </w:sectPr>
      </w:pPr>
    </w:p>
    <w:bookmarkStart w:id="30" w:name="page31"/>
    <w:bookmarkEnd w:id="30"/>
    <w:p>
      <w:pPr>
        <w:jc w:val="both"/>
        <w:spacing w:after="0" w:line="248" w:lineRule="auto"/>
        <w:rPr>
          <w:sz w:val="20"/>
          <w:szCs w:val="20"/>
          <w:color w:val="auto"/>
        </w:rPr>
      </w:pPr>
      <w:r>
        <w:rPr>
          <w:rFonts w:ascii="Times New Roman" w:cs="Times New Roman" w:eastAsia="Times New Roman" w:hAnsi="Times New Roman"/>
          <w:sz w:val="20"/>
          <w:szCs w:val="20"/>
          <w:color w:val="auto"/>
        </w:rPr>
        <w:t>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15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ability to acquire, convert, develop and operate Biogas Conversion Projects, as well as expand production at current Biogas Conversion Projects, is subject to several additional risks, including:</w:t>
      </w:r>
    </w:p>
    <w:p>
      <w:pPr>
        <w:spacing w:after="0" w:line="154" w:lineRule="exact"/>
        <w:rPr>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5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energy commodity prices, such as natural gas and wholesale electricity prices, which could have a significant effect on our revenues and expenses;</w:t>
      </w:r>
    </w:p>
    <w:p>
      <w:pPr>
        <w:spacing w:after="0" w:line="15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5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 that may result due to recent regulatory changes or otherwise;</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risks and the effect of disruptions on our business, including the effects of global health crises, weather conditions, catastrophic events, such as fires, explosions, earthquakes, droughts and acts of terrorism, and other force majeure events that impact us, our counterparties, suppliers, distributors and subcontractors;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involving personal injury or the loss of life;</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into markets where we have less experience, such as our Biogas Conversion Projects for biogas recovery at livestock farms;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66" w:lineRule="auto"/>
        <w:tabs>
          <w:tab w:leader="none" w:pos="9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153"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failures or delays in obtaining desired or necessary land rights, including ownership, leases, easements, zoning rights and building permits;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keeping in good standing permits, authorizations and consents from local city, county, state and US federal government agencies and organizations;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penalties, including potential termination, under short-term and long-term contracts for failing to produce or deliver a sufficient quantity and acceptable quality of RNG in accordance with our contractual obligations;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unknown regulatory changes related to the transportation of RNG, which may increase the transportation cost for delivering under our contracts then in effect;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48" w:right="1440" w:bottom="348" w:gutter="0" w:footer="0" w:header="0"/>
          <w:type w:val="continuous"/>
        </w:sectPr>
      </w:pPr>
    </w:p>
    <w:bookmarkStart w:id="31" w:name="page32"/>
    <w:bookmarkEnd w:id="31"/>
    <w:p>
      <w:pPr>
        <w:ind w:left="96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and authorization of local utilities or other energy development off-takers to ensure successful interconnection to energy grids to enable power and gas sales;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identifying, obtaining and permitting suitable sites for new Biogas Conversion Projects.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acquisition of existing Biogas Conversion Projects involves numerous risks, many of which may not be 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Additional risks related to acquiring existing projects, include:</w:t>
      </w:r>
    </w:p>
    <w:p>
      <w:pPr>
        <w:spacing w:after="0" w:line="177" w:lineRule="exact"/>
        <w:rPr>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we pay could significantly deplete our cash reserves or result in dilution to our existing stockholders;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companies or assets may not improve our customer offerings or market position as planned;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difficulty integrating the operations and personnel of the acquired companies;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key personnel and counterparties of the acquired companies may terminate their relationships with the acquired companies as a result of or following the acquisition;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additional financial and accounting challenges and complexities in certain areas, such as tax planning and financial reporting;</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additional costs and expenses related to complying with additional laws, rules or regulations in new jurisdictions;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ongoing business and management’s attention may be disrupted or diverted by transition or integration issues and the complexity of managing geographically diverse enterprises;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one-time write-offs or restructuring charges in connection with an acquisition;</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acquire goodwill and other intangible assets that are subject to amortization or impairment tests, which could result in future charges to earnings;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realize the cost savings or other financial benefits we anticipated.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48" w:right="1440" w:bottom="348" w:gutter="0" w:footer="0" w:header="0"/>
          <w:type w:val="continuous"/>
        </w:sectPr>
      </w:pPr>
    </w:p>
    <w:bookmarkStart w:id="32" w:name="page33"/>
    <w:bookmarkEnd w:id="32"/>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2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our performance under associated dispensing agreements.</w:t>
      </w:r>
    </w:p>
    <w:p>
      <w:pPr>
        <w:spacing w:after="0" w:line="156"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15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Construction, development and operation of our Biogas Conversion Projects involves significant risks and hazards.</w:t>
      </w:r>
    </w:p>
    <w:p>
      <w:pPr>
        <w:spacing w:after="0" w:line="17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951" w:right="1440" w:bottom="348" w:gutter="0" w:footer="0" w:header="0"/>
          <w:type w:val="continuous"/>
        </w:sectPr>
      </w:pPr>
    </w:p>
    <w:bookmarkStart w:id="33" w:name="page34"/>
    <w:bookmarkEnd w:id="33"/>
    <w:p>
      <w:pPr>
        <w:jc w:val="both"/>
        <w:spacing w:after="0" w:line="246" w:lineRule="auto"/>
        <w:rPr>
          <w:sz w:val="20"/>
          <w:szCs w:val="20"/>
          <w:color w:val="auto"/>
        </w:rPr>
      </w:pPr>
      <w:r>
        <w:rPr>
          <w:rFonts w:ascii="Times New Roman" w:cs="Times New Roman" w:eastAsia="Times New Roman" w:hAnsi="Times New Roman"/>
          <w:sz w:val="20"/>
          <w:szCs w:val="20"/>
          <w:color w:val="auto"/>
        </w:rPr>
        <w:t>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17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Furthermore, some of our facilities are located in areas prone to extreme weather conditions, most notably extreme cold.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170"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Energy Marketing, LLC (“NextEra”). Even if we are able to produce and</w:t>
      </w:r>
    </w:p>
    <w:p>
      <w:pPr>
        <w:sectPr>
          <w:pgSz w:w="12240" w:h="15840" w:orient="portrait"/>
          <w:cols w:equalWidth="0" w:num="1">
            <w:col w:w="9360"/>
          </w:cols>
          <w:pgMar w:left="1440" w:top="948" w:right="1440" w:bottom="348"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48" w:right="1440" w:bottom="348" w:gutter="0" w:footer="0" w:header="0"/>
          <w:type w:val="continuous"/>
        </w:sectPr>
      </w:pPr>
    </w:p>
    <w:bookmarkStart w:id="34" w:name="page35"/>
    <w:bookmarkEnd w:id="34"/>
    <w:p>
      <w:pPr>
        <w:jc w:val="both"/>
        <w:spacing w:after="0" w:line="248" w:lineRule="auto"/>
        <w:rPr>
          <w:sz w:val="20"/>
          <w:szCs w:val="20"/>
          <w:color w:val="auto"/>
        </w:rPr>
      </w:pPr>
      <w:r>
        <w:rPr>
          <w:rFonts w:ascii="Times New Roman" w:cs="Times New Roman" w:eastAsia="Times New Roman" w:hAnsi="Times New Roman"/>
          <w:sz w:val="20"/>
          <w:szCs w:val="20"/>
          <w:color w:val="auto"/>
        </w:rPr>
        <w:t>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171"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w:t>
      </w:r>
    </w:p>
    <w:p>
      <w:pPr>
        <w:spacing w:after="0" w:line="7" w:lineRule="exact"/>
        <w:rPr>
          <w:sz w:val="20"/>
          <w:szCs w:val="20"/>
          <w:color w:val="auto"/>
        </w:rPr>
      </w:pPr>
    </w:p>
    <w:p>
      <w:pPr>
        <w:jc w:val="both"/>
        <w:spacing w:after="0" w:line="264" w:lineRule="auto"/>
        <w:tabs>
          <w:tab w:leader="none" w:pos="242"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If, however, the agreement was to be terminated as of the date of this report and we were not to deliver any further Environmental Attribute volume to NextEra under the agreement, the maximum potential payment to NextEra under these provisions would be approximately $9.9 million based on current market prices for such Environmental Attributes.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48" w:right="1440" w:bottom="348" w:gutter="0" w:footer="0" w:header="0"/>
          <w:type w:val="continuous"/>
        </w:sectPr>
      </w:pPr>
    </w:p>
    <w:bookmarkStart w:id="35" w:name="page36"/>
    <w:bookmarkEnd w:id="35"/>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2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17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51" w:right="1440" w:bottom="348" w:gutter="0" w:footer="0" w:header="0"/>
          <w:type w:val="continuous"/>
        </w:sectPr>
      </w:pPr>
    </w:p>
    <w:bookmarkStart w:id="36" w:name="page37"/>
    <w:bookmarkEnd w:id="36"/>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25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171"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Sequestering carbon dioxide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pacing w:after="0" w:line="169"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169"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spacing w:after="0" w:line="25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80"/>
          </w:cols>
          <w:pgMar w:left="1440" w:top="948" w:right="1420" w:bottom="348" w:gutter="0" w:footer="0" w:header="0"/>
          <w:type w:val="continuous"/>
        </w:sectPr>
      </w:pPr>
    </w:p>
    <w:bookmarkStart w:id="37" w:name="page38"/>
    <w:bookmarkEnd w:id="37"/>
    <w:p>
      <w:pPr>
        <w:jc w:val="both"/>
        <w:spacing w:after="0" w:line="246" w:lineRule="auto"/>
        <w:rPr>
          <w:sz w:val="20"/>
          <w:szCs w:val="20"/>
          <w:color w:val="auto"/>
        </w:rPr>
      </w:pPr>
      <w:r>
        <w:rPr>
          <w:rFonts w:ascii="Times New Roman" w:cs="Times New Roman" w:eastAsia="Times New Roman" w:hAnsi="Times New Roman"/>
          <w:sz w:val="20"/>
          <w:szCs w:val="20"/>
          <w:color w:val="auto"/>
        </w:rPr>
        <w:t>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24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Additional factors that may influence the adoption of natural gas vehicle fuels, many of which are beyond our control, include, among others:</w:t>
      </w:r>
    </w:p>
    <w:p>
      <w:pPr>
        <w:spacing w:after="0" w:line="174" w:lineRule="exact"/>
        <w:rPr>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demand for trucks that use natural gas vehicle fuels due to business disruptions and depressed oil prices;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48" w:right="1440" w:bottom="348" w:gutter="0" w:footer="0" w:header="0"/>
          <w:type w:val="continuous"/>
        </w:sectPr>
      </w:pPr>
    </w:p>
    <w:bookmarkStart w:id="38" w:name="page39"/>
    <w:bookmarkEnd w:id="38"/>
    <w:p>
      <w:pPr>
        <w:jc w:val="both"/>
        <w:ind w:left="96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in the supply, demand, use and prices of crude oil, gasoline, diesel, RNG, natural gas and other vehicle fuels, such as electricity, hydrogen, renewable diesel, biodiesel and ethanol;</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169"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emissions and other environmental regulations and pressures on producing, transporting, and dispensing our fuels.</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Acquisition, financing, construction, and development of Fueling Station projects by us or our partners that own projects may not commence on anticipated timelines or at all.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acquisition, financing, construction and development of projects involves numerous risks, including:</w:t>
      </w:r>
    </w:p>
    <w:p>
      <w:pPr>
        <w:spacing w:after="0" w:line="170" w:lineRule="exact"/>
        <w:rPr>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identifying, obtaining, and permitting suitable sites for new projects;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all necessary rights to land access and use;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inaccuracy of assumptions with respect to the cost and schedule for completing construction;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inaccuracy of assumptions with respect to the biogas potential, including quality, volume, and asset life;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obtain financing for a project on acceptable terms or at all;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deliveries or increases in the price of equipment or other materials;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and other regulatory issues, license revocation and changes in legal requirements;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of labor, labor disputes and work stoppages or the inability to find an adequate supply of workers;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receive quality and timely performance of third-party services;</w:t>
      </w:r>
    </w:p>
    <w:p>
      <w:pPr>
        <w:sectPr>
          <w:pgSz w:w="12240" w:h="15840" w:orient="portrait"/>
          <w:cols w:equalWidth="0" w:num="1">
            <w:col w:w="9360"/>
          </w:cols>
          <w:pgMar w:left="1440" w:top="948" w:right="1440" w:bottom="348"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48" w:right="1440" w:bottom="348" w:gutter="0" w:footer="0" w:header="0"/>
          <w:type w:val="continuous"/>
        </w:sectPr>
      </w:pPr>
    </w:p>
    <w:bookmarkStart w:id="39" w:name="page40"/>
    <w:bookmarkEnd w:id="39"/>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engineering and environmental problems;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overruns or supply chain disruptions;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involving personal injury or the loss of life;</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health crises, pandemics, catastrophic events, including fires, explosions, earthquakes, droughts and acts of terrorism, and other force majeure events;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interconnection and access to utilities.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addition, new projects have no operating history. A new project may be unable to fund principal and interest payments under its debt service obligations or may operate at a loss.</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and cost overruns.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Certain of our Biogas Conversion Projects and Fueling Stations are newly constructed or are under construction and may not perform as we expect.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41" w:right="1440" w:bottom="348" w:gutter="0" w:footer="0" w:header="0"/>
          <w:type w:val="continuous"/>
        </w:sectPr>
      </w:pPr>
    </w:p>
    <w:bookmarkStart w:id="40" w:name="page41"/>
    <w:bookmarkEnd w:id="40"/>
    <w:p>
      <w:pPr>
        <w:jc w:val="both"/>
        <w:spacing w:after="0" w:line="248" w:lineRule="auto"/>
        <w:rPr>
          <w:sz w:val="20"/>
          <w:szCs w:val="20"/>
          <w:color w:val="auto"/>
        </w:rPr>
      </w:pPr>
      <w:r>
        <w:rPr>
          <w:rFonts w:ascii="Times New Roman" w:cs="Times New Roman" w:eastAsia="Times New Roman" w:hAnsi="Times New Roman"/>
          <w:sz w:val="20"/>
          <w:szCs w:val="20"/>
          <w:color w:val="auto"/>
        </w:rPr>
        <w:t>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cash could be adversely affected if the financial institutions in which we hold our cash fail.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17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48" w:right="1440" w:bottom="348" w:gutter="0" w:footer="0" w:header="0"/>
          <w:type w:val="continuous"/>
        </w:sectPr>
      </w:pPr>
    </w:p>
    <w:bookmarkStart w:id="41" w:name="page42"/>
    <w:bookmarkEnd w:id="41"/>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history of accounting losses and may incur additional losses in the future.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2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Loss of our key management could adversely affect our business performance. Our management team has limited experience in operating a public company such as us.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2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effective internal controls in accordance with Section 404 of the Sarbanes-Oxley Act could have a material adverse effect on our business and operating results. In addition, current and potential stockholders could lose confidence in our financial reporting, which could have a material adverse effect on the price of our Class A common stock.</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Section 404 of the Sarbanes-Oxley Act requires annual management assessments of the effectiveness of our internal control over financial reporting and a report by our independent registered public accounting firm on the effectiveness of internal control over financial reporting as of year-end. We are required to report, among other things, control deficiencies that constitute material weaknesses or changes in internal control that, or that are reasonably likely to, materially affect internal control over financial reporting. A “material weakness” is a significant deficiency or combination of significant deficiencies that results in more than a remote likelihood that a material misstatement of the annual or interim financial statements will not be prevented or detected.</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have identified and remediated control deficiencies in the past, and we cannot assure you that we will at all times in the future be able to report that our internal controls are effective. If we cannot provide reliable financial reports or prevent fraud, our results of operation could be harmed. Our failure to maintain the effective internal control over financial reporting could cause the cost related to remediation to increase and could cause our stock price to decline. In addition, we may not be able to accurately report our financial results, may be subject to regulatory sanctions, and investors may lose confidence in our financial statements. No material weaknesses were identified during the year ended December 31, 2025.</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Litigation or legal proceedings could expose us to significant liabilities and have a negative impact on our reputations or business.</w:t>
      </w:r>
    </w:p>
    <w:p>
      <w:pPr>
        <w:spacing w:after="0" w:line="177"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48" w:right="1440" w:bottom="348" w:gutter="0" w:footer="0" w:header="0"/>
          <w:type w:val="continuous"/>
        </w:sectPr>
      </w:pPr>
    </w:p>
    <w:bookmarkStart w:id="42" w:name="page43"/>
    <w:bookmarkEnd w:id="42"/>
    <w:p>
      <w:pPr>
        <w:jc w:val="both"/>
        <w:spacing w:after="0" w:line="246" w:lineRule="auto"/>
        <w:rPr>
          <w:sz w:val="20"/>
          <w:szCs w:val="20"/>
          <w:color w:val="auto"/>
        </w:rPr>
      </w:pPr>
      <w:r>
        <w:rPr>
          <w:rFonts w:ascii="Times New Roman" w:cs="Times New Roman" w:eastAsia="Times New Roman" w:hAnsi="Times New Roman"/>
          <w:sz w:val="20"/>
          <w:szCs w:val="20"/>
          <w:color w:val="auto"/>
        </w:rPr>
        <w:t>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2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73"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8" w:right="1440" w:bottom="348" w:gutter="0" w:footer="0" w:header="0"/>
          <w:type w:val="continuous"/>
        </w:sectPr>
      </w:pPr>
    </w:p>
    <w:bookmarkStart w:id="43" w:name="page44"/>
    <w:bookmarkEnd w:id="43"/>
    <w:p>
      <w:pPr>
        <w:jc w:val="both"/>
        <w:spacing w:after="0" w:line="264" w:lineRule="auto"/>
        <w:rPr>
          <w:sz w:val="20"/>
          <w:szCs w:val="20"/>
          <w:color w:val="auto"/>
        </w:rPr>
      </w:pPr>
      <w:r>
        <w:rPr>
          <w:rFonts w:ascii="Times New Roman" w:cs="Times New Roman" w:eastAsia="Times New Roman" w:hAnsi="Times New Roman"/>
          <w:sz w:val="19"/>
          <w:szCs w:val="19"/>
          <w:color w:val="auto"/>
        </w:rPr>
        <w:t>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158"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25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77"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70"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178"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$133.0 million depending on OPAL Fuels’ rate of recovery of the tax basis increases associated with the deemed exchange of the OPAL Fuels Common Units (other than those held by us). This estimated Tax Receivable Agreement lump-sum payment is calculated using a discount rate equal to 7.47%, applied against an undiscounted liability of approximately $240.8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sectPr>
          <w:pgSz w:w="12240" w:h="15840" w:orient="portrait"/>
          <w:cols w:equalWidth="0" w:num="1">
            <w:col w:w="9380"/>
          </w:cols>
          <w:pgMar w:left="1440" w:top="948" w:right="1420" w:bottom="348"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80"/>
          </w:cols>
          <w:pgMar w:left="1440" w:top="948" w:right="1420" w:bottom="348" w:gutter="0" w:footer="0" w:header="0"/>
          <w:type w:val="continuous"/>
        </w:sectPr>
      </w:pPr>
    </w:p>
    <w:bookmarkStart w:id="44" w:name="page45"/>
    <w:bookmarkEnd w:id="44"/>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 xml:space="preserve">It is more likely than not that the deferred tax assets will not be realized in accordance with ASC Topic 740, </w:t>
      </w:r>
      <w:r>
        <w:rPr>
          <w:rFonts w:ascii="Times New Roman" w:cs="Times New Roman" w:eastAsia="Times New Roman" w:hAnsi="Times New Roman"/>
          <w:sz w:val="19"/>
          <w:szCs w:val="19"/>
          <w:i w:val="1"/>
          <w:iCs w:val="1"/>
          <w:color w:val="auto"/>
        </w:rPr>
        <w:t xml:space="preserve">Income Taxes </w:t>
      </w:r>
      <w:r>
        <w:rPr>
          <w:rFonts w:ascii="Times New Roman" w:cs="Times New Roman" w:eastAsia="Times New Roman" w:hAnsi="Times New Roman"/>
          <w:sz w:val="19"/>
          <w:szCs w:val="19"/>
          <w:color w:val="auto"/>
        </w:rPr>
        <w:t>(“ASC 740”). As such, the Company has reduced the full carrying amount of the deferred tax assets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valuation allowance under both scenarios. Management will continue to monitor and consider the available evidence from quarter to quarter, and year to year, to determine if more or less valuation allowance is required at that time.</w:t>
      </w:r>
    </w:p>
    <w:p>
      <w:pPr>
        <w:spacing w:after="0" w:line="15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increasing reliance on information technology and other systems subjects us to risks associated with cybersecurity. Cybersecurity incidents or our failure to maintain the security and integrity of Company, employee, associate, customer or third-party data could have a disruptive effect on our business and adversely affect our reputation and financial performance.</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spacing w:after="0" w:line="171"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w:t>
      </w:r>
    </w:p>
    <w:p>
      <w:pPr>
        <w:sectPr>
          <w:pgSz w:w="12240" w:h="15840" w:orient="portrait"/>
          <w:cols w:equalWidth="0" w:num="1">
            <w:col w:w="9360"/>
          </w:cols>
          <w:pgMar w:left="1440" w:top="948"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48" w:right="1440" w:bottom="348" w:gutter="0" w:footer="0" w:header="0"/>
          <w:type w:val="continuous"/>
        </w:sectPr>
      </w:pPr>
    </w:p>
    <w:bookmarkStart w:id="45" w:name="page46"/>
    <w:bookmarkEnd w:id="45"/>
    <w:p>
      <w:pPr>
        <w:jc w:val="both"/>
        <w:spacing w:after="0" w:line="246" w:lineRule="auto"/>
        <w:rPr>
          <w:sz w:val="20"/>
          <w:szCs w:val="20"/>
          <w:color w:val="auto"/>
        </w:rPr>
      </w:pPr>
      <w:r>
        <w:rPr>
          <w:rFonts w:ascii="Times New Roman" w:cs="Times New Roman" w:eastAsia="Times New Roman" w:hAnsi="Times New Roman"/>
          <w:sz w:val="20"/>
          <w:szCs w:val="20"/>
          <w:color w:val="auto"/>
        </w:rPr>
        <w:t>information, repairs to infrastructure or capabilities essential to our operations, responding to litigation or regulatory investigations, and those related to a material and adverse impact on our reputation, financial position, results of operations, or cash flows.</w:t>
      </w:r>
    </w:p>
    <w:p>
      <w:pPr>
        <w:spacing w:after="0" w:line="2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Our business may be impacted by macroeconomic conditions, including fears concerning the financial services industry, inflation, rising interest rates and volatile market conditions, and other uncertainties beyond our control.</w:t>
      </w:r>
    </w:p>
    <w:p>
      <w:pPr>
        <w:spacing w:after="0" w:line="155"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on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Currently, we do not have a business relationship with any of the banking institutions mentioned above, and our cash and cash equivalents have been unaffected by the turmoil in the financial industry; however, we cannot guarantee that the banking institution with which we do business will not face similar circumstances in the future, or that the third parties with whom we do business will not be negatively affected by such circumstances.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Regulations or Governmental Actions</w:t>
      </w:r>
    </w:p>
    <w:p>
      <w:pPr>
        <w:spacing w:after="0" w:line="2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Our operations are subject to stringent and complex federal, state and local EHS laws and regulations, including those relating to the release, emission or discharge of materials into the air, water and ground, the generation, storage, handling, use, transportation and disposal of hazardous materials and wastes, and the health and safety of our employees and other persons.</w:t>
      </w:r>
    </w:p>
    <w:p>
      <w:pPr>
        <w:spacing w:after="0" w:line="169"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These laws and regulations impose numerous obligations applicable to our operations, including the acquisition of permits before construction and operation of our Biogas Conversion Projects and Fueling Stations; the restriction of types, quantities and concentration of materials that can be released into the environment; the limitation or prohibition of our activities on certain lands lying within wilderness, wetlands and other protected areas; the application of specific health and safety criteria addressing worker protection; and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948" w:right="1440" w:bottom="348" w:gutter="0" w:footer="0" w:header="0"/>
          <w:type w:val="continuous"/>
        </w:sectPr>
      </w:pPr>
    </w:p>
    <w:bookmarkStart w:id="46" w:name="page47"/>
    <w:bookmarkEnd w:id="46"/>
    <w:p>
      <w:pPr>
        <w:jc w:val="both"/>
        <w:spacing w:after="0" w:line="246" w:lineRule="auto"/>
        <w:rPr>
          <w:sz w:val="20"/>
          <w:szCs w:val="20"/>
          <w:color w:val="auto"/>
        </w:rPr>
      </w:pPr>
      <w:r>
        <w:rPr>
          <w:rFonts w:ascii="Times New Roman" w:cs="Times New Roman" w:eastAsia="Times New Roman" w:hAnsi="Times New Roman"/>
          <w:sz w:val="20"/>
          <w:szCs w:val="20"/>
          <w:color w:val="auto"/>
        </w:rPr>
        <w:t>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171"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or any future executive orders on our operations.</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14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with respect to production from the non-complying facility, (iv) the imposition of liens, fines, refunds and interest, and/or civil or criminal liability and (v) delays or failures in the development of new Biogas Conversion Projects and Fueling Stations.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8" w:right="1440" w:bottom="348" w:gutter="0" w:footer="0" w:header="0"/>
          <w:type w:val="continuous"/>
        </w:sectPr>
      </w:pPr>
    </w:p>
    <w:bookmarkStart w:id="47" w:name="page48"/>
    <w:bookmarkEnd w:id="47"/>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EPA annually sets proposed and actual RVOs for the RIN market in accordance with the mandates established by EISA. The EPA’s issuance of timely and sufficient annual RVOs to accommodate the RNG industry’s growing production levels may be needed to stabilize the RIN market. The EPA annually sets proposed RVOs for D3 (cellulosic biofuel with a 60% GHG reduction requirement) RINs in accordance with the mandates established by the EISA. In June 2023, the EPA set RVOs for 2023 through 2025 via a new Set rule.</w:t>
      </w:r>
    </w:p>
    <w:p>
      <w:pPr>
        <w:spacing w:after="0" w:line="15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There can be no assurance that the EPA will timely set annual RVOs in the future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13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Resources Board adopted LCFS regulations aimed at reducing the CI of transportation fuel sold and purchased in the state. A CI score is calculated as grams of CO2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 out of infrastructure. The California Air Resources Board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If we are unable to sell LCFS credits, it could adversely affect our business.</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ability to generate revenue from sales of RINs and LCFS credits depends on our strict compliance with these federal and state programs, which are complex and can involve a significant degree of judgment. If the 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15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Additionally, our business is influenced by laws, rules and regulations that require reductions in carbon emissions and/or the use of renewable fuels, such as the programs under which we generate Environmental Credits. These programs and regulations, which encourage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948" w:right="1440" w:bottom="348" w:gutter="0" w:footer="0" w:header="0"/>
          <w:type w:val="continuous"/>
        </w:sectPr>
      </w:pPr>
    </w:p>
    <w:bookmarkStart w:id="48" w:name="page49"/>
    <w:bookmarkEnd w:id="48"/>
    <w:p>
      <w:pPr>
        <w:jc w:val="both"/>
        <w:spacing w:after="0" w:line="246" w:lineRule="auto"/>
        <w:rPr>
          <w:sz w:val="20"/>
          <w:szCs w:val="20"/>
          <w:color w:val="auto"/>
        </w:rPr>
      </w:pPr>
      <w:r>
        <w:rPr>
          <w:rFonts w:ascii="Times New Roman" w:cs="Times New Roman" w:eastAsia="Times New Roman" w:hAnsi="Times New Roman"/>
          <w:sz w:val="20"/>
          <w:szCs w:val="20"/>
          <w:color w:val="auto"/>
        </w:rPr>
        <w:t>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153"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(a) obtaining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14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currently do not intend to develop, construct or operate electric generating facilities that would require us to apply for and receive MBR Authority from FERC. Nevertheless, if we were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17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biogas conversion project site owners and operators are also subject to extensive federal, state and local regulations and policies, including permitting requirements. Any failure on their part to comply with any laws, regulations, rules or permits, applicable to them may also adversely affect our business, investments and results of operations.</w:t>
      </w:r>
    </w:p>
    <w:p>
      <w:pPr>
        <w:spacing w:after="0" w:line="171"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48" w:right="1440" w:bottom="348" w:gutter="0" w:footer="0" w:header="0"/>
          <w:type w:val="continuous"/>
        </w:sectPr>
      </w:pPr>
    </w:p>
    <w:bookmarkStart w:id="49" w:name="page50"/>
    <w:bookmarkEnd w:id="49"/>
    <w:p>
      <w:pPr>
        <w:jc w:val="both"/>
        <w:spacing w:after="0" w:line="246" w:lineRule="auto"/>
        <w:rPr>
          <w:sz w:val="20"/>
          <w:szCs w:val="20"/>
          <w:color w:val="auto"/>
        </w:rPr>
      </w:pPr>
      <w:r>
        <w:rPr>
          <w:rFonts w:ascii="Times New Roman" w:cs="Times New Roman" w:eastAsia="Times New Roman" w:hAnsi="Times New Roman"/>
          <w:sz w:val="20"/>
          <w:szCs w:val="20"/>
          <w:color w:val="auto"/>
        </w:rPr>
        <w:t>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173"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and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failure by biogas conversion project site owners and operators to comply with extensive federal, state and local regulations and policies, including permitting requirements, may result in the suspension or cessation of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provision for income taxes is subject to volatility and could be adversely affected by changes in tax laws or regulations, particularly changes in tax incentives in support of energy efficiency. The IRA contains extended and expanded clean energy tax credits such as ITCs, the PTC, and created other financial incentives designed to promote the development of certain domestic clean energy projects. In order to receive the full value of such credits and incentives, our projects must satisfy a number of requirements including prevailing wage and apprenticeship requirements. If we fail to comply with these requirements, the value of the credits may be limited, and we may become subject to financial penalties. Uncertainty remains under the IRA on which types of projects are eligible for the tax credits and incentives and how projects can demonstrate compliance with the requirements, we may not receive full value of the tax credits and incentives, which could increase our income tax expense, reduce our net income and adversely impact the profitability of our projects or our ability to finance our projects. The U.S. Congress may look to alter or repeal various energy tax incentives included in the IRA, which could potentially impact projects in development or future project economics. Similarly, recent presidential executive orders directing the review and potential termination of funds appropriated through the IRA are also creating uncertainty of whether these financial incentives could be reduced or repealed in the future.</w:t>
      </w:r>
    </w:p>
    <w:p>
      <w:pPr>
        <w:spacing w:after="0" w:line="18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November 17, 2023, the Treasury and the IRS proposed regulations regarding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8" w:right="1440" w:bottom="348" w:gutter="0" w:footer="0" w:header="0"/>
          <w:type w:val="continuous"/>
        </w:sectPr>
      </w:pPr>
    </w:p>
    <w:bookmarkStart w:id="50" w:name="page51"/>
    <w:bookmarkEnd w:id="50"/>
    <w:p>
      <w:pPr>
        <w:jc w:val="both"/>
        <w:ind w:right="20" w:firstLine="480"/>
        <w:spacing w:after="0" w:line="265" w:lineRule="auto"/>
        <w:rPr>
          <w:sz w:val="20"/>
          <w:szCs w:val="20"/>
          <w:color w:val="auto"/>
        </w:rPr>
      </w:pPr>
      <w:r>
        <w:rPr>
          <w:rFonts w:ascii="Times New Roman" w:cs="Times New Roman" w:eastAsia="Times New Roman" w:hAnsi="Times New Roman"/>
          <w:sz w:val="19"/>
          <w:szCs w:val="19"/>
          <w:color w:val="auto"/>
        </w:rPr>
        <w:t>There is also uncertainty if IRA incentives may be reduced or repealed in the future, especially in light of the 2024 election results. In addition, the timing of when assets are placed in service has in the past and could in the future impact our tax rate. If we experience unexpected delays in this timing, we may not be able to take advantage of ITCs as expected. If we are not able to utilize the ITCs as expected this could have an adverse effect on our financial results.</w:t>
      </w:r>
    </w:p>
    <w:p>
      <w:pPr>
        <w:spacing w:after="0" w:line="155"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Many states have adopted RPS programs mandating that a specified percentage of electricity sales come from eligible sources of renewable energy. However, the regulations that govern the RPS programs, including pricing incentives for renewable energy and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25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Company may incur contractual obligations from the indemnification of third parties if tax authorities challenge the amount or availability of ITCs or related tax benefits that the Company is obligated to provide to such third parties under such contractual arrangements.</w:t>
      </w:r>
    </w:p>
    <w:p>
      <w:pPr>
        <w:spacing w:after="0" w:line="173"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The Company from time-to-time enters into arrangements with third parties that acquire tax credits, including ITCs, from the Company where tax credits and related tax benefits represent a material portion of the economic benefit of the arrangement to such other party. In certain circumstances, as is customary in the industry, the Company has guaranteed and may have to guarantee the economic benefit of such tax credits and other tax benefits to such party. A reduction in expected tax credits or tax benefits resulting from successful challenges by the IRS could result in an obligation under the Company’s contractual arrangements that could have a material impact on the Company’s financial condition, results of operations and liquidity.</w:t>
      </w:r>
    </w:p>
    <w:p>
      <w:pPr>
        <w:spacing w:after="0" w:line="25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increased general and administrative expenses.</w:t>
      </w:r>
    </w:p>
    <w:p>
      <w:pPr>
        <w:spacing w:after="0" w:line="169"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July 12, 2023, the EPA issued final rule 88 Fed. Reg. 44468 (July 12, 2023) to, in part, implement biogas regulatory reform to the EPA’s Renewable Fuel Standard Program (“RFS”) (the “Biogas Regulatory Reform Rule” or “BRRR”). BRRR significantly changed the method by which RINs are generated from biogas feedstock and how market participants are required to administer RINs. BRRR required all parties in the chain of title to biogas, renewable natural gas, and RINs to register with the EPA by January 1, 2025.</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80"/>
          </w:cols>
          <w:pgMar w:left="1440" w:top="948" w:right="1420" w:bottom="348" w:gutter="0" w:footer="0" w:header="0"/>
          <w:type w:val="continuous"/>
        </w:sectPr>
      </w:pPr>
    </w:p>
    <w:bookmarkStart w:id="51" w:name="page52"/>
    <w:bookmarkEnd w:id="51"/>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timely completed and received approval of its required registrations under BRRR. As part of this registration process, with respect to Fueling Stations, the Company registered as RNG RIN separator for stations that accounted for approximately 57% of the Company’s CNG dispensing capacity. Wherever the Company is not registered as the RNG RIN separator, it will rely on the owner/operator of the Fueling Station to perform the role as RNG RIN separator (i.e., separating the RINs and transferring them to the Company for monetization). There can be no assurance that these owners/operators will timely provide the necessary administrative services and transactional data required for the separation and transfer of RINs from these stations. If we are unable to receive RINs from stations representing a material proportion of our dispensing capacity, it would have a material adverse effect on our financial results.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Indebtedness</w:t>
      </w:r>
    </w:p>
    <w:p>
      <w:pPr>
        <w:spacing w:after="0" w:line="2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our total indebtedness was $361.3 million, excluding deferred financing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we have redeemable preferred non-controlling interests outstanding of $130.0 million.</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substantial indebtedness and preferred units redemption obligations could have important consequences, including, for example:</w:t>
      </w:r>
    </w:p>
    <w:p>
      <w:pPr>
        <w:spacing w:after="0" w:line="174" w:lineRule="exact"/>
        <w:rPr>
          <w:sz w:val="20"/>
          <w:szCs w:val="20"/>
          <w:color w:val="auto"/>
        </w:rPr>
      </w:pPr>
    </w:p>
    <w:p>
      <w:pPr>
        <w:ind w:left="9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required to accept then-prevailing market terms in connection with any required refinancing of such indebtedness or redemption obligations, which may be less favorable than existing terms;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interest rates on our existing debt facilities or a reduction in the supply of project debt financing could reduce our ability to construct and operate new RNG projects or Fueling Stations;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limited financial flexibility could reduce our ability to plan for and react to unexpected opportunities; and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948" w:right="1440" w:bottom="348" w:gutter="0" w:footer="0" w:header="0"/>
          <w:type w:val="continuous"/>
        </w:sectPr>
      </w:pPr>
    </w:p>
    <w:bookmarkStart w:id="52" w:name="page53"/>
    <w:bookmarkEnd w:id="52"/>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will have certain rights and remedies.</w:t>
      </w:r>
    </w:p>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For example, upon written notice from NextEra at any time after November 29, 2025, we would be required to redeem the Series A preferred units. In the event we do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 For more information related to our obligation to redeem the Series A preferred units, please refer to </w:t>
      </w:r>
      <w:r>
        <w:rPr>
          <w:rFonts w:ascii="Times New Roman" w:cs="Times New Roman" w:eastAsia="Times New Roman" w:hAnsi="Times New Roman"/>
          <w:sz w:val="20"/>
          <w:szCs w:val="20"/>
          <w:i w:val="1"/>
          <w:iCs w:val="1"/>
          <w:color w:val="auto"/>
        </w:rPr>
        <w:t>Item 7. Management’s Discussion and Analysis of Financial Condition and Results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Operations — Liquidity and Capital Resources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Ownership of Our Class A Common Stock</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Class A common stock could result in additional dilution of the percentage ownership of our stockholders and could cause our share price to fall.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or our subsidiaries issue additional equity securities, investors may be materially diluted by subsequent sales. Such sales may also result in material dilution to our existing stockholders, and new investors could gain rights, preferences, and privileges senior to existing holders of our Class A common stock.</w:t>
      </w:r>
    </w:p>
    <w:p>
      <w:pPr>
        <w:spacing w:after="0" w:line="2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16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Pursuant to that certain Investor Rights Agreement, dated July 21, 2022, by and among OPAL Fuels Inc., each of the sellers named therein, ArcLight CTC Holdings II, L.P. and its principals, those stockholders are entitled to have the registration statement under the Securities Act kept effective for a prolonged period of time such that registered resales</w:t>
      </w:r>
    </w:p>
    <w:p>
      <w:pPr>
        <w:sectPr>
          <w:pgSz w:w="12240" w:h="15840" w:orient="portrait"/>
          <w:cols w:equalWidth="0" w:num="1">
            <w:col w:w="9360"/>
          </w:cols>
          <w:pgMar w:left="1440" w:top="948" w:right="1440" w:bottom="348"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48" w:right="1440" w:bottom="348" w:gutter="0" w:footer="0" w:header="0"/>
          <w:type w:val="continuous"/>
        </w:sectPr>
      </w:pPr>
    </w:p>
    <w:bookmarkStart w:id="53" w:name="page54"/>
    <w:bookmarkEnd w:id="53"/>
    <w:p>
      <w:pPr>
        <w:jc w:val="both"/>
        <w:spacing w:after="0" w:line="246" w:lineRule="auto"/>
        <w:rPr>
          <w:sz w:val="20"/>
          <w:szCs w:val="20"/>
          <w:color w:val="auto"/>
        </w:rPr>
      </w:pPr>
      <w:r>
        <w:rPr>
          <w:rFonts w:ascii="Times New Roman" w:cs="Times New Roman" w:eastAsia="Times New Roman" w:hAnsi="Times New Roman"/>
          <w:sz w:val="20"/>
          <w:szCs w:val="20"/>
          <w:color w:val="auto"/>
        </w:rPr>
        <w:t>of their shares of Class A common stock can be made. We originally registered for resale up to 163,676,735 shares of our Class A common stock pursuant to our registration statement on Form S-3 filed under the Securities Act (File No. 333-266757), which was declared effective on August 10, 2023.</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may lose our emerging growth company status and become subject to the SEC’s internal control over financial reporting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2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148,336,349 shares of OPAL, comprising 84.1% of our outstanding common stock as of March 12, 2026, assuming conversion of all shares of Class B and Class D common stock into shares of Class A common stock. All of these shares (with the exception of 880,600 shares of Class A common stock purchased by Fortistar in the PIPE Investment, 3,000,000 shares of Class A common stock underlying warrants beneficially owned by Fortistar, and 56,712 shares of</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948" w:right="1440" w:bottom="348" w:gutter="0" w:footer="0" w:header="0"/>
          <w:type w:val="continuous"/>
        </w:sectPr>
      </w:pPr>
    </w:p>
    <w:bookmarkStart w:id="54" w:name="page55"/>
    <w:bookmarkEnd w:id="54"/>
    <w:p>
      <w:pPr>
        <w:jc w:val="both"/>
        <w:spacing w:after="0" w:line="248" w:lineRule="auto"/>
        <w:rPr>
          <w:sz w:val="20"/>
          <w:szCs w:val="20"/>
          <w:color w:val="auto"/>
        </w:rPr>
      </w:pPr>
      <w:r>
        <w:rPr>
          <w:rFonts w:ascii="Times New Roman" w:cs="Times New Roman" w:eastAsia="Times New Roman" w:hAnsi="Times New Roman"/>
          <w:sz w:val="20"/>
          <w:szCs w:val="20"/>
          <w:color w:val="auto"/>
        </w:rPr>
        <w:t>Class A common stock held directly by Mr. Comora) are Class B common stock, or are Class D common stock which have no economic rights but are entitled to five votes per share, giving Mr. Mark Comora control over 89.5%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172"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certificate of incorporation or bylaws,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168" w:lineRule="exact"/>
        <w:rPr>
          <w:sz w:val="20"/>
          <w:szCs w:val="20"/>
          <w:color w:val="auto"/>
        </w:rPr>
      </w:pPr>
    </w:p>
    <w:p>
      <w:pPr>
        <w:jc w:val="both"/>
        <w:ind w:firstLine="480"/>
        <w:spacing w:after="0" w:line="250" w:lineRule="auto"/>
        <w:rPr>
          <w:sz w:val="20"/>
          <w:szCs w:val="20"/>
          <w:color w:val="auto"/>
        </w:rPr>
      </w:pPr>
      <w:r>
        <w:rPr>
          <w:rFonts w:ascii="Times New Roman" w:cs="Times New Roman" w:eastAsia="Times New Roman" w:hAnsi="Times New Roman"/>
          <w:sz w:val="20"/>
          <w:szCs w:val="20"/>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948" w:right="1440" w:bottom="348" w:gutter="0" w:footer="0" w:header="0"/>
          <w:type w:val="continuous"/>
        </w:sectPr>
      </w:pPr>
    </w:p>
    <w:bookmarkStart w:id="55" w:name="page56"/>
    <w:bookmarkEnd w:id="55"/>
    <w:p>
      <w:pPr>
        <w:jc w:val="both"/>
        <w:spacing w:after="0" w:line="249" w:lineRule="auto"/>
        <w:rPr>
          <w:sz w:val="20"/>
          <w:szCs w:val="20"/>
          <w:color w:val="auto"/>
        </w:rPr>
      </w:pPr>
      <w:r>
        <w:rPr>
          <w:rFonts w:ascii="Times New Roman" w:cs="Times New Roman" w:eastAsia="Times New Roman" w:hAnsi="Times New Roman"/>
          <w:sz w:val="20"/>
          <w:szCs w:val="20"/>
          <w:color w:val="auto"/>
        </w:rPr>
        <w:t>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dual-class structure of our common stock may adversely affect the trading market for the shares of Class A common stock.</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can be no assurance that we will be able to comply with the continued listing standards of Nasdaq.</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spacing w:after="0" w:line="146" w:lineRule="exact"/>
        <w:rPr>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availability of market quotations for our securities;</w:t>
      </w:r>
    </w:p>
    <w:p>
      <w:pPr>
        <w:spacing w:after="0" w:line="15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that the Class A common stock is a “penny stock” which will require brokers trading in the Class A common stock to adhere to more stringent rules;</w:t>
      </w:r>
    </w:p>
    <w:p>
      <w:pPr>
        <w:spacing w:after="0" w:line="15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reduction in the level of trading activity in the secondary trading market for shares of the Class A common stock;</w:t>
      </w:r>
    </w:p>
    <w:p>
      <w:pPr>
        <w:spacing w:after="0" w:line="14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amount of analyst coverage; and</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ectPr>
          <w:pgSz w:w="12240" w:h="15840" w:orient="portrait"/>
          <w:cols w:equalWidth="0" w:num="1">
            <w:col w:w="9360"/>
          </w:cols>
          <w:pgMar w:left="1440" w:top="948" w:right="1440" w:bottom="348"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948" w:right="1440" w:bottom="348" w:gutter="0" w:footer="0" w:header="0"/>
          <w:type w:val="continuous"/>
        </w:sectPr>
      </w:pPr>
    </w:p>
    <w:bookmarkStart w:id="56" w:name="page57"/>
    <w:bookmarkEnd w:id="56"/>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5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Anti-takeover provisions are contained in our certificate of incorporation that could delay or prevent a change of control.</w:t>
      </w:r>
    </w:p>
    <w:p>
      <w:pPr>
        <w:spacing w:after="0" w:line="15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Certain provisions of our certificate of incorporation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These provisions, among other things:</w:t>
      </w:r>
    </w:p>
    <w:p>
      <w:pPr>
        <w:spacing w:after="0" w:line="157" w:lineRule="exact"/>
        <w:rPr>
          <w:sz w:val="20"/>
          <w:szCs w:val="20"/>
          <w:color w:val="auto"/>
        </w:rPr>
      </w:pPr>
    </w:p>
    <w:p>
      <w:pPr>
        <w:jc w:val="both"/>
        <w:ind w:left="960" w:hanging="480"/>
        <w:spacing w:after="0" w:line="246"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4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stockholders to call special meetings of stockholders;</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eliminate the ability of stockholders to fill vacancies on our board;</w:t>
      </w:r>
    </w:p>
    <w:p>
      <w:pPr>
        <w:spacing w:after="0" w:line="15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advance notice requirements for nominations for election to our board or for proposing matters that can be acted upon by stockholders at annual stockholder meetings;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our board to establish the number of directors;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our board is expressly authorized to make, alter or repeal our bylaws;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jurisdictions in which certain stockholder litigation may be brought.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the Class A common stock has been, and is likely to continue to be, volatile and could fluctuate in response to a number of factors, many of which are beyond our control.</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trading price of the Class A common stock may fluctuate significantly in response to a number of factors, many of which are beyond our control. For instance, if our financial results are below the expectations of securities analysts and investors, the market price of the Class A common stock could decrease, perhaps significantly. Factors that may affect the market price of the Class A common stock include changes in market prices of oil, natural gas and natural gas liquids; announcements relating to significant corporate transactions; fluctuations in our quarterly and annual financial results; operating and stock price performance of companies that investors deem comparable to us; and changes in government regulation or proposals relating to us, including as a result of increased and/or new tariffs on equipment supply and raw materials. In addition, the U.S. securities markets have experienced significant price and volume fluctuations, and these fluctuations often have been unrelated to the operating performance of companies in these markets. Any volatility of, or a significant decrease in, the market price of the Class A common stock could also</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951" w:right="1440" w:bottom="348" w:gutter="0" w:footer="0" w:header="0"/>
          <w:type w:val="continuous"/>
        </w:sectPr>
      </w:pPr>
    </w:p>
    <w:bookmarkStart w:id="57" w:name="page58"/>
    <w:bookmarkEnd w:id="57"/>
    <w:p>
      <w:pPr>
        <w:jc w:val="both"/>
        <w:spacing w:after="0" w:line="248" w:lineRule="auto"/>
        <w:rPr>
          <w:sz w:val="20"/>
          <w:szCs w:val="20"/>
          <w:color w:val="auto"/>
        </w:rPr>
      </w:pPr>
      <w:r>
        <w:rPr>
          <w:rFonts w:ascii="Times New Roman" w:cs="Times New Roman" w:eastAsia="Times New Roman" w:hAnsi="Times New Roman"/>
          <w:sz w:val="20"/>
          <w:szCs w:val="20"/>
          <w:color w:val="auto"/>
        </w:rPr>
        <w:t>negatively affect our ability to make acquisitions using Class A common stock. Further, if we were to be the object of securities class action litigation as a result of volatility in the Class A common stock price or for other reasons, it could result in substantial costs and diversion of our management’s attention and resources, which could negatively affect our financial results.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addition, uncertainty surrounding potential tariff increases on imported products and possible retaliatory measures by other countries could negatively impact our business. At this time, it is unclear the extent to which any tariffs will apply to imports of equipment and machinery upon which our business is reliant. Any new or increased tariffs, trade sanctions, or changes in U.S. trade policy could lead to higher operational costs. If we are unable to pass these additional costs to our customers and/or effectively manage higher operational expenses, our financial performance could be adversely affected.</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While we continue to assess the potential impact of these proposed tariffs and explore mitigation strategies, we do not currently anticipate a material adverse effect on our cost of goods sold or gross profit. This expectation assumes that the financial burden of increased tariffs will be absorbed primarily by market adjustments.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 credit ratings downgrade or other negative action by a credit rating organization could adversely affect the trading price of the shares of our Class A common stock.</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Credit rating agencies continually revise their ratings for companies they follow. The condition of the financial and credit markets and prevailing interest rates have fluctuated in the past and are likely to fluctuate in the future.</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developments in our business and operations could lead to a ratings downgrade for us or our subsidiaries. Any such fluctuation in our or our subsidiaries’ ratings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alternate forum, the Court of Chancery of the State of Delaware will, to the fullest extent permitted by applicable law, be the exclusive forum for (i) any derivative action, suit or proceeding brought on behalf of the Company; (ii) any action, suit or proceeding (including any class action) asserting a claim of breach of a fiduciary duty owed by any current or former director, officer, other employee, agent or stockholder of the Company to the Company or the Company’s stockholders; (iii) any action, suit or proceeding (including any class action) asserting a claim against the Company or any current or former director, officer, other employee, agent or stockholder of the Company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Company or any director, officer or other employee of the Company governed by the internal affairs doctrine, in all cases to the fullest extent permitted by law and subject to the court’s having personal jurisdiction over the indispensable parties named as defendants.</w:t>
      </w:r>
    </w:p>
    <w:p>
      <w:pPr>
        <w:spacing w:after="0" w:line="18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finds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68"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To prevent having to litigate claims in multiple</w:t>
      </w:r>
    </w:p>
    <w:p>
      <w:pPr>
        <w:sectPr>
          <w:pgSz w:w="12240" w:h="15840" w:orient="portrait"/>
          <w:cols w:equalWidth="0" w:num="1">
            <w:col w:w="9360"/>
          </w:cols>
          <w:pgMar w:left="1440" w:top="948" w:right="1440" w:bottom="348"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948" w:right="1440" w:bottom="348" w:gutter="0" w:footer="0" w:header="0"/>
          <w:type w:val="continuous"/>
        </w:sectPr>
      </w:pPr>
    </w:p>
    <w:bookmarkStart w:id="58" w:name="page59"/>
    <w:bookmarkEnd w:id="58"/>
    <w:p>
      <w:pPr>
        <w:jc w:val="both"/>
        <w:spacing w:after="0" w:line="249" w:lineRule="auto"/>
        <w:rPr>
          <w:sz w:val="20"/>
          <w:szCs w:val="20"/>
          <w:color w:val="auto"/>
        </w:rPr>
      </w:pPr>
      <w:r>
        <w:rPr>
          <w:rFonts w:ascii="Times New Roman" w:cs="Times New Roman" w:eastAsia="Times New Roman" w:hAnsi="Times New Roman"/>
          <w:sz w:val="20"/>
          <w:szCs w:val="20"/>
          <w:color w:val="auto"/>
        </w:rPr>
        <w:t>jurisdictions and the threat of inconsistent or contrary rulings by different courts, among other considerations, our certificate of incorporation provides that, unless we consent in writing to the selection of an alternate forum, the federal district courts of the United States of America will be the exclusive forum for the resolution of any complaint asserting a cause of action arising under the federal securities laws.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rely on information technology and data to operate our business and develop, market, and deliver our products and services to our customers. We have implemented and maintain various information security processes designed to identify, assess and manage material risks from cybersecurity threats to critical computer networks, third party hosted services, communications systems, hardware, software, and our confidential, personal, proprietary, and sensitive data (collectively, “Information Assets”). Accordingly, we maintain certain risk assessment processes intended to identify cybersecurity threats. We have implemented an information technology security policy, which includes cybersecurity vulnerability management designed to protect the confidentiality, integrity, and availability of our Information Assets and mitigate harm to our business.</w:t>
      </w:r>
    </w:p>
    <w:p>
      <w:pPr>
        <w:spacing w:after="0" w:line="171"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engage in processes designed to identify such threats by, among other things, monitoring the threat environment using manual and automated tools. We subscribe to reports and services that identify cybersecurity threats, analyze reports of threats and conduct vulnerability assessments to identify vulnerabilities.</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Depending on the environment, we implement and maintain various technical, physical and organizational measures designed to manage and mitigate material risks from cybersecurity threats to our Information Assets. We work with third parties, including cybersecurity software providers and managed cybersecurity service providers, to identify and assess cybersecurity risks and conduct penetration testing.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a third-party service provider reporting to the Company’s management. Management is also responsible for integrating cybersecurity considerations into our overall risk management strategy, communicating key priorities to employees, approving budgets, helping to prepare for cybersecurity incidents, approving cybersecurity processes, reviewing security assessments and making required disclosures. Management participates in cybersecurity incident response efforts by being a member of the incident response team and helping direct our response to cybersecurity incidents.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Our board of directors addresses our cybersecurity risk management as part of its general oversight function. The Audit Committee of the board of directors is responsible for overseeing our cybersecurity risk management processes, including oversight and mitigation of risks from cybersecurity threats.</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do not own any real property. Our corporate headquarters are located in White Plains, New York, where we occupy approximately 13,600 square feet of shared office space with an affiliate of Fortistar pursuant to an Administrative Services Agreement. In addition, we lease office and maintenance facilities in Oronoco, Minnesota and Rancho Cucamonga, California. Our interests in our RNG and Renewable Power projects are our only material properties. See Item 1. Business — Our projects for additional information.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948" w:right="1440" w:bottom="348" w:gutter="0" w:footer="0" w:header="0"/>
          <w:type w:val="continuous"/>
        </w:sectPr>
      </w:pPr>
    </w:p>
    <w:bookmarkStart w:id="59" w:name="page60"/>
    <w:bookmarkEnd w:id="59"/>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Central Valley Project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CEI has submitted a series of change order requests seeking to increase the EPC Contract Price by approximately $14 million,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January 2024, the Company filed a civil lawsuit captioned, MD Digester, LLC. et. al. vs. VEC Partners, Inc. et. al.; with the California Superior Court, County of San Joaquin; Action No. STK-CV-UCC-2024-0000185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scheduled in May 2026.</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EPC Agreement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notified CEI’s performance bond surety, Atlantic Specialty Insurance Company of the termination and demanded that it perform under the bond. Atlantic has denied the claim.</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a result of CEI’s default and Atlantic’s denial of the claims, MD and VS have amended their claims in the</w:t>
      </w:r>
    </w:p>
    <w:p>
      <w:pPr>
        <w:spacing w:after="0" w:line="17" w:lineRule="exact"/>
        <w:rPr>
          <w:sz w:val="20"/>
          <w:szCs w:val="20"/>
          <w:color w:val="auto"/>
        </w:rPr>
      </w:pPr>
    </w:p>
    <w:p>
      <w:pPr>
        <w:spacing w:after="0" w:line="243" w:lineRule="auto"/>
        <w:tabs>
          <w:tab w:leader="none" w:pos="50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arbitration to include breach of contract claims against CEI and breach of performance bond claims against Atlantic (who was formally joined into the arbitration on November 20, 2024) in the AAA Arbitration with CEI.</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CEI has since recorded mechanic’s liens against each of the projects for $4.9 million (MD) and $2 million (VS), and recently filed actions with the Stanislaus and San Joaquin County Superior Courts, respectively, to enforce their liens. It is expected that these claims will be stayed and consolidated with the pending arbitration proceeding.</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to the above-referenced action and arbitration, several of CEI’s subcontractors have recorded mechanic’s liens against the MD and VS projects, which the Company is obligated to defend and indemnify the dairy owners from and against. Several liens were untimely and have been released.</w:t>
      </w:r>
    </w:p>
    <w:p>
      <w:pPr>
        <w:spacing w:after="0" w:line="173"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941" w:right="1440" w:bottom="348" w:gutter="0" w:footer="0" w:header="0"/>
          <w:type w:val="continuous"/>
        </w:sectPr>
      </w:pPr>
    </w:p>
    <w:bookmarkStart w:id="60" w:name="page61"/>
    <w:bookmarkEnd w:id="60"/>
    <w:p>
      <w:pPr>
        <w:jc w:val="both"/>
        <w:spacing w:after="0" w:line="248" w:lineRule="auto"/>
        <w:rPr>
          <w:sz w:val="20"/>
          <w:szCs w:val="20"/>
          <w:color w:val="auto"/>
        </w:rPr>
      </w:pPr>
      <w:r>
        <w:rPr>
          <w:rFonts w:ascii="Times New Roman" w:cs="Times New Roman" w:eastAsia="Times New Roman" w:hAnsi="Times New Roman"/>
          <w:sz w:val="20"/>
          <w:szCs w:val="20"/>
          <w:color w:val="auto"/>
        </w:rPr>
        <w:t>surety, as well as the uncertainties involved in all litigation and arbitration, the Company does not believe it is feasible at this time to assess the likely outcome of the litigation and related arbitration, the timing of its resolution, or its ultimate impact, if any, on the Central Valley projects or the Company’s business, financial condition or 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Former Development Partner/Construction Manager</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March 2024, the Company filed an action in the Orange County Superior Court (Case No. 30-2024-01415510-CU-BC-CXC)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defendants have recently filed an answer and certain cross claims, to which the Company has demurred. Discovery in the case is now underway.</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948" w:right="1440" w:bottom="348"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tab/>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shares of Class A common stock are traded on the Nasdaq Stock Market LLC under the symbol “OPAL”.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On March 13, 2026, the closing sale price of our shares of Class A common stock, as reported on the Nasdaq Stock Market LLC, was $2.14 per share.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number of stockholders of record of our shares of Class A common stock was approximately 10 on March 13,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Dividends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Our Board of Directors currently intends to retain any future earnings to support operations and to finance the growth and development of our business, and therefore does not intend to pay cash dividends on our common stock in the near term.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 Use of Proceeds from Registered Offerings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tab/>
        <w:t>MANAGEMENT’S DISCUSSION AND ANALYSIS OF FINANCIAL CONDITION AND RESULTS OF OPERATIONS</w:t>
      </w:r>
    </w:p>
    <w:p>
      <w:pPr>
        <w:spacing w:after="0" w:line="176"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i w:val="1"/>
          <w:iCs w:val="1"/>
          <w:color w:val="auto"/>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consolidated financial statements and related notes set forth in Part II, Item 8 — “Financial Statements and Supplementary Data” and the risk factors identified in Part I, Item 1A — “Risk Factors” of this Annual Report. In addition to historical information, this discussion and analysis includes certain forward-looking statements which reflect our current expectations. The Company’s actual results may materially differ from these forward-looking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is a vertically integrated leader in the capture and conversion of biogas into low carbon intensity Renewable Power and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LFG, which is produced by the decomposition of organic waste at landfills, and (ii) dairy manure, which is processed through anaerobic digesters to produce the biogas.</w:t>
      </w:r>
    </w:p>
    <w:p>
      <w:pPr>
        <w:sectPr>
          <w:pgSz w:w="12240" w:h="15840" w:orient="portrait"/>
          <w:cols w:equalWidth="0" w:num="1">
            <w:col w:w="9360"/>
          </w:cols>
          <w:pgMar w:left="1440" w:top="941" w:right="1440" w:bottom="348"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941" w:right="1440" w:bottom="348" w:gutter="0" w:footer="0" w:header="0"/>
          <w:type w:val="continuous"/>
        </w:sectPr>
      </w:pPr>
    </w:p>
    <w:bookmarkStart w:id="62" w:name="page63"/>
    <w:bookmarkEnd w:id="62"/>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6, 2026, OPAL Fuels LLC entered into a subscription agreement with Preferred Fuels LLC (“Preferred Fuels”), an affiliate of Fortistar, pursuant to which Preferred Fuels committed to purchase up to $180.0 million of Series A preferred units in multiple closings. At the initial closing on March 6, 2026, the investor purchased 1.2 million Series A preferred units for aggregate proceeds of $120.0 million. OPAL Fuels may, in its sole discretion, require the investor to fund up to an additional $60.0 million within one year of the initial closing, subject to the terms of the subscription agreement.</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Series A preferred units are entitled to preferred quarterly distributions at a rate of 12% per annum, compounding quarterly, and rank senior to all other classes of equity interests of OPAL Fuels LLC, except for certain existing preferred units to which they are pari passu. In connection with the initial closing, the Company also issued a warrant to the investor to purchase up to 3.0 million shares of the Company’s Class A common stock, subject to vesting, forfeiture, and other terms and conditions.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fourth quarter of 2025, Nextera provided notice of its right to require redemption of all outstanding Series A preferred units. The redemption period, originally scheduled to expire on March 3, 2026 was extended through March 31, 2026. On March 6, 2026, OPAL Fuels LLC redeemed all such preferred units for an aggregate redemption price of $100.0 million, funded with proceeds from the initial preferred unit issuance described above.</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subsequent to December 31, 2025, the Company drew approximately $128.4 million under its term loan facility pursuant to its existing credit agreement. A portion of the proceeds from the borrowing was used to repay approximately $20.0 million outstanding under the revolving loan facility.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and Trends Influencing our Results of Operations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principal factors affecting our results of operations and financial condition are the markets for RNG, Renewable Power, and associated Environmental Attributes, access to suitable biogas production resources, the regulatory environment of our industry, and the seasonality of demand and pricing for our products. Additional factors and trends affecting our business are discussed in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elsewhere in this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Demand for RNG</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Washington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156"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are also exposed to the commodity prices of natural gas and diesel, which serve as alternative fuel for RNG and therefore impact the demand for RNG.</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948" w:right="1440" w:bottom="348"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w:t>Renewable Power Markets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also generate revenues from sales of Renewable Power generated by our biogas-to-Renewable Power projects, and associated RECs. RECs exist because of legal and governmental regulatory requirements in Europe and the United States, and a change in law or in governmental policies concerning Renewable Power, LFG, or RECs could affect the market for, and the pricing of, such power and credits.</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and associated RECs, together with the revenue opportunities and conversion costs associated with converting our LFG sites to RNG production, could have a significant impact on our future profitability.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Regulatory landscape</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our risk factor titled </w:t>
      </w:r>
      <w:r>
        <w:rPr>
          <w:rFonts w:ascii="Times New Roman" w:cs="Times New Roman" w:eastAsia="Times New Roman" w:hAnsi="Times New Roman"/>
          <w:sz w:val="20"/>
          <w:szCs w:val="20"/>
          <w:i w:val="1"/>
          <w:iCs w:val="1"/>
          <w:color w:val="auto"/>
        </w:rPr>
        <w:t>“The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performance of our business depends upon tax and other government incentives for the generation of RNG and Renewable Power, any of which could change at any time and such changes may negatively impact our growth strategy.” </w:t>
      </w:r>
      <w:r>
        <w:rPr>
          <w:rFonts w:ascii="Times New Roman" w:cs="Times New Roman" w:eastAsia="Times New Roman" w:hAnsi="Times New Roman"/>
          <w:sz w:val="20"/>
          <w:szCs w:val="20"/>
          <w:color w:val="auto"/>
        </w:rPr>
        <w:t>Government regulations have become increasingly stringent and complying with changes in regulations may result in significant additional operating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Seasonality</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Our Results of Operations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consolidated statements of operations under the following captions:</w:t>
      </w:r>
    </w:p>
    <w:p>
      <w:pPr>
        <w:spacing w:after="0" w:line="168" w:lineRule="exact"/>
        <w:rPr>
          <w:sz w:val="20"/>
          <w:szCs w:val="20"/>
          <w:color w:val="auto"/>
        </w:rPr>
      </w:pPr>
    </w:p>
    <w:p>
      <w:pPr>
        <w:ind w:left="960" w:hanging="480"/>
        <w:spacing w:after="0" w:line="244"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The RNG Fuel segment includes RNG supply as well as the associated generation and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commodity natural gas and environmental credits, and consists of:</w:t>
      </w:r>
    </w:p>
    <w:p>
      <w:pPr>
        <w:spacing w:after="0" w:line="173"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Production Facilities — the design, development, construction, maintenance and operation of facilities that convert raw biogas into pipeline quality natural gas; and</w:t>
      </w:r>
    </w:p>
    <w:p>
      <w:pPr>
        <w:spacing w:after="0" w:line="167"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interests in both operating and construction projects.</w:t>
      </w:r>
    </w:p>
    <w:p>
      <w:pPr>
        <w:spacing w:after="0" w:line="175" w:lineRule="exact"/>
        <w:rPr>
          <w:rFonts w:ascii="Times New Roman" w:cs="Times New Roman" w:eastAsia="Times New Roman" w:hAnsi="Times New Roman"/>
          <w:sz w:val="20"/>
          <w:szCs w:val="20"/>
          <w:color w:val="auto"/>
        </w:rPr>
      </w:pPr>
    </w:p>
    <w:p>
      <w:pPr>
        <w:jc w:val="both"/>
        <w:ind w:left="960" w:hanging="480"/>
        <w:spacing w:after="0" w:line="247"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Through the Fuel Station Services segment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provide construction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maintenance services to third-party owners of vehicle Fueling Stations and perform fuel dispensing activities including generation and minting of environmental credits. This segment includes:</w:t>
      </w:r>
    </w:p>
    <w:p>
      <w:pPr>
        <w:spacing w:after="0" w:line="164"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division that builds compact fueling systems and defueling systems;</w:t>
      </w:r>
    </w:p>
    <w:p>
      <w:pPr>
        <w:spacing w:after="0" w:line="176" w:lineRule="exact"/>
        <w:rPr>
          <w:rFonts w:ascii="Times New Roman" w:cs="Times New Roman" w:eastAsia="Times New Roman" w:hAnsi="Times New Roman"/>
          <w:sz w:val="20"/>
          <w:szCs w:val="20"/>
          <w:color w:val="auto"/>
        </w:rPr>
      </w:pPr>
    </w:p>
    <w:p>
      <w:pPr>
        <w:jc w:val="both"/>
        <w:ind w:left="1440" w:hanging="480"/>
        <w:spacing w:after="0" w:line="246" w:lineRule="auto"/>
        <w:tabs>
          <w:tab w:leader="none" w:pos="14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Design/Build contracts where the Company serves as general contractor for construction of Fueling Stations, typically structured as Guarantee Maximum Price or fixed priced contracts for customers, generally lasting less than one year;</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941" w:right="1440" w:bottom="348" w:gutter="0" w:footer="0" w:header="0"/>
          <w:type w:val="continuous"/>
        </w:sectPr>
      </w:pPr>
    </w:p>
    <w:bookmarkStart w:id="64" w:name="page65"/>
    <w:bookmarkEnd w:id="64"/>
    <w:p>
      <w:pPr>
        <w:ind w:left="1440" w:hanging="480"/>
        <w:spacing w:after="0"/>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contracts for RNG/CNG Fueling Stations; and</w:t>
      </w:r>
    </w:p>
    <w:p>
      <w:pPr>
        <w:spacing w:after="0" w:line="176" w:lineRule="exact"/>
        <w:rPr>
          <w:rFonts w:ascii="Times New Roman" w:cs="Times New Roman" w:eastAsia="Times New Roman" w:hAnsi="Times New Roman"/>
          <w:sz w:val="20"/>
          <w:szCs w:val="20"/>
          <w:color w:val="auto"/>
        </w:rPr>
      </w:pPr>
    </w:p>
    <w:p>
      <w:pPr>
        <w:jc w:val="both"/>
        <w:ind w:left="1440" w:hanging="480"/>
        <w:spacing w:after="0" w:line="246" w:lineRule="auto"/>
        <w:tabs>
          <w:tab w:leader="none" w:pos="14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and CNG Fuel Dispensing Stations — This includes both the dispensing (or sale) of RNG, CNG, and environmental credit generation and monetization. We operate Fueling Stations that dispense both CNG and RNG fuel for vehicles.</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Renewable Power Portfolio. </w:t>
      </w:r>
      <w:r>
        <w:rPr>
          <w:rFonts w:ascii="Times New Roman" w:cs="Times New Roman" w:eastAsia="Times New Roman" w:hAnsi="Times New Roman"/>
          <w:sz w:val="20"/>
          <w:szCs w:val="20"/>
          <w:color w:val="auto"/>
        </w:rPr>
        <w:t>The Renewable Power segment generates Renewable Power and associated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Environmental Attributes through combustion of biogas from landfills which is then sold to public utilities throughout the United States. Please see </w:t>
      </w:r>
      <w:r>
        <w:rPr>
          <w:rFonts w:ascii="Times New Roman" w:cs="Times New Roman" w:eastAsia="Times New Roman" w:hAnsi="Times New Roman"/>
          <w:sz w:val="20"/>
          <w:szCs w:val="20"/>
          <w:i w:val="1"/>
          <w:iCs w:val="1"/>
          <w:color w:val="auto"/>
        </w:rPr>
        <w:t>Note 10. Reportable Segments and Geographic Information</w:t>
      </w:r>
      <w:r>
        <w:rPr>
          <w:rFonts w:ascii="Times New Roman" w:cs="Times New Roman" w:eastAsia="Times New Roman" w:hAnsi="Times New Roman"/>
          <w:sz w:val="20"/>
          <w:szCs w:val="20"/>
          <w:color w:val="auto"/>
        </w:rPr>
        <w:t xml:space="preserve"> to our consolidated financial statements for additional information.</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costs of sales associated with each revenue category are as follows:</w:t>
      </w:r>
    </w:p>
    <w:p>
      <w:pPr>
        <w:spacing w:after="0" w:line="175" w:lineRule="exact"/>
        <w:rPr>
          <w:sz w:val="20"/>
          <w:szCs w:val="20"/>
          <w:color w:val="auto"/>
        </w:rPr>
      </w:pPr>
    </w:p>
    <w:p>
      <w:pPr>
        <w:jc w:val="both"/>
        <w:ind w:left="960" w:hanging="480"/>
        <w:spacing w:after="0" w:line="247" w:lineRule="auto"/>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Includes royalty payments to biogas site owners for the biogas we use; service provider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salaries and other indirect expenses related to the production process, utilities, transportation, storage, and insurance; and depreciation of production facilities.</w:t>
      </w:r>
    </w:p>
    <w:p>
      <w:pPr>
        <w:spacing w:after="0" w:line="169" w:lineRule="exact"/>
        <w:rPr>
          <w:rFonts w:ascii="Times New Roman" w:cs="Times New Roman" w:eastAsia="Times New Roman" w:hAnsi="Times New Roman"/>
          <w:sz w:val="20"/>
          <w:szCs w:val="20"/>
          <w:color w:val="auto"/>
        </w:rPr>
      </w:pPr>
    </w:p>
    <w:p>
      <w:pPr>
        <w:ind w:left="960" w:hanging="480"/>
        <w:spacing w:after="0" w:line="244" w:lineRule="auto"/>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Fuel Station Services. </w:t>
      </w:r>
      <w:r>
        <w:rPr>
          <w:rFonts w:ascii="Times New Roman" w:cs="Times New Roman" w:eastAsia="Times New Roman" w:hAnsi="Times New Roman"/>
          <w:sz w:val="20"/>
          <w:szCs w:val="20"/>
          <w:color w:val="auto"/>
        </w:rPr>
        <w:t>Includes equipment supplier costs; service provider costs; and salaries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indirect expenses.</w:t>
      </w:r>
    </w:p>
    <w:p>
      <w:pPr>
        <w:spacing w:after="0" w:line="172" w:lineRule="exact"/>
        <w:rPr>
          <w:rFonts w:ascii="Times New Roman" w:cs="Times New Roman" w:eastAsia="Times New Roman" w:hAnsi="Times New Roman"/>
          <w:sz w:val="20"/>
          <w:szCs w:val="20"/>
          <w:color w:val="auto"/>
        </w:rPr>
      </w:pPr>
    </w:p>
    <w:p>
      <w:pPr>
        <w:ind w:left="960" w:hanging="480"/>
        <w:spacing w:after="0" w:line="244" w:lineRule="auto"/>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Renewable Power. </w:t>
      </w:r>
      <w:r>
        <w:rPr>
          <w:rFonts w:ascii="Times New Roman" w:cs="Times New Roman" w:eastAsia="Times New Roman" w:hAnsi="Times New Roman"/>
          <w:sz w:val="20"/>
          <w:szCs w:val="20"/>
          <w:color w:val="auto"/>
        </w:rPr>
        <w:t>Includes land usage costs; service provider costs; salaries and other indirect 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the production process; utilities; and depreciation of production facilities.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Project development and start up costs includes certain development costs such as legal fees, consulting fees for joint venture structuring, royalties to the landfill owner, fines, settlements, site lease expenses and certification costs on our RNG projects under construction. Additionally, the Company also incurs certain expenses on new RNG projects during the first two years that such projects are operational, such as virtual pipeline costs (incurred until a physical interconnect pipeline is built) and ramp up costs incurred during the certification period.</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Selling, general, and administrative expense consists of costs involving corporate overhead functions, including the cost of services provided to us by an affiliate, and marketing costs.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customers and associated credit risk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percentage of consolidated accounts receivable, net by customers that equal or exceed 10% of the consolidated accounts receivable, net as of December 31, 2025 and 2024. No other single customer accounted for 10% or greater of our consolidated accounts receivables in these periods: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8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Customer 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23"/>
        </w:trPr>
        <w:tc>
          <w:tcPr>
            <w:tcW w:w="65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Customer B . . . . . . . . . . . . . . . . . . . . . . . . . . . . . . . . . . . . . . . . . . . . . . . . . . . . . .</w:t>
            </w:r>
          </w:p>
        </w:tc>
        <w:tc>
          <w:tcPr>
            <w:tcW w:w="14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12%</w:t>
            </w:r>
          </w:p>
        </w:tc>
        <w:tc>
          <w:tcPr>
            <w:tcW w:w="1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19%</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Customer C . . . . . . . . . . . . .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Customer D . . . . . . . . . . . . . . . .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sales of Environmental Attributes under Purchase and Sale agreements and Renewable Power sale agreements.</w:t>
      </w:r>
    </w:p>
    <w:p>
      <w:pPr>
        <w:spacing w:after="0" w:line="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Less than 10%</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942" w:right="1440" w:bottom="348" w:gutter="0" w:footer="0" w:header="0"/>
          <w:type w:val="continuous"/>
        </w:sectPr>
      </w:pPr>
    </w:p>
    <w:bookmarkStart w:id="65" w:name="page66"/>
    <w:bookmarkEnd w:id="65"/>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percentage of consolidated revenues from customers that equal 10% or greater of the consolidated revenues in the period. No other single customer accounted for more than 10% of consolidated revenues in these periods:</w:t>
      </w:r>
    </w:p>
    <w:p>
      <w:pPr>
        <w:spacing w:after="0" w:line="17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13970</wp:posOffset>
                </wp:positionV>
                <wp:extent cx="17145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pt" to="462pt,1.1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47"/>
        </w:trPr>
        <w:tc>
          <w:tcPr>
            <w:tcW w:w="7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 . . . . . .</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60"/>
        </w:trPr>
        <w:tc>
          <w:tcPr>
            <w:tcW w:w="7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 . . . . . .</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Operational data</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following table summarizes the operational data achieved for the years ended December 31, 2025 and 2024:</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Landfill RNG Facility Capacity and Utilization Summary</w:t>
      </w:r>
    </w:p>
    <w:p>
      <w:pPr>
        <w:spacing w:after="0" w:line="18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84"/>
        </w:trPr>
        <w:tc>
          <w:tcPr>
            <w:tcW w:w="7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Design Capacity (Million MMBtus)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20" w:type="dxa"/>
            <w:vAlign w:val="bottom"/>
          </w:tcPr>
          <w:p>
            <w:pPr>
              <w:spacing w:after="0"/>
              <w:rPr>
                <w:sz w:val="24"/>
                <w:szCs w:val="24"/>
                <w:color w:val="auto"/>
              </w:rPr>
            </w:pPr>
          </w:p>
        </w:tc>
      </w:tr>
      <w:tr>
        <w:trPr>
          <w:trHeight w:val="260"/>
        </w:trPr>
        <w:tc>
          <w:tcPr>
            <w:tcW w:w="74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Volume of Inlet Gas (Million MMBtus)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w:t>
            </w:r>
          </w:p>
        </w:tc>
        <w:tc>
          <w:tcPr>
            <w:tcW w:w="3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6.2</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4.6</w:t>
            </w:r>
          </w:p>
        </w:tc>
        <w:tc>
          <w:tcPr>
            <w:tcW w:w="120" w:type="dxa"/>
            <w:vAlign w:val="bottom"/>
          </w:tcPr>
          <w:p>
            <w:pPr>
              <w:spacing w:after="0"/>
              <w:rPr>
                <w:sz w:val="22"/>
                <w:szCs w:val="22"/>
                <w:color w:val="auto"/>
              </w:rPr>
            </w:pPr>
          </w:p>
        </w:tc>
      </w:tr>
      <w:tr>
        <w:trPr>
          <w:trHeight w:val="260"/>
        </w:trPr>
        <w:tc>
          <w:tcPr>
            <w:tcW w:w="74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Inlet Design Capacity Utilization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w:t>
            </w:r>
          </w:p>
        </w:tc>
        <w:tc>
          <w:tcPr>
            <w:tcW w:w="5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75%</w:t>
            </w:r>
          </w:p>
        </w:tc>
        <w:tc>
          <w:tcPr>
            <w:tcW w:w="1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73%</w:t>
            </w:r>
          </w:p>
        </w:tc>
      </w:tr>
      <w:tr>
        <w:trPr>
          <w:trHeight w:val="260"/>
        </w:trPr>
        <w:tc>
          <w:tcPr>
            <w:tcW w:w="744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RNG Fuel volume produced (Million MMBtus)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w:t>
            </w:r>
          </w:p>
        </w:tc>
        <w:tc>
          <w:tcPr>
            <w:tcW w:w="3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4.7</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3.7</w:t>
            </w:r>
          </w:p>
        </w:tc>
        <w:tc>
          <w:tcPr>
            <w:tcW w:w="120" w:type="dxa"/>
            <w:vAlign w:val="bottom"/>
          </w:tcPr>
          <w:p>
            <w:pPr>
              <w:spacing w:after="0"/>
              <w:rPr>
                <w:sz w:val="22"/>
                <w:szCs w:val="22"/>
                <w:color w:val="auto"/>
              </w:rPr>
            </w:pPr>
          </w:p>
        </w:tc>
      </w:tr>
      <w:tr>
        <w:trPr>
          <w:trHeight w:val="262"/>
        </w:trPr>
        <w:tc>
          <w:tcPr>
            <w:tcW w:w="744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Utilization of Inlet Gas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 . . . . . . . . . . . . . . . . .</w:t>
            </w:r>
          </w:p>
        </w:tc>
        <w:tc>
          <w:tcPr>
            <w:tcW w:w="5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77%</w:t>
            </w:r>
          </w:p>
        </w:tc>
        <w:tc>
          <w:tcPr>
            <w:tcW w:w="1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7" w:lineRule="exact"/>
        <w:rPr>
          <w:sz w:val="20"/>
          <w:szCs w:val="20"/>
          <w:color w:val="auto"/>
        </w:rPr>
      </w:pPr>
    </w:p>
    <w:p>
      <w:pPr>
        <w:jc w:val="both"/>
        <w:ind w:left="480" w:hanging="480"/>
        <w:spacing w:after="0" w:line="251"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3" w:lineRule="exact"/>
        <w:rPr>
          <w:rFonts w:ascii="Times New Roman" w:cs="Times New Roman" w:eastAsia="Times New Roman" w:hAnsi="Times New Roman"/>
          <w:sz w:val="18"/>
          <w:szCs w:val="18"/>
          <w:color w:val="auto"/>
        </w:rPr>
      </w:pPr>
    </w:p>
    <w:p>
      <w:pPr>
        <w:jc w:val="both"/>
        <w:ind w:left="480" w:hanging="480"/>
        <w:spacing w:after="0" w:line="253"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LFG collection system used to recover the LFG. The Design Capacity for each facility will typically be correlated to the amount of LFG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spacing w:after="0" w:line="6"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Sunoma and Biotown</w:t>
      </w:r>
    </w:p>
    <w:p>
      <w:pPr>
        <w:spacing w:after="0" w:line="21"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of Inlet Gas is measured as RNG Fuel Volume Produced divided by the Volume of Inlet Gas. Utilization of Inlet Gas varies over time depending on availability and efficiency of the facility and the quality of LFG (i.e., concentrations of methane, oxygen, nitrogen, and other gases). The Company generally expects Utilization of Inlet Gas to be in the range of 80% to 90%. Excludes Sunoma and Biotown.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Renewable Power Capacity and Utilization Summary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65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82"/>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Nameplate Capacity (MW per hour)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120" w:type="dxa"/>
            <w:vAlign w:val="bottom"/>
          </w:tcPr>
          <w:p>
            <w:pPr>
              <w:spacing w:after="0"/>
              <w:rPr>
                <w:sz w:val="24"/>
                <w:szCs w:val="24"/>
                <w:color w:val="auto"/>
              </w:rPr>
            </w:pPr>
          </w:p>
        </w:tc>
      </w:tr>
      <w:tr>
        <w:trPr>
          <w:trHeight w:val="260"/>
        </w:trPr>
        <w:tc>
          <w:tcPr>
            <w:tcW w:w="6540" w:type="dxa"/>
            <w:vAlign w:val="bottom"/>
          </w:tcPr>
          <w:p>
            <w:pPr>
              <w:spacing w:after="0" w:line="259" w:lineRule="exact"/>
              <w:rPr>
                <w:sz w:val="20"/>
                <w:szCs w:val="20"/>
                <w:color w:val="auto"/>
              </w:rPr>
            </w:pPr>
            <w:r>
              <w:rPr>
                <w:rFonts w:ascii="Times New Roman" w:cs="Times New Roman" w:eastAsia="Times New Roman" w:hAnsi="Times New Roman"/>
                <w:sz w:val="20"/>
                <w:szCs w:val="20"/>
                <w:color w:val="auto"/>
              </w:rPr>
              <w:t>Nameplate Capacity for the period (Millions MWh)</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0.93</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0.93</w:t>
            </w:r>
          </w:p>
        </w:tc>
        <w:tc>
          <w:tcPr>
            <w:tcW w:w="120" w:type="dxa"/>
            <w:vAlign w:val="bottom"/>
          </w:tcPr>
          <w:p>
            <w:pPr>
              <w:spacing w:after="0"/>
              <w:rPr>
                <w:sz w:val="22"/>
                <w:szCs w:val="22"/>
                <w:color w:val="auto"/>
              </w:rPr>
            </w:pPr>
          </w:p>
        </w:tc>
      </w:tr>
      <w:tr>
        <w:trPr>
          <w:trHeight w:val="223"/>
        </w:trPr>
        <w:tc>
          <w:tcPr>
            <w:tcW w:w="65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Renewable Power produced ( Millions MWh)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0.35</w:t>
            </w: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0.36</w:t>
            </w:r>
          </w:p>
        </w:tc>
        <w:tc>
          <w:tcPr>
            <w:tcW w:w="120" w:type="dxa"/>
            <w:vAlign w:val="bottom"/>
          </w:tcPr>
          <w:p>
            <w:pPr>
              <w:spacing w:after="0"/>
              <w:rPr>
                <w:sz w:val="19"/>
                <w:szCs w:val="19"/>
                <w:color w:val="auto"/>
              </w:rPr>
            </w:pPr>
          </w:p>
        </w:tc>
      </w:tr>
      <w:tr>
        <w:trPr>
          <w:trHeight w:val="299"/>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Design Capacity Utilization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jc w:val="both"/>
        <w:ind w:left="480" w:hanging="480"/>
        <w:spacing w:after="0" w:line="251" w:lineRule="auto"/>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948" w:right="1440" w:bottom="348" w:gutter="0" w:footer="0" w:header="0"/>
          <w:type w:val="continuous"/>
        </w:sectPr>
      </w:pPr>
    </w:p>
    <w:bookmarkStart w:id="66" w:name="page67"/>
    <w:bookmarkEnd w:id="66"/>
    <w:p>
      <w:pPr>
        <w:jc w:val="both"/>
        <w:ind w:left="480" w:hanging="480"/>
        <w:spacing w:after="0" w:line="252" w:lineRule="auto"/>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spacing w:after="0" w:line="175"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Item 1. Business</w:t>
      </w:r>
      <w:r>
        <w:rPr>
          <w:rFonts w:ascii="Times New Roman" w:cs="Times New Roman" w:eastAsia="Times New Roman" w:hAnsi="Times New Roman"/>
          <w:sz w:val="20"/>
          <w:szCs w:val="20"/>
          <w:color w:val="auto"/>
        </w:rPr>
        <w:t xml:space="preserve"> for information on RNG and Renewable Power projects that are currently in operation or under construction within our portfolio.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RNG Fuel Production, Sales, and Delivery</w:t>
      </w:r>
    </w:p>
    <w:p>
      <w:pPr>
        <w:spacing w:after="0" w:line="18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13970</wp:posOffset>
                </wp:positionV>
                <wp:extent cx="17145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pt" to="462pt,1.1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volume produced (Million MMBtus)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6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volume sold (Million GGEs) . . . . . . .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74.0</w:t>
            </w:r>
          </w:p>
        </w:tc>
      </w:tr>
      <w:tr>
        <w:trPr>
          <w:trHeight w:val="260"/>
        </w:trPr>
        <w:tc>
          <w:tcPr>
            <w:tcW w:w="7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volume delivered (Million GGEs) . . . . . . . . . . . . . . . . .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161.9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150.2</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period-over-period change for each line item in the Company’s consolidated statements of operations for the years ended December 31,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20" w:type="dxa"/>
            <w:vAlign w:val="bottom"/>
            <w:tcBorders>
              <w:bottom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21"/>
              <w:spacing w:after="0" w:line="199"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0"/>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1"/>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200" w:type="dxa"/>
            <w:vAlign w:val="bottom"/>
            <w:tcBorders>
              <w:bottom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RNG fuel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101,656</w:t>
            </w:r>
          </w:p>
        </w:tc>
        <w:tc>
          <w:tcPr>
            <w:tcW w:w="12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88,420</w:t>
            </w:r>
          </w:p>
        </w:tc>
        <w:tc>
          <w:tcPr>
            <w:tcW w:w="12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13,236</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Fuel Station Services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214,551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166,875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47,676</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60"/>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Renewable Power . . . . . . . . . . . . . . . . . . . . .</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(11,909)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Total revenues . . . . . . . . . . . . . . . . . . . . . .</w:t>
            </w: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348,975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49,003</w:t>
            </w:r>
          </w:p>
        </w:tc>
        <w:tc>
          <w:tcPr>
            <w:tcW w:w="18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40"/>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Cost of sales – RNG fuel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10,730</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Cost of sales – Fuel Station Services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166,778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128,804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37,974</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Cost of sales – Renewable Power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26,734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(5,761)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Project development and start up costs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(4,167)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Selling, general and administrative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63,982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53,124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10,858</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Depreciation, amortization, and accretion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4,585</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Impairment loss . . . . . . . . . . . . . . . . . . . . . . .</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(2,016)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1"/>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Income from equity method investments . . .</w:t>
            </w: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(2,627)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(13,235)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10,608</w:t>
            </w:r>
          </w:p>
        </w:tc>
        <w:tc>
          <w:tcPr>
            <w:tcW w:w="180" w:type="dxa"/>
            <w:vAlign w:val="bottom"/>
          </w:tcPr>
          <w:p>
            <w:pPr>
              <w:spacing w:after="0"/>
              <w:rPr>
                <w:sz w:val="22"/>
                <w:szCs w:val="22"/>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Total operating expenses . . . . . . . . . . . . .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341,561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278,750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62,811</w:t>
            </w:r>
          </w:p>
        </w:tc>
        <w:tc>
          <w:tcPr>
            <w:tcW w:w="18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Operating income . . . . . . . . . . . . . . . . . .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(13,808)</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40"/>
        </w:trPr>
        <w:tc>
          <w:tcPr>
            <w:tcW w:w="3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(expense) income</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Interest and financing expense . . . . . . . . . . .</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(27,521)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(21,531)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(5,990)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Interest income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(674)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60"/>
        </w:trPr>
        <w:tc>
          <w:tcPr>
            <w:tcW w:w="41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Other income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(1,282)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37"/>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(loss) income before income tax</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benefit . . . . . . . . . . . . . . . . . . . . . . . . . . . .</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(16,335)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5,419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(21,754)</w:t>
            </w:r>
          </w:p>
        </w:tc>
        <w:tc>
          <w:tcPr>
            <w:tcW w:w="13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(401)%</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Income tax benefit . . . . . . . . . . . . . . . . . .</w:t>
            </w: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43,840</w:t>
            </w:r>
          </w:p>
        </w:tc>
        <w:tc>
          <w:tcPr>
            <w:tcW w:w="18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492%</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Net income . . . . . . . . . . . . . . . . . . . . . . . .</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22,086</w:t>
            </w:r>
          </w:p>
        </w:tc>
        <w:tc>
          <w:tcPr>
            <w:tcW w:w="18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Net income attributable to redeemable</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non-controlling interest . . . . . . . . . . . . .</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21,329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18,478</w:t>
            </w:r>
          </w:p>
        </w:tc>
        <w:tc>
          <w:tcPr>
            <w:tcW w:w="180" w:type="dxa"/>
            <w:vAlign w:val="bottom"/>
          </w:tcPr>
          <w:p>
            <w:pPr>
              <w:spacing w:after="0"/>
              <w:rPr>
                <w:sz w:val="19"/>
                <w:szCs w:val="19"/>
                <w:color w:val="auto"/>
              </w:rPr>
            </w:pPr>
          </w:p>
        </w:tc>
        <w:tc>
          <w:tcPr>
            <w:tcW w:w="132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648%</w:t>
            </w:r>
          </w:p>
        </w:tc>
        <w:tc>
          <w:tcPr>
            <w:tcW w:w="0" w:type="dxa"/>
            <w:vAlign w:val="bottom"/>
          </w:tcPr>
          <w:p>
            <w:pPr>
              <w:spacing w:after="0"/>
              <w:rPr>
                <w:sz w:val="1"/>
                <w:szCs w:val="1"/>
                <w:color w:val="auto"/>
              </w:rPr>
            </w:pPr>
          </w:p>
        </w:tc>
      </w:tr>
      <w:tr>
        <w:trPr>
          <w:trHeight w:val="257"/>
        </w:trPr>
        <w:tc>
          <w:tcPr>
            <w:tcW w:w="39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income attributable to non-redeemable</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non-controlling interest . . . . . . . . . . . . . . .</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(113)</w:t>
            </w:r>
          </w:p>
        </w:tc>
        <w:tc>
          <w:tcPr>
            <w:tcW w:w="132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57"/>
        </w:trPr>
        <w:tc>
          <w:tcPr>
            <w:tcW w:w="39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Dividends on redeemable preferred</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jc w:val="right"/>
              <w:ind w:right="240"/>
              <w:spacing w:after="0" w:line="223" w:lineRule="exact"/>
              <w:rPr>
                <w:sz w:val="20"/>
                <w:szCs w:val="20"/>
                <w:color w:val="auto"/>
              </w:rPr>
            </w:pPr>
            <w:r>
              <w:rPr>
                <w:rFonts w:ascii="Times New Roman" w:cs="Times New Roman" w:eastAsia="Times New Roman" w:hAnsi="Times New Roman"/>
                <w:sz w:val="20"/>
                <w:szCs w:val="20"/>
                <w:color w:val="auto"/>
              </w:rPr>
              <w:t>non-controlling interests . . . . . . . . . . . .</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10,469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10,470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32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Net income attributable to Class A</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9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common stockholders . . . . . . . . . . . . . .</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4,283</w:t>
            </w:r>
          </w:p>
        </w:tc>
        <w:tc>
          <w:tcPr>
            <w:tcW w:w="120" w:type="dxa"/>
            <w:vAlign w:val="bottom"/>
          </w:tcPr>
          <w:p>
            <w:pPr>
              <w:spacing w:after="0"/>
              <w:rPr>
                <w:sz w:val="19"/>
                <w:szCs w:val="19"/>
                <w:color w:val="auto"/>
              </w:rPr>
            </w:pPr>
          </w:p>
        </w:tc>
        <w:tc>
          <w:tcPr>
            <w:tcW w:w="32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561</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3,722</w:t>
            </w:r>
          </w:p>
        </w:tc>
        <w:tc>
          <w:tcPr>
            <w:tcW w:w="180" w:type="dxa"/>
            <w:vAlign w:val="bottom"/>
          </w:tcPr>
          <w:p>
            <w:pPr>
              <w:spacing w:after="0"/>
              <w:rPr>
                <w:sz w:val="19"/>
                <w:szCs w:val="19"/>
                <w:color w:val="auto"/>
              </w:rPr>
            </w:pPr>
          </w:p>
        </w:tc>
        <w:tc>
          <w:tcPr>
            <w:tcW w:w="132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663%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53" w:right="1440" w:bottom="348" w:gutter="0" w:footer="0" w:header="0"/>
        </w:sectPr>
      </w:pP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953" w:right="1440" w:bottom="348"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81"/>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7"/>
        </w:trPr>
        <w:tc>
          <w:tcPr>
            <w:tcW w:w="4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RNG Fuel</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7"/>
              </w:rPr>
              <w:t>Brown gas sales . . . . . . . . . . . . . . . . . . . . . . . . . . . . . . . . . . .</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13,652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4,745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8,907</w:t>
            </w:r>
          </w:p>
        </w:tc>
        <w:tc>
          <w:tcPr>
            <w:tcW w:w="0" w:type="dxa"/>
            <w:vAlign w:val="bottom"/>
          </w:tcPr>
          <w:p>
            <w:pPr>
              <w:spacing w:after="0"/>
              <w:rPr>
                <w:sz w:val="1"/>
                <w:szCs w:val="1"/>
                <w:color w:val="auto"/>
              </w:rPr>
            </w:pPr>
          </w:p>
        </w:tc>
      </w:tr>
      <w:tr>
        <w:trPr>
          <w:trHeight w:val="26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Environmental attributes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86,315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82,317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3,998</w:t>
            </w:r>
          </w:p>
        </w:tc>
        <w:tc>
          <w:tcPr>
            <w:tcW w:w="0" w:type="dxa"/>
            <w:vAlign w:val="bottom"/>
          </w:tcPr>
          <w:p>
            <w:pPr>
              <w:spacing w:after="0"/>
              <w:rPr>
                <w:sz w:val="1"/>
                <w:szCs w:val="1"/>
                <w:color w:val="auto"/>
              </w:rPr>
            </w:pPr>
          </w:p>
        </w:tc>
      </w:tr>
      <w:tr>
        <w:trPr>
          <w:trHeight w:val="26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Other . . . . . . . . . . . . . . . . . . . . . . . . . . . . . . . . . . . . . . . . . . .</w:t>
            </w: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 . . . . . . . . . . . . . . . . . . . . . . . . . . . . . . . . . . .TotalRNGFuel</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101,656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88,420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Fuel Station Services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OPAL owned stations . .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20,957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Environmental attributes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51,305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41,726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9,579</w:t>
            </w:r>
          </w:p>
        </w:tc>
        <w:tc>
          <w:tcPr>
            <w:tcW w:w="0" w:type="dxa"/>
            <w:vAlign w:val="bottom"/>
          </w:tcPr>
          <w:p>
            <w:pPr>
              <w:spacing w:after="0"/>
              <w:rPr>
                <w:sz w:val="1"/>
                <w:szCs w:val="1"/>
                <w:color w:val="auto"/>
              </w:rPr>
            </w:pPr>
          </w:p>
        </w:tc>
      </w:tr>
      <w:tr>
        <w:trPr>
          <w:trHeight w:val="297"/>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RNG marketing</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43,947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34,593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Third party station service and maintenance . . . . . .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27,976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24,984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Construction . . . . . . . . .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49,040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39,767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100" w:type="dxa"/>
            <w:vAlign w:val="bottom"/>
            <w:gridSpan w:val="3"/>
          </w:tcPr>
          <w:p>
            <w:pPr>
              <w:jc w:val="right"/>
              <w:ind w:right="40"/>
              <w:spacing w:after="0" w:line="262" w:lineRule="exact"/>
              <w:rPr>
                <w:sz w:val="20"/>
                <w:szCs w:val="20"/>
                <w:color w:val="auto"/>
              </w:rPr>
            </w:pPr>
            <w:r>
              <w:rPr>
                <w:rFonts w:ascii="Times New Roman" w:cs="Times New Roman" w:eastAsia="Times New Roman" w:hAnsi="Times New Roman"/>
                <w:sz w:val="20"/>
                <w:szCs w:val="20"/>
                <w:color w:val="auto"/>
              </w:rPr>
              <w:t>Lease revenues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w:t>
            </w: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21,326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13,180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9"/>
              </w:rPr>
              <w:t>Total Fuel Station Services . . . . . . . . . . . . . . . . . . . . . .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214,551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166,875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Renewable Power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Electricity sales . . . . . . .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21,960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22,713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0" w:type="dxa"/>
            <w:vAlign w:val="bottom"/>
          </w:tcPr>
          <w:p>
            <w:pPr>
              <w:spacing w:after="0"/>
              <w:rPr>
                <w:sz w:val="1"/>
                <w:szCs w:val="1"/>
                <w:color w:val="auto"/>
              </w:rPr>
            </w:pPr>
          </w:p>
        </w:tc>
      </w:tr>
      <w:tr>
        <w:trPr>
          <w:trHeight w:val="297"/>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Environmental attributes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(11,017)</w:t>
            </w:r>
          </w:p>
        </w:tc>
        <w:tc>
          <w:tcPr>
            <w:tcW w:w="0" w:type="dxa"/>
            <w:vAlign w:val="bottom"/>
          </w:tcPr>
          <w:p>
            <w:pPr>
              <w:spacing w:after="0"/>
              <w:rPr>
                <w:sz w:val="1"/>
                <w:szCs w:val="1"/>
                <w:color w:val="auto"/>
              </w:rPr>
            </w:pPr>
          </w:p>
        </w:tc>
      </w:tr>
      <w:tr>
        <w:trPr>
          <w:trHeight w:val="223"/>
        </w:trPr>
        <w:tc>
          <w:tcPr>
            <w:tcW w:w="510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Capacity . . . . . . . . . . . . . . . . . . . . . . . . . . . . . . . . . .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Lease revenues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 . . . . . . . . .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25"/>
        </w:trPr>
        <w:tc>
          <w:tcPr>
            <w:tcW w:w="5100" w:type="dxa"/>
            <w:vAlign w:val="bottom"/>
            <w:gridSpan w:val="3"/>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 . . . . . . . . . . . . . . . . . . . . . . . . . .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(206)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8"/>
              </w:rPr>
              <w:t>Total Renewable Power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32,768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(11,909)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Total revenues . . . . . . . . . . . . . . . . . . . . . . . . . . . . . . . . . . . . . .</w:t>
            </w:r>
          </w:p>
        </w:tc>
        <w:tc>
          <w:tcPr>
            <w:tcW w:w="18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348,975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Revenue from contracts with customers</w:t>
            </w:r>
          </w:p>
        </w:tc>
        <w:tc>
          <w:tcPr>
            <w:tcW w:w="2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920" w:type="dxa"/>
            <w:vAlign w:val="bottom"/>
            <w:gridSpan w:val="2"/>
            <w:vMerge w:val="continue"/>
          </w:tcPr>
          <w:p>
            <w:pPr>
              <w:jc w:val="right"/>
              <w:spacing w:after="0"/>
              <w:rPr>
                <w:sz w:val="20"/>
                <w:szCs w:val="20"/>
                <w:color w:val="auto"/>
              </w:rPr>
            </w:pPr>
            <w:r>
              <w:rPr>
                <w:rFonts w:ascii="Times New Roman" w:cs="Times New Roman" w:eastAsia="Times New Roman" w:hAnsi="Times New Roman"/>
                <w:sz w:val="20"/>
                <w:szCs w:val="20"/>
                <w:color w:val="auto"/>
              </w:rPr>
              <w:t>. . . . . . . . . . . . . . . . . .</w:t>
            </w:r>
          </w:p>
        </w:tc>
        <w:tc>
          <w:tcPr>
            <w:tcW w:w="180" w:type="dxa"/>
            <w:vAlign w:val="bottom"/>
          </w:tcPr>
          <w:p>
            <w:pPr>
              <w:spacing w:after="0"/>
              <w:rPr>
                <w:sz w:val="24"/>
                <w:szCs w:val="24"/>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326,717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290,856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Revenue from lease arrangements . . . . . . . . . . . . . . . . . . . . . .</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22,258</w:t>
            </w:r>
          </w:p>
        </w:tc>
        <w:tc>
          <w:tcPr>
            <w:tcW w:w="10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9,116</w:t>
            </w:r>
          </w:p>
        </w:tc>
        <w:tc>
          <w:tcPr>
            <w:tcW w:w="10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80" w:type="dxa"/>
            <w:vAlign w:val="bottom"/>
            <w:tcBorders>
              <w:bottom w:val="single" w:sz="8" w:color="auto"/>
            </w:tcBorders>
          </w:tcPr>
          <w:p>
            <w:pPr>
              <w:spacing w:after="0"/>
              <w:rPr>
                <w:sz w:val="7"/>
                <w:szCs w:val="7"/>
                <w:color w:val="auto"/>
              </w:rPr>
            </w:pPr>
          </w:p>
        </w:tc>
        <w:tc>
          <w:tcPr>
            <w:tcW w:w="4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RNG marketing in the Fuel Station Services segment relate to revenues earned from Environmental Attribute generation and monetization services.</w:t>
      </w:r>
    </w:p>
    <w:p>
      <w:pPr>
        <w:spacing w:after="0" w:line="17" w:lineRule="exact"/>
        <w:rPr>
          <w:rFonts w:ascii="Times New Roman" w:cs="Times New Roman" w:eastAsia="Times New Roman" w:hAnsi="Times New Roman"/>
          <w:sz w:val="18"/>
          <w:szCs w:val="18"/>
          <w:color w:val="auto"/>
        </w:rPr>
      </w:pPr>
    </w:p>
    <w:p>
      <w:pPr>
        <w:jc w:val="both"/>
        <w:ind w:left="480" w:hanging="480"/>
        <w:spacing w:after="0" w:line="251" w:lineRule="auto"/>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Station Services lease revenue relates to revenue from fuel purchasing agreements where we determined that we transferred the right to control the use of the station to the purchaser. Includes sales-type lease revenues of $7,734 and $— respectively, for the years ended December 31, 2025 and 2024, from customers domiciled outside of United States. All remaining lease revenue relates to operating leases.</w:t>
      </w:r>
    </w:p>
    <w:p>
      <w:pPr>
        <w:spacing w:after="0" w:line="13"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of $— and $16,286 respectively, for the years ended December 31, 2025 and 2024, from customers domiciled outside of United States.</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Power operating lease revenue relates to revenue from power purchase agreements where we determined that we transferred the right to control the use of the power plant to the purchaser.</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fee revenues earned from management of operations of equity method entities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Fuel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Revenue from RNG Fuel increased by $13.2 million or 15%, for the year ended December 31, 2025 compared to the year ended December 31, 2024. This increase was primarily related to a $8.9 million increase in brown gas sales due to $3.5 million increase in price and a $2.9 million increase in volume, as well as $2.5 million driven by commencement of operations at new facilities and a $4.0 million increase in the sale of environmental attributes. The increase in environmental attributes was primarily related to a $5.0 million increase due to timing of green gas sales, a $15.2 million increase from the new facilities (Prince William and Polk), a $1.4 million increase in RIN volume, and a $17.7 million decrease due to RIN price reduction.</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942" w:right="1440" w:bottom="348"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i w:val="1"/>
          <w:iCs w:val="1"/>
          <w:color w:val="auto"/>
        </w:rPr>
        <w:t>Fuel Station Services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Revenue from Fuel Station Services increased by $47.7 million or 29%, for the year ended December 31, 2025 compared to the year ended December 31, 2024. This is primarily related to the following:</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Environmental attributes and RNG marketing revenue increased primarily due to increase in RIN sales driven by $23.1 million higher RIN volumes, partially offset by $12.7 million lower RIN prices, and $8.6 million increase in LCFS sales due to higher dispensing volumes. OPAL owned stations revenue increased by $3.3 million primarily due to higher GGE volumes. Third party station service and maintenance increased by $3.0 million driven by higher service volumes resulting from increased GGE volume of $3.9 million partially offset by $1.1 million in lower service rates. Construction revenue increased by $9.3 million mainly due to project construction timing. Lease revenues increased by $13.2 million as a result of sales-type lease revenue recognition increase of $7.7 million and higher GGE volumes of $5.5 million associated with operating leases.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Revenue from Renewable Power decreased by $11.9 million or 27%, for the year ended December 31, 2025 compared to the year ended December 31, 2024. This is primarily related to a $16.3 million decrease from the termination of an ISCC Carbon Credit contract in the fourth quarter of 2024, related to the Pioneer, Old Dominion, and West Covina facilities, partially offset by increased Renewable Thermal Certificates (“RTC”) sales.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RNG Fuel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Cost of sales from RNG Fuel increased by $10.7 million or 28%, for the year ended December 31, 2025 compared to the year ended December 31, 2024. This increase is primarily related to $7.0 million increase from Polk, which commenced operations in the fourth quarter of 2024, $2.3 million increase from Imperial due to higher natural gas, utilities and maintenance expenses and $0.3 million increase from other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Station Services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Cost of sales from Fuel Station Services increased by $38.0 million or 29%, for the year ended December 31, 2025 compared to the year ended December 31, 2024. This is primarily related to a $17.4 million increase in dispensing fees, a $6.9 million increase due to recognition of sales-type lease a $5.8 million increase in FPA tolling expense, and a $7.5 million increase in construction costs.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Renewable Power</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Cost of sales from Renewable Power decreased by $5.8 million or 18%, for the year ended December 31, 2025 compared to the year ended December 31, 2024. This is primarily related to a $3.7 million decrease in royalties related to corresponding decrease in ISCC Carbon Credit revenues, and a $2.1 million decrease primarily driven by the timing of major maintenance and non-labor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Project development and start up costs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Project development and start up costs decreased by $4.2 million or 22%, for the year ended December 31, 2025 compared to the year ended December 31, 2024. This is primarily related to decrease of $3.0 million in virtual pipeline costs related to Prince William and Polk facilities and $0.6 million of development costs of Central Valley.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Selling, general, and administrative increased $10.9 million or 20% for the year ended December 31, 2025 compared to the year ended December 31, 2024. This is primarily related to an increase in professional fees of $1.9 million, IT and legal expenses of $4.1 million, stock compensation of $1.1 million and bad debt expense of $2.5 million.</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941" w:right="1440" w:bottom="348"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amortization, and accretion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Depreciation, amortization, and accretion expense increased by a total of $4.6 million, or 26%, for the year ended December 31, 2025 compared to the year ended December 31, 2024. This is primarily related to depreciation expense on Prince William and Polk, which became operational in the second and fourth quarter of 2024, respectively, as well as additional depreciation expense on fuel stations.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loss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Impairment loss decreased by a total of $2.0 million or 100%, for the year ended December 31, 2025 compared to the year ended December 31, 2024. This change was primarily due to the impairment of a Renewable Energy facility in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from equity method investments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Net income attributable to equity method investments decreased by $10.6 million or 80%, for the year ended December 31, 2025 compared to the year ended December 31, 2024. This is primarily related to a decrease in the realized price of RINs sold on operating facilities.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and financing expense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Interest and financing expenses, net increased by $6.0 million or 28%, for the year ended December 31, 2025 compared to the year ended December 31, 2024. This is primarily related to an increase in the drawn balance of the OPAL Term Loan.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Interest income decreased by $0.7 million or 35%, for the year ended December 31, 2025 compared to the year ended December 31, 2024 primarily due to lower interest earned on money market accounts and the note receivable.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Other income decreased by $1.3 million or 34%, for the year ended December 31, 2025 compared to the year ended December 31, 2024. This is primarily related to a lower gain associated with the mark-to-market adjustments to the earnout liabilities in the current period.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Income tax benefit increased by $43.8 million or 492% for the year ended December 31, 2025 compared to the year ended December 31, 2024. This is primarily related to receipt of net proceeds from sale of ITCs for Prince William, Sapphire and Polk as well as recognition of PTCs and Atlantic ITCs.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attributable to redeemable non-controlling interests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increased by $18.5 million or 648% for the year ended December 31, 2025 compared to the year ended December 31, 2024. The increase is primarily attributable to higher net income in the current period compared to the same prior-year period.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attributable to non-redeemable non-controlling interests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Net income attributable to non-redeemable non-controlling interests remained flat for the years ended December 31,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 on redeemable preferred non-controlling interests</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Dividends on redeemable preferred non-controlling interests remained flat for the years ended December 31, 2025 and 2024.</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941" w:right="1440" w:bottom="348" w:gutter="0" w:footer="0" w:header="0"/>
          <w:type w:val="continuous"/>
        </w:sectPr>
      </w:pPr>
    </w:p>
    <w:bookmarkStart w:id="70" w:name="page71"/>
    <w:bookmarkEnd w:id="70"/>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6, 2026, OPAL Fuels LLC entered into a subscription agreement with Preferred Fuels LLC, (“Preferred Fuels”), an affiliate of Fortistar, pursuant to which Preferred Fuels committed to purchase up to $180.0 million of Series A preferred units in multiple closings. At the initial closing on March 6, 2026, the investor purchased 1.2 million preferred units for aggregate proceeds of $120.0 million. OPAL Fuels may, in its sole discretion, require the investor to fund up to an additional $60.0 million within one year of the initial closing, subject to the terms of the subscription agreement.</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Series A preferred units are entitled to preferred quarterly distributions at a rate of 12% per annum, compounding quarterly, and rank senior to all other classes of equity interests of OPAL Fuels LLC, except for certain existing preferred units to which they are pari passu. In connection with the initial closing, the Company also issued a warrant to the investor to purchase up to 3.0 million shares of the Company’s Class A common stock, subject to vesting, forfeiture, and other terms and conditions.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fourth quarter of 2025, Nextera provided notice of its right to require redemption of all outstanding Series A preferred units. The redemption period, originally scheduled to expire on March 3, 2026, was extended through March 31, 2026. On March 6, 2026, OPAL Fuels LLC redeemed all such preferred units for an aggregate redemption price of $100.0 million, funded with proceeds from the initial preferred unit issuance described above.</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subsequent to December 31, 2025, the Company drew approximately $128.4 million under its term loan facility pursuant to its existing credit agreement. A portion of the proceeds from the borrowing was used to repay approximately $20.0 million outstanding under the revolving loan facility.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As of December 31, 2025, our liquidity was $168.2 million consisting of $128.4 million of unused capacity under our $450 million senior secured credit facility, $15.4 million of unused capacity under the associated revolver, and $24.4 million of cash, cash equivalents. Refer to </w:t>
      </w:r>
      <w:r>
        <w:rPr>
          <w:rFonts w:ascii="Times New Roman" w:cs="Times New Roman" w:eastAsia="Times New Roman" w:hAnsi="Times New Roman"/>
          <w:sz w:val="20"/>
          <w:szCs w:val="20"/>
          <w:i w:val="1"/>
          <w:iCs w:val="1"/>
          <w:color w:val="auto"/>
        </w:rPr>
        <w:t>Note 6. Loans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We intend to make payments under our various debt instruments when due and pursue opportunities for earlier repayment and/or refinancing if and when these opportunities arise. In the fourth quarter of 2025, NextEra exercised its redemption option to redeem the preferred units. Refer to </w:t>
      </w:r>
      <w:r>
        <w:rPr>
          <w:rFonts w:ascii="Times New Roman" w:cs="Times New Roman" w:eastAsia="Times New Roman" w:hAnsi="Times New Roman"/>
          <w:sz w:val="20"/>
          <w:szCs w:val="20"/>
          <w:i w:val="1"/>
          <w:iCs w:val="1"/>
          <w:color w:val="auto"/>
        </w:rPr>
        <w:t>Note 11. Redeemable Non-controlling Interest, Redeemable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Preferred Non-controlling Interest and Stockholders’ Deficit </w:t>
      </w:r>
      <w:r>
        <w:rPr>
          <w:rFonts w:ascii="Times New Roman" w:cs="Times New Roman" w:eastAsia="Times New Roman" w:hAnsi="Times New Roman"/>
          <w:sz w:val="20"/>
          <w:szCs w:val="20"/>
          <w:color w:val="auto"/>
        </w:rPr>
        <w:t>for additional details.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Term Loan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w:t>
      </w:r>
    </w:p>
    <w:p>
      <w:pPr>
        <w:sectPr>
          <w:pgSz w:w="12240" w:h="15840" w:orient="portrait"/>
          <w:cols w:equalWidth="0" w:num="1">
            <w:col w:w="9360"/>
          </w:cols>
          <w:pgMar w:left="1440" w:top="948" w:right="1440" w:bottom="348"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948" w:right="1440" w:bottom="348" w:gutter="0" w:footer="0" w:header="0"/>
          <w:type w:val="continuous"/>
        </w:sectPr>
      </w:pPr>
    </w:p>
    <w:bookmarkStart w:id="71" w:name="page72"/>
    <w:bookmarkEnd w:id="71"/>
    <w:p>
      <w:pPr>
        <w:jc w:val="both"/>
        <w:spacing w:after="0" w:line="246" w:lineRule="auto"/>
        <w:rPr>
          <w:sz w:val="20"/>
          <w:szCs w:val="20"/>
          <w:color w:val="auto"/>
        </w:rPr>
      </w:pPr>
      <w:r>
        <w:rPr>
          <w:rFonts w:ascii="Times New Roman" w:cs="Times New Roman" w:eastAsia="Times New Roman" w:hAnsi="Times New Roman"/>
          <w:sz w:val="20"/>
          <w:szCs w:val="20"/>
          <w:color w:val="auto"/>
        </w:rPr>
        <w:t>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Credit Agreement Amendment, the Borrower paid the Administrative Agent, for the account of each lender, a one-time nonrefundable fee of $1.25 million.</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and 2024, the outstanding loan balance (current and non-current) excluding deferred financing costs was $341.6 million and $286.6 million, respectively.</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 As of December 31, 2025, the Company is in compliance with the financial covenants under the OPAL Term Loan.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Sunoma Loan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August 27, 2020, Sunoma, an indirect wholly-owned subsidiary of the Company entered into a debt agreement with Live Oak Banking Company for an aggregate principal amount of $20 million. Sunoma paid $0.6 million in financing fees. The amounts outstanding under the Sunoma Loan are secured by the assets of Sunoma. On July 19, 2022, Sunoma completed the conversion of the construction loan into a permanent loan and increased the commitment from $20 to $23 million. The maturity date is July 19, 2033. The outstanding loans under the Sunoma Loan Agreement bear interest at annual fixed rates of 7.8%, and 8.2% per annum during the term.</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December 31, 2025, Sunoma is in compliance with the financial covenants under the Sunoma Loan Agreement.</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and 2024, the outstanding loan balance (current and non-current) excluding deferred financing costs was $19.1 million and $20.8 million, respectively.</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The significant assets of Sunoma, as well as those of other consolidated variable VIEs, are presented in a separate table below the consolidated balance sheets as of December 31, 2025 and 2024. See </w:t>
      </w:r>
      <w:r>
        <w:rPr>
          <w:rFonts w:ascii="Times New Roman" w:cs="Times New Roman" w:eastAsia="Times New Roman" w:hAnsi="Times New Roman"/>
          <w:sz w:val="20"/>
          <w:szCs w:val="20"/>
          <w:i w:val="1"/>
          <w:iCs w:val="1"/>
          <w:color w:val="auto"/>
        </w:rPr>
        <w:t>Note 3. Investments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other entities and Variable Interest Entities </w:t>
      </w:r>
      <w:r>
        <w:rPr>
          <w:rFonts w:ascii="Times New Roman" w:cs="Times New Roman" w:eastAsia="Times New Roman" w:hAnsi="Times New Roman"/>
          <w:sz w:val="20"/>
          <w:szCs w:val="20"/>
          <w:color w:val="auto"/>
        </w:rPr>
        <w:t>for additional information.</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2025 and 2024, the Company was required to maintain standby letters of credit totaling $15,504 and $15,120,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Redeemable Series A Preferred Units of OPAL Fuels LLC</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November 2021, NextEra subscribed for an aggregate of $100,000,000 of Series A preferred units issued by OPAL Fuels LLC, a consolidated subsidiary of OPAL Fuels, Inc. The Series A preferred units have limited rights to prevent OPAL Fuels LLC from taking certain actions including (i) major issuances of new debt or equity (ii) executing transactions with affiliates which are not on an arm’s-length basis (iii) major disposition of assets and (iv) major acquisition of assets outside of OPAL Fuels LLC’s primary business. The Series A preferred units are entitled to</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948" w:right="1440" w:bottom="348" w:gutter="0" w:footer="0" w:header="0"/>
          <w:type w:val="continuous"/>
        </w:sectPr>
      </w:pPr>
    </w:p>
    <w:bookmarkStart w:id="72" w:name="page73"/>
    <w:bookmarkEnd w:id="72"/>
    <w:p>
      <w:pPr>
        <w:jc w:val="both"/>
        <w:spacing w:after="0" w:line="248" w:lineRule="auto"/>
        <w:rPr>
          <w:sz w:val="20"/>
          <w:szCs w:val="20"/>
          <w:color w:val="auto"/>
        </w:rPr>
      </w:pPr>
      <w:r>
        <w:rPr>
          <w:rFonts w:ascii="Times New Roman" w:cs="Times New Roman" w:eastAsia="Times New Roman" w:hAnsi="Times New Roman"/>
          <w:sz w:val="20"/>
          <w:szCs w:val="20"/>
          <w:color w:val="auto"/>
        </w:rPr>
        <w:t>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(paid-in-kind) in lieu of cash for the first eight dividend payment dates. As of December 31, 2025 and 2024, there was accrued preferred dividend payable of $0 and $2.0 million, respectively.</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OPAL Fuel Inc.’s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spacing w:after="0" w:line="175"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Subsequent to December 31, 2025, the Company completed a $120.0 million preferred equity issuance and drew approximately $128.4 million under its term loan facility, which was used to redeem $100.0 million of outstanding preferred units and repay a portion of the revolving loan facility. See </w:t>
      </w:r>
      <w:r>
        <w:rPr>
          <w:rFonts w:ascii="Times New Roman" w:cs="Times New Roman" w:eastAsia="Times New Roman" w:hAnsi="Times New Roman"/>
          <w:sz w:val="20"/>
          <w:szCs w:val="20"/>
          <w:i w:val="1"/>
          <w:iCs w:val="1"/>
          <w:color w:val="auto"/>
        </w:rPr>
        <w:t>Note 16. Subsequent Events</w:t>
      </w:r>
      <w:r>
        <w:rPr>
          <w:rFonts w:ascii="Times New Roman" w:cs="Times New Roman" w:eastAsia="Times New Roman" w:hAnsi="Times New Roman"/>
          <w:sz w:val="20"/>
          <w:szCs w:val="20"/>
          <w:color w:val="auto"/>
        </w:rPr>
        <w:t xml:space="preserve"> for additional details regarding these transactions.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following table presents the Company’s cash flows for the years ended December 31,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3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provided by operating activities . . . . . . . . . . . . . . . . . . . . . . . . . . . . . . .</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36,498</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31,385</w:t>
            </w:r>
          </w:p>
        </w:tc>
        <w:tc>
          <w:tcPr>
            <w:tcW w:w="60" w:type="dxa"/>
            <w:vAlign w:val="bottom"/>
          </w:tcPr>
          <w:p>
            <w:pPr>
              <w:spacing w:after="0"/>
              <w:rPr>
                <w:sz w:val="21"/>
                <w:szCs w:val="2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used in investing activities . . . . . . . . . . . . . . . . . . . . . . . . . . . . . . . . . . .</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(77,320)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(134,551)</w:t>
            </w:r>
          </w:p>
        </w:tc>
      </w:tr>
      <w:tr>
        <w:trPr>
          <w:trHeight w:val="26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cash provided by financing activities . . . . . . . . . . . . . . . . . . . . . . . . . . . . . . .</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41,560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83,504</w:t>
            </w:r>
          </w:p>
        </w:tc>
        <w:tc>
          <w:tcPr>
            <w:tcW w:w="60" w:type="dxa"/>
            <w:vAlign w:val="bottom"/>
          </w:tcPr>
          <w:p>
            <w:pPr>
              <w:spacing w:after="0"/>
              <w:rPr>
                <w:sz w:val="22"/>
                <w:szCs w:val="22"/>
                <w:color w:val="auto"/>
              </w:rPr>
            </w:pP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increase (decrease) in cash, restricted cash, and cash equivalents . . . . . . . . .</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12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(19,662)</w:t>
            </w: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operating activities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Net cash provided by operating activities for the year ended December 31, 2025 was $36.5 million, an increase of $5.1 million compared to net cash provided by operating activities of $31.4 million for the year ended December 31, 2024.</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increase was primarily attributable to higher net income driven by increased revenues, lower income from equity method investments, and higher non-cash items. These were partially offset by unfavorable changes in working capital and a decrease in distributions from equity method investments.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investing activities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Net cash used in investing activities for the year ended December 31, 2025 was $77.3 million, a decrease of $57.2 million compared to the $134.6 million used in investing activities for the year ended December 31, 2024.</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This was primarily driven by a decrease in payments made for the construction of various RNG generation and dispensing facilities in 2025 compared to 2024, an increase in distributions received from equity method investments, higher proceeds from the disposal of property, plant and equipment as well as an increase in cash received from the settlement of notes receivable. This increase was partially offset by higher contributions made to equity method investments and lower proceeds from sale of short-term investments.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financing activities</w:t>
      </w:r>
    </w:p>
    <w:p>
      <w:pPr>
        <w:spacing w:after="0" w:line="177"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Net cash provided by financing activities for the year ended December 31, 2025 was $41.6 million, a decrease of $41.9 million compared to the $83.5 million provided by financing activities for the year ended December 31, 2024.</w:t>
      </w:r>
    </w:p>
    <w:p>
      <w:pPr>
        <w:sectPr>
          <w:pgSz w:w="12240" w:h="15840" w:orient="portrait"/>
          <w:cols w:equalWidth="0" w:num="1">
            <w:col w:w="9360"/>
          </w:cols>
          <w:pgMar w:left="1440" w:top="948" w:right="1440" w:bottom="348"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948" w:right="1440" w:bottom="348" w:gutter="0" w:footer="0" w:header="0"/>
          <w:type w:val="continuous"/>
        </w:sectPr>
      </w:pPr>
    </w:p>
    <w:bookmarkStart w:id="73" w:name="page74"/>
    <w:bookmarkEnd w:id="73"/>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This was primarily driven by a decrease in proceeds from long-term loans and an increase in repayments, partially offset by lower preferred dividend payments.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 and other cash commitments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2025, we currently anticipate spending of approximately $154.0 million in capital expenditures for the next 12 months for RNG projects, fuel stations and our share of contributions in our equity method investment projects. This includes projects which have not been fully committed.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 w:cs="Times New Roman" w:eastAsia="Times New Roman" w:hAnsi="Times New Roman"/>
          <w:sz w:val="20"/>
          <w:szCs w:val="20"/>
          <w:b w:val="1"/>
          <w:bCs w:val="1"/>
          <w:color w:val="auto"/>
        </w:rPr>
        <w:t>.</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In addition to the above, we also have lease commitments on our vehicle fleets and office leases and quarterly amortization payment obligations under various debt facilities. Please see </w:t>
      </w:r>
      <w:r>
        <w:rPr>
          <w:rFonts w:ascii="Times New Roman" w:cs="Times New Roman" w:eastAsia="Times New Roman" w:hAnsi="Times New Roman"/>
          <w:sz w:val="20"/>
          <w:szCs w:val="20"/>
          <w:i w:val="1"/>
          <w:iCs w:val="1"/>
          <w:color w:val="auto"/>
        </w:rPr>
        <w:t>Note 6. Loans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Note 7. Leases</w:t>
      </w:r>
      <w:r>
        <w:rPr>
          <w:rFonts w:ascii="Times New Roman" w:cs="Times New Roman" w:eastAsia="Times New Roman" w:hAnsi="Times New Roman"/>
          <w:sz w:val="20"/>
          <w:szCs w:val="20"/>
          <w:color w:val="auto"/>
        </w:rPr>
        <w:t xml:space="preserve"> to our consolidated financial statements for additional information.</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We plan to fund these expenditures primarily through cash on hand, cash generated from operations and availability under existing debt facilities.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preparation of our consolidated financial statements requires management to make estimates and assumptions that involve significant judgment and that could materially affect the amounts reported in our financial statements. These estimates relate to matters that are highly uncertain and require management to exercise judgment in selecting the underlying assumptions. If actual results differ from those assumptions, our financial condition or results of operations could be materially affected.</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Certain of these estimates are particularly important because they involve assumptions that are inherently uncertain and could materially impact our financial statements if actual results differ. These critical accounting estimates require us to make difficult, subjective, and complex judgments about matters that are inherently uncertain, and changes in those estimates could result in materially different outcomes. The following discussion highlights the estimates that we believe involve the most significant judgment and present the greatest potential for material impact on our consolidated financial statements.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Construction Contracts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recognition of revenue on our third-party construction contracts requires significant judgment and involves estimates that are inherently subjective. These fixed-price contracts are accounted for using an over-time revenue recognition model, under which progress is measured based on the percentage of costs incurred to total estimated costs for each project. Determining the total expected cost to complete a project — including labor, materials, subcontractors, change orders, and contingencies — requires management to make assumptions regarding project scope, productivity, pricing, and timing. Changes in any of these estimates, including revisions to anticipated costs or outcomes of outstanding change orders, can materially affect the amount and timing of revenue and margin recognized.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Goodwill</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Evaluating goodwill for potential impairment requires the use of estimates and assumptions that involve significant judgment and could materially affect our financial results. We assess goodwill for impairment at least annually, or more frequently if events or changes in circumstances indicate that the fair value of a reporting unit may be less than its carrying amount.</w:t>
      </w:r>
    </w:p>
    <w:p>
      <w:pPr>
        <w:sectPr>
          <w:pgSz w:w="12240" w:h="15840" w:orient="portrait"/>
          <w:cols w:equalWidth="0" w:num="1">
            <w:col w:w="9360"/>
          </w:cols>
          <w:pgMar w:left="1440" w:top="948" w:right="1440" w:bottom="348"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948" w:right="1440" w:bottom="348" w:gutter="0" w:footer="0" w:header="0"/>
          <w:type w:val="continuous"/>
        </w:sectPr>
      </w:pPr>
    </w:p>
    <w:bookmarkStart w:id="74" w:name="page75"/>
    <w:bookmarkEnd w:id="74"/>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 key source of estimation uncertainty relates to the determination of the fair value of our reporting units when a quantitative impairment test is required. Fair value estimates rely on unobservable inputs and require management to make assumptions about future performance, market conditions, and discount rates. These assumptions include projected cash flows, expectations for growth in RIN prices, future production and sales volumes, terminal value estimates, and the selection of an appropriate weighted-average cost of capital. These inputs are inherently uncertain and highly sensitive to changes in market conditions.</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Because fair value measurements depend on these complex judgments, changes in assumptions — or differences between projected and actual results — could result in a material impairment charge in future periods.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was no impairment for the year ended December 31,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Assessing long-lived assets for potential impairment requires the use of significant estimates and assumptions that involve material judgment. These assets include plant equipment, buildings, patents, and other assets which are grouped and tested for recoverability when events or changes in circumstances indicate that the carrying amount may not be recoverable. Determining the appropriate asset group requires management to exercise judgment in evaluating how assets are used in the business, the degree to which cash flows are interdependent, and how operations are managed.</w:t>
      </w:r>
    </w:p>
    <w:p>
      <w:pPr>
        <w:spacing w:after="0" w:line="16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When a triggering event occurs, we estimate future undiscounted cash flows for the applicable asset group. These estimates require assumptions about future operating performance, commodity pricing, production levels, operating costs, and asset utilization. Because these estimates reflect conditions that existed at the time of the assessment and extend over long periods, they are inherently uncertain. If the estimated undiscounted cash flows are less than the carrying amount of the asset group, we must estimate fair value, which adds further judgment and complexity.</w:t>
      </w:r>
    </w:p>
    <w:p>
      <w:pPr>
        <w:spacing w:after="0" w:line="15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Fair value measurements for long-lived assets often rely on discounted cash flow models that require additional significant assumptions, including discount rates, long-term growth expectations, and market participant assumptions. In certain cases, we may apply a cost-based approach, which requires estimating replacement cost, physical deterioration, and economic obsolescence. Changes in any of these assumptions, or differences between estimated and actual results, could materially affect the fair value conclusions and may result in a material impairment charge.</w:t>
      </w:r>
    </w:p>
    <w:p>
      <w:pPr>
        <w:spacing w:after="0" w:line="15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Because both recoverability assessments and fair value measurements depend on management’s assumptions about future economic and operating conditions, these evaluations involve a high degree of subjectivity and represent one of the most judgment-dependent areas of our financial reporting.</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was no impairment for the year ended December 31,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155"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w:t>
      </w:r>
      <w:r>
        <w:rPr>
          <w:rFonts w:ascii="Times New Roman" w:cs="Times New Roman" w:eastAsia="Times New Roman" w:hAnsi="Times New Roman"/>
          <w:sz w:val="19"/>
          <w:szCs w:val="19"/>
          <w:i w:val="1"/>
          <w:iCs w:val="1"/>
          <w:color w:val="auto"/>
        </w:rPr>
        <w:t>Note 8. Derivative Financial Instruments and Fair Value Measurements,</w:t>
      </w:r>
      <w:r>
        <w:rPr>
          <w:rFonts w:ascii="Times New Roman" w:cs="Times New Roman" w:eastAsia="Times New Roman" w:hAnsi="Times New Roman"/>
          <w:sz w:val="19"/>
          <w:szCs w:val="19"/>
          <w:color w:val="auto"/>
        </w:rPr>
        <w:t xml:space="preserve"> to our consolidated financial statements.</w:t>
      </w:r>
    </w:p>
    <w:p>
      <w:pPr>
        <w:spacing w:after="0" w:line="23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information required by this item is contained in the financial statements set forth in Item 15(a) under the caption “Consolidated Financial Statements” as part of this Annual Report on Form 10-K.</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948" w:right="1440" w:bottom="348" w:gutter="0" w:footer="0" w:header="0"/>
          <w:type w:val="continuous"/>
        </w:sectPr>
      </w:pPr>
    </w:p>
    <w:bookmarkStart w:id="75" w:name="page76"/>
    <w:bookmarkEnd w:id="75"/>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Our management, with the participation of our Co-Chief Executive Officers and our Chief Financial Officer (our co-principal executive officers and principal financial officer, respectively), evaluated, as of the end of the period covered by this Annual Report on Form 10-K,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5"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Based on that evaluation of our disclosure controls and procedures as of December 31, 2025, our Co-Chief Executive Officers and Chief Financial Officer concluded that, as of such date, our disclosure controls and procedures were effective for the period covered by this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Management is responsible for establishing and maintaining adequate internal control over financial reporting, as such term is defined in Exchange Act Rules 13a-15(f) and 15d-15(f). Under the supervision and with the participation of our Co-Chief Executive Officers and Chief Financial Officer, we conducted an evaluation of the effectiveness of our internal control over financial reporting. Management has adopted the framework in Internal Control-Integrated Framework (2013) issued by the Committee of Sponsoring Organizations of the Treadway Commission. Based on the results of our evaluation, our management including our Co-Chief Executive Officers and Chief Financial Officer concluded that our internal control over financial reporting was effective as of December 31,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Insider Trading Arrangements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fiscal quarter ended December 31, 2025, none of our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947" w:right="1440" w:bottom="348"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our directors, executive officers and certain corporate governance items will be included in the proxy statement for the 2026 annual meeting of shareholders, to be filed within 120 days after December 31, 2025, and is incorporated by reference to this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executive compensation will be included in the proxy statement for the 2026 annual meeting of shareholders, to be filed within 120 days after December 31, 2025, and is incorporated by reference to this Form 10-K.</w:t>
      </w:r>
    </w:p>
    <w:p>
      <w:pPr>
        <w:spacing w:after="0" w:line="251" w:lineRule="exact"/>
        <w:rPr>
          <w:sz w:val="20"/>
          <w:szCs w:val="20"/>
          <w:color w:val="auto"/>
        </w:rPr>
      </w:pPr>
    </w:p>
    <w:p>
      <w:pPr>
        <w:jc w:val="both"/>
        <w:ind w:left="960" w:hanging="959"/>
        <w:spacing w:after="0" w:line="244"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Information regarding (i) security ownership of certain beneficial owners and management and related stockholder matters and (ii) securities authorized for issuance under equity compensation plans will be included in the proxy statement for the 2026 annual meeting of shareholders, to be filed within 120 days after December 31, 2025, and is incorporated by reference to this Form 10-K.</w:t>
      </w:r>
    </w:p>
    <w:p>
      <w:pPr>
        <w:spacing w:after="0" w:line="248" w:lineRule="exact"/>
        <w:rPr>
          <w:sz w:val="20"/>
          <w:szCs w:val="20"/>
          <w:color w:val="auto"/>
        </w:rPr>
      </w:pPr>
    </w:p>
    <w:p>
      <w:pPr>
        <w:jc w:val="both"/>
        <w:ind w:left="960" w:hanging="959"/>
        <w:spacing w:after="0" w:line="242" w:lineRule="auto"/>
        <w:rPr>
          <w:sz w:val="20"/>
          <w:szCs w:val="20"/>
          <w:color w:val="auto"/>
        </w:rPr>
      </w:pPr>
      <w:r>
        <w:rPr>
          <w:rFonts w:ascii="Times New Roman" w:cs="Times New Roman" w:eastAsia="Times New Roman" w:hAnsi="Times New Roman"/>
          <w:sz w:val="20"/>
          <w:szCs w:val="20"/>
          <w:b w:val="1"/>
          <w:bCs w:val="1"/>
          <w:color w:val="auto"/>
        </w:rPr>
        <w:t>ITEM 13. CERTAIN</w:t>
      </w:r>
      <w:r>
        <w:rPr>
          <w:sz w:val="20"/>
          <w:szCs w:val="20"/>
          <w:color w:val="auto"/>
        </w:rPr>
        <w:t xml:space="preserve"> </w:t>
      </w:r>
      <w:r>
        <w:rPr>
          <w:rFonts w:ascii="Times New Roman" w:cs="Times New Roman" w:eastAsia="Times New Roman" w:hAnsi="Times New Roman"/>
          <w:sz w:val="20"/>
          <w:szCs w:val="20"/>
          <w:b w:val="1"/>
          <w:bCs w:val="1"/>
          <w:color w:val="auto"/>
        </w:rPr>
        <w:t>RELATIONSHIPS AND RELATED TRANSACTIONS AND DIRECTOR INDEPENDENCE</w:t>
      </w:r>
    </w:p>
    <w:p>
      <w:pPr>
        <w:spacing w:after="0" w:line="200" w:lineRule="exact"/>
        <w:rPr>
          <w:sz w:val="20"/>
          <w:szCs w:val="20"/>
          <w:color w:val="auto"/>
        </w:rPr>
      </w:pPr>
    </w:p>
    <w:p>
      <w:pPr>
        <w:spacing w:after="0" w:line="21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certain relationships and related transactions and director independence will be included in the proxy statement for the 2026 annual meeting of shareholders, to be filed within 120 days after December 31, 2025, and is incorporated by reference to this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Information regarding principal accounting fees and services billed to us by our principal accountant, BDO USA, P.C will be included in the proxy statement for the 2026 annual meeting of shareholders, to be filed within 120 days after December 31, 2025, and is incorporated by reference to this Form 10-K.</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941" w:right="1440" w:bottom="348"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170" w:lineRule="exact"/>
        <w:rPr>
          <w:sz w:val="20"/>
          <w:szCs w:val="20"/>
          <w:color w:val="auto"/>
        </w:rPr>
      </w:pPr>
    </w:p>
    <w:p>
      <w:pPr>
        <w:ind w:left="280" w:hanging="280"/>
        <w:spacing w:after="0"/>
        <w:tabs>
          <w:tab w:leader="none" w:pos="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filed as part of this Annual Report on Form 10-K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Statements: See accompanying Index to Consolidated Financial Statements.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Financial Statement Schedules: Financial statement schedules are omitted either due to the absence of conditions under which they are required or because the information required is included in the notes to the Company’s consolidated financial statements.</w:t>
      </w:r>
    </w:p>
    <w:p>
      <w:pPr>
        <w:spacing w:after="0" w:line="166"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7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280" w:type="dxa"/>
            <w:vAlign w:val="bottom"/>
            <w:tcBorders>
              <w:bottom w:val="single" w:sz="8" w:color="auto"/>
            </w:tcBorders>
            <w:gridSpan w:val="3"/>
          </w:tcPr>
          <w:p>
            <w:pPr>
              <w:ind w:left="37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1"/>
                <w:szCs w:val="21"/>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Business Combination Agreement, dated as of December 2, 2021, by and among ArcLight, OPAL</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Fuels and OPAL Holdco (incorporated by reference to Exhibit 2.1 of the Company’s Current Report on</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Form 8-K, filed with the SEC on December 3, 2021)</w:t>
            </w:r>
            <w:r>
              <w:rPr>
                <w:rFonts w:ascii="Times New Roman" w:cs="Times New Roman" w:eastAsia="Times New Roman" w:hAnsi="Times New Roman"/>
                <w:sz w:val="20"/>
                <w:szCs w:val="20"/>
                <w:u w:val="single" w:color="auto"/>
                <w:color w:val="auto"/>
              </w:rPr>
              <w:t>.</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Restated Certificate of Incorporation of OPAL Fuels Inc. (incorporated by reference to Exhibit 3.1 to the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Current Report on Form 8-K/A filed by the Company on August 10,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Bylaws of OPAL Fuels Inc. (incorporated by reference to Exhibit 3.2 to the Current Report on Form 8-K</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filed by the Company on July 27,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Amended and Restated Certificate of Designations of Series A Preferred Units of OPAL Fuels LLC,</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dated March 6, 2026 (incorporated by reference to Exhibit 3.1 to the Current Report on Form 8-K filed</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with the Company on March 9, 2026)</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OPAL Fuels Inc. Short-Term Incentive Plan (incorporated by reference to Exhibit 4.4 to the Annual</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Report on Form 10-K filed by the Company on March 29,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Form of Stock Option Grant Notice and Option Agreement (incorporated by reference to Exhibit 4.5 to</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the Annual Report on Form 10-K filed by the Company on March 29,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Form of Performance Restricted Stock Unit Award Grant Notice and Award Agreement (incorporated by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reference to Exhibit 4.6 to the Annual Report on Form 10-K filed by the Company on March 29,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Warrant, dated March 6, 2026 (incorporated by reference to Exhibit 4.1 to the Current Report on Form 8-K</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filed by the Company on March 9, 2026)</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Form of OPAL Indemnification Agreement (incorporated by reference to Exhibit 10.1 to the Registration</w:t>
            </w:r>
          </w:p>
        </w:tc>
      </w:tr>
      <w:tr>
        <w:trPr>
          <w:trHeight w:val="190"/>
        </w:trPr>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340" w:type="dxa"/>
            <w:vAlign w:val="bottom"/>
            <w:gridSpan w:val="4"/>
          </w:tcPr>
          <w:p>
            <w:pPr>
              <w:spacing w:after="0" w:line="190" w:lineRule="exact"/>
              <w:rPr>
                <w:sz w:val="20"/>
                <w:szCs w:val="20"/>
                <w:color w:val="auto"/>
              </w:rPr>
            </w:pPr>
            <w:r>
              <w:rPr>
                <w:rFonts w:ascii="Times New Roman" w:cs="Times New Roman" w:eastAsia="Times New Roman" w:hAnsi="Times New Roman"/>
                <w:sz w:val="20"/>
                <w:szCs w:val="20"/>
                <w:color w:val="auto"/>
              </w:rPr>
              <w:t>Statement on Form S-4 (File No. 333-262583), filed on May 6, 2022).</w:t>
            </w: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3"/>
                <w:szCs w:val="23"/>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2022 Omnibus Equity Incentive Plan (incorporated by reference to Exhibit 10.2 to the Current Report on</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Form 8-K filed by the Company on July 27,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Sponsor Letter Agreement, dated as of December 2, 2021, by and among OPAL Fuels LLC, ArcLight</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w w:val="99"/>
              </w:rPr>
              <w:t>Clean Transition Corp. II and certain other parties thereto (incorporated by referenced to Exhibit 10.2 to</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the Company’s Current Report on Form 8-K filed by the registrant on December 3, 2021)</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Form of Subscription Agreement (incorporated by reference to Exhibit 10.1 of the Company’s Current</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Report on Form 8-K, filed with the SEC on December 3, 2021).</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Form of Amendment No. 1 to the Subscription Agreement (incorporated by reference to Exhibit 10.1 of</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the Company’s Current Report on Form 8-K, filed with the SEC on May 12,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Tax Receivable Agreement, dated July 21, 2022, by and among OPAL Fuels Inc. and the persons named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therein (incorporated by reference to Exhibit 10.6 to the Current Report on Form 8-K filed by the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Company on July 27,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Investor Rights Agreement, dated July 21, 2022, by and among OPAL Fuels Inc., ArcLight CTC</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Holdings II, L.P., and the other persons named therein (incorporated by reference to Exhibit 10.7 to the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by the Company on July 27,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Second A&amp;R LLC Agreement of OPAL Fuels, including any Certificates of Designations (incorporated</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w w:val="99"/>
              </w:rPr>
              <w:t>by reference to Exhibit 10.8 to the Current Report on Form 8-K filed by the Company on July 27,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2"/>
                <w:szCs w:val="22"/>
                <w:color w:val="auto"/>
              </w:rPr>
            </w:pPr>
          </w:p>
        </w:tc>
        <w:tc>
          <w:tcPr>
            <w:tcW w:w="83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Delayed Draw Term Loan and Guaranty Agreement, dated October 22, 2021, by and among OPAL Fuels</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Intermediate Holdco LLC, the Guarantors named on the signature pages thereto, and the Lenders (as</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defined therein), and Bank of America, N.A., as Administrative Agent for the Lenders (incorporated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auto"/>
              </w:rPr>
              <w:t>by reference to Exhibit 10.8 to the Registration Statement on Form S-4 (File No. 333-262583), filed on</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auto"/>
              </w:rPr>
              <w:t>March 25, 2022).</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941" w:right="1440" w:bottom="348"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7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280" w:type="dxa"/>
            <w:vAlign w:val="bottom"/>
            <w:tcBorders>
              <w:bottom w:val="single" w:sz="8" w:color="auto"/>
            </w:tcBorders>
          </w:tcPr>
          <w:p>
            <w:pPr>
              <w:ind w:left="37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80" w:type="dxa"/>
            <w:vAlign w:val="bottom"/>
          </w:tcPr>
          <w:p>
            <w:pPr>
              <w:spacing w:after="0"/>
              <w:rPr>
                <w:sz w:val="21"/>
                <w:szCs w:val="21"/>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Delayed  Draw Term  Loan  and  Guaranty Agreement  and Waiver,  dated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February 1, 2022 (incorporated by reference to Exhibit 10.9 to the Registration Statement on Form S-4</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 No. 333-262583), filed on March 25,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Environmental Attributes Purchase and Sale Agreement, dated November 29, 2021, by and between,</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on the one hand, NextEra Energy Marketing, LLC and, on the other hand, TruStar Energy LLC and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OPAL Fuels LLC (incorporated by reference to Exhibit 10.10 to the Registration Statement on Form S-4</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 No. 333-262583), filed on March 25,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Administrative Services Agreement, dated December 31, 2021, by and between OPAL Fuels and Fortistar</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Services 2 LLC (incorporated by reference to Exhibit 10.11 to the Registration Statement on Form S-4</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 No. 333-262583), filed on March 25,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Indemnification and Hold Harmless Agreement, dated December 31, 2020, by and between OPAL Fuels</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LLC and Fortistar LLC (incorporated by reference to Exhibit 10.12 to the Registration Statement on</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Form S-4 (File No. 333-262583), filed on March 25,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Stock Award Agreement dated September 15, 2022 (incorporated by reference to Exhibit 10.1 to</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Current Report on Form 8-K filed by the Company on September 19,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Credit Agreement, dated August 4, 2022, made by and among OPAL Intermediate Holdco 2 as Borrower,</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the guarantors, the lenders thereto, Bank of Montreal as the administration agent, Wilmington Trust</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as collateral agent and Bank of Montreal, Investec Inc. and Comerica Bank as joint lead arrangers</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10.1 to the Current Report on Form 8-K filed by the Company on</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August 8,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Promissory Note, dated as of May 16, 2022, by and between Arclight and Arclight CTC Holdings II, L.P.</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10.6 to the Quarterly Report on Form 10-Q filed by the Company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August 10,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Service Contract Agreement, dated December 15, 2022, by and between OPAL Fuels Inc. and United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Parcel Service Oasis Supply Corporation (incorporated by reference to Exhibit 10.1 to the Current Report</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Form 8-K filed by the Company on December 21, 2022).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Securities Purchase Agreement, dated March 30, 2023, by and between the Company and the purchasers</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named therein (incorporated by reference to Exhibit 10.1 to the Current Report on Form 8-K filed by the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 on April 5,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10.21*+#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Landfill Gas Purchase and Sale Agreement dated April 13, 2023 (effective as of March 13, 2023)</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10.2 to the Quarterly Report on Form 10-Q filed by the Company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May 15,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10.22*+#</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Piggyback Agreement for Landfill Gas Purchase Agreement dated May 2, 2023 (incorporated by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8"/>
              </w:rPr>
              <w:t>reference to Exhibit 10.3 to the Quarterly Report on Form 10-Q filed by the Company on May 15,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10.23*+#</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Credit and Guaranty Agreement, dated May 30, 2023, among Paragon RNG</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LLC as Borrower, the Guarantors, the lenders thereto, Bank of Montreal as the administrative agent,</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Wilmington Trust as collateral agent and BMO Capital Markets Corp., Investec Inc. and Comerica Bank</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as joint lead arrangers (incorporated by reference to Exhibit 10.1 to the Current Report on Form 8-K filed</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by the Company on June 2,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10.24*+#</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Third Amended and Restated Gas Sale and Purchase Agreement, dated August 11, 2023 (incorporated by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6"/>
              </w:rPr>
              <w:t>reference to Exhibit 10.5 to the Quarterly Report on Form 10-Q filed by the Company on August 14,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10.25*+#</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Landfill Gas Purchase and Sale Agreement, dated August 28, 2023 with Waste Management of California,</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Inc. (incorporated by reference to Exhibit 10.1 to the Current Report on Form 8-K filed by the Company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August 31,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10.26*+#</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Agreement, dated August 28, 2023 with Waste Management of California, Inc. (incorporated by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9"/>
              </w:rPr>
              <w:t>reference to Exhibit 10.2 to the Current Report on Form 8-K filed by the Company on August 31,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10.27*+#</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Landfill Gas Purchase and Sale Agreement, dated August 28, 2023 with Guadalupe Rubbish Disposal</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Co., Inc. (incorporated by reference to Exhibit 10.3 to the Current Report on Form 8-K filed by the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 on August 31,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10.28*+#</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Agreement, dated August 28, 2023 with Guadalupe Rubbish Disposal Co., Inc. (incorporated by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9"/>
              </w:rPr>
              <w:t>reference to Exhibit 10.4 to the Current Report on Form 8-K filed by the Company on August 31,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Credit Agreement, dated September 1, 2023, by and among Intermediate HoldCo as Borrower, the</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guarantors, the lenders party thereto, Bank of America, N.A. as the administration agent, and Apterra</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Infrastructure Capital LLC, Barclays Bank PLC, BofA Securities, Inc., Celtic Bank Corporation,</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JP Morgan Chase Bank, N.A. and Investec Inc., as joint lead arrangers (incorporated by reference to</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Exhibit 10.1 to the Current Report on Form 8-K filed by the Company on September 5, 2023).</w:t>
            </w:r>
          </w:p>
        </w:tc>
      </w:tr>
    </w:tbl>
    <w:p>
      <w:pPr>
        <w:spacing w:after="0" w:line="200" w:lineRule="exact"/>
        <w:rPr>
          <w:sz w:val="20"/>
          <w:szCs w:val="20"/>
          <w:color w:val="auto"/>
        </w:rPr>
      </w:pPr>
    </w:p>
    <w:p>
      <w:pPr>
        <w:sectPr>
          <w:pgSz w:w="12240" w:h="15840" w:orient="portrait"/>
          <w:cols w:equalWidth="0" w:num="1">
            <w:col w:w="9360"/>
          </w:cols>
          <w:pgMar w:left="1440" w:top="973" w:right="1440" w:bottom="348" w:gutter="0" w:footer="0" w:header="0"/>
        </w:sectPr>
      </w:pP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973" w:right="1440" w:bottom="348"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7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280" w:type="dxa"/>
            <w:vAlign w:val="bottom"/>
            <w:tcBorders>
              <w:bottom w:val="single" w:sz="8" w:color="auto"/>
            </w:tcBorders>
          </w:tcPr>
          <w:p>
            <w:pPr>
              <w:ind w:left="37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180" w:type="dxa"/>
            <w:vAlign w:val="bottom"/>
          </w:tcPr>
          <w:p>
            <w:pPr>
              <w:spacing w:after="0"/>
              <w:rPr>
                <w:sz w:val="21"/>
                <w:szCs w:val="21"/>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Pledge Agreement, dated September 1, 2023, by OPAL Fuels Parent HoldCo 3 LLC in favor of Bank of</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America, N.A. (incorporated by reference to Exhibit 10.2 to the Current Report on Form 8-K filed by the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Company on September 5,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Security Agreement, dated September 1, 2023, by OPAL Fuels Intermediate HoldCo LLC and the other</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7"/>
              </w:rPr>
              <w:t>grantors listed on the signature pages thereto in favor of Bank of America, N.A. (incorporated by reference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 Exhibit 10.3 to the Current Report on Form 8-K filed by the Company on September 5,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Note (Term), dated September 1, 2023, between OPAL Fuels Intermediate HoldCo LLC and BankUnited,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8"/>
              </w:rPr>
              <w:t>N.A. (incorporated by reference to Exhibit 10.4 to the Current Report on Form 8-K filed by the Company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September 5,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 (Revolving), dated September 1, 2023, between OPAL Fuels Intermediate HoldCo LLC and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BankUnited, N.A. (incorporated by reference to Exhibit 10.5 to the Current Report on Form 8-K filed by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Company on September 5,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10.34*</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Agreement, dated September 14, 2023, by and among OPAL L2G and SJI (incorporated by reference to</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Exhibit 10.1 to the Current Report on Form 8-K filed by the Company on September 20,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10.37*</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 Purchase and Sale Agreement, dated October 20, 2023, with Washington Gas Light Company</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10.1 to the Current Report on Form 8-K filed by the Company on</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October 26, 2023).</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10.38*</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Base Contract for Sale and Purchase of Natural Gas (San Diego), dated September 15, 2023 (incorporated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5"/>
              </w:rPr>
              <w:t>by reference to Exhibit 10.12 to the Quarterly Report on Form 10-Q filed by the Company on November 14,</w:t>
            </w:r>
          </w:p>
        </w:tc>
      </w:tr>
      <w:tr>
        <w:trPr>
          <w:trHeight w:val="223"/>
        </w:trPr>
        <w:tc>
          <w:tcPr>
            <w:tcW w:w="780" w:type="dxa"/>
            <w:vAlign w:val="bottom"/>
          </w:tcPr>
          <w:p>
            <w:pPr>
              <w:spacing w:after="0"/>
              <w:rPr>
                <w:sz w:val="19"/>
                <w:szCs w:val="19"/>
                <w:color w:val="auto"/>
              </w:rPr>
            </w:pPr>
          </w:p>
        </w:tc>
        <w:tc>
          <w:tcPr>
            <w:tcW w:w="84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10.39*</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Base Contract for Sale and Purchase of Natural Gas (Richmond), dated September 15, 2023 (incorporated</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5"/>
              </w:rPr>
              <w:t>by reference to Exhibit 10.13 to the Quarterly Report on Form 10-Q filed by the Company on November 14,</w:t>
            </w:r>
          </w:p>
        </w:tc>
      </w:tr>
      <w:tr>
        <w:trPr>
          <w:trHeight w:val="223"/>
        </w:trPr>
        <w:tc>
          <w:tcPr>
            <w:tcW w:w="780" w:type="dxa"/>
            <w:vAlign w:val="bottom"/>
          </w:tcPr>
          <w:p>
            <w:pPr>
              <w:spacing w:after="0"/>
              <w:rPr>
                <w:sz w:val="19"/>
                <w:szCs w:val="19"/>
                <w:color w:val="auto"/>
              </w:rPr>
            </w:pPr>
          </w:p>
        </w:tc>
        <w:tc>
          <w:tcPr>
            <w:tcW w:w="84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10.40*</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At Market Issuance Sales Agreement, dated November 17, 2023, among OPAL Fuels Inc., B. Riley</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Securities, Inc., Cantor Fitzgerald &amp; Co. and Stifel, Nicolaus &amp; Company, Incorporated (incorporated</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by reference to Exhibit 10.1 to the Current Report on Form 8-K filed by the Company on November 17,</w:t>
            </w:r>
          </w:p>
        </w:tc>
      </w:tr>
      <w:tr>
        <w:trPr>
          <w:trHeight w:val="223"/>
        </w:trPr>
        <w:tc>
          <w:tcPr>
            <w:tcW w:w="780" w:type="dxa"/>
            <w:vAlign w:val="bottom"/>
          </w:tcPr>
          <w:p>
            <w:pPr>
              <w:spacing w:after="0"/>
              <w:rPr>
                <w:sz w:val="19"/>
                <w:szCs w:val="19"/>
                <w:color w:val="auto"/>
              </w:rPr>
            </w:pPr>
          </w:p>
        </w:tc>
        <w:tc>
          <w:tcPr>
            <w:tcW w:w="846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2023).</w:t>
            </w:r>
          </w:p>
        </w:tc>
        <w:tc>
          <w:tcPr>
            <w:tcW w:w="60" w:type="dxa"/>
            <w:vAlign w:val="bottom"/>
          </w:tcPr>
          <w:p>
            <w:pPr>
              <w:spacing w:after="0"/>
              <w:rPr>
                <w:sz w:val="19"/>
                <w:szCs w:val="19"/>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10.41*</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First Amendment to Amended and Restated Credit and Guaranty Agreement, dated March 5, 2024, by</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and among Paragon RNG LLC, as Borrower, the guarantors, the lenders party thereto, and Bank of</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Montreal, as administrative agent (incorporated by reference to Exhibit 10.1 to the Current Report on</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Form 8-K filed by the Company on March 11, 2024).</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10.42*</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First Amendment to Depositary Agreement, dated March 5, 2024, by Paragon RNG LLC, as Borrower,</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rPr>
              <w:t>Bank of Montreal, as administrative agent, and Wilmington Trust, National Association, as collateral</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w w:val="98"/>
              </w:rPr>
              <w:t>agent and depositary agent (incorporated by reference to Exhibit 10.2 to the Current Report on Form 8-K</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filed by the Company on March 11, 2024).</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10.43+*</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First Amendment to Landfill Gas Purchase Agreement, dated March 27, 2024 (effective as of March 6,</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w w:val="97"/>
              </w:rPr>
              <w:t>2024) (incorporated by reference to Exhibit 10.1 to the Current Report on Form 8-K filed by the Company</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on March 28, 2024).</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10.44+*</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Lease and Access Agreement, dated March 27, 2024 (effective as of March 20, 2024) (incorporated by</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reference to Exhibit 10.2 to the Current Report on Form 8-K filed by the Company on March 28, 2024).</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10.45+#*</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Tax Credit Purchase Agreement, dated September 13, 2024 (incorporated by reference to Exhibit 10.1 to</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the Current Report on Form 8-K filed by the Company on September 19, 2024).</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10.46*</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Guaranty, dated September 13, 2024 (incorporated by reference to Exhibit 10.2 to the Current Report on</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Form 8-K filed by the Company on September 19, 2024).</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10.47*</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Amendment No. 1 to Credit and Guarantee Agreement, dated March 3, 2025 by and among OPAL</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w w:val="99"/>
              </w:rPr>
              <w:t>Fuels Intermediate HoldCo LLC, as Borrower, the Guarantors, the Lenders, the LC Issuers, and Bank of</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w w:val="98"/>
              </w:rPr>
              <w:t>America, N.A., as Administrative Agent (incorporated by reference to Exhibit 10.1 to the Current Report</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on Form 8-K filed by the Company on March 5, 2025).</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10.48*+#</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Tax Credit Purchase Agreement, dated March 28, 2025 (incorporated by reference to Exhibit 10.1 to the</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by the Company on March 28, 2025).</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10.49*</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Guaranty, dated March 28, 2025 (incorporated by reference to Exhibit 10.2 to the Current Report on</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Form 8-K filed by the Company on March 28, 2025).</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10.50*+</w:t>
            </w:r>
          </w:p>
        </w:tc>
        <w:tc>
          <w:tcPr>
            <w:tcW w:w="8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First Amendment to Administrative Services Agreement, dated March 17, 2025 between Fortistar</w:t>
            </w:r>
          </w:p>
        </w:tc>
      </w:tr>
      <w:tr>
        <w:trPr>
          <w:trHeight w:val="220"/>
        </w:trPr>
        <w:tc>
          <w:tcPr>
            <w:tcW w:w="780" w:type="dxa"/>
            <w:vAlign w:val="bottom"/>
          </w:tcPr>
          <w:p>
            <w:pPr>
              <w:spacing w:after="0"/>
              <w:rPr>
                <w:sz w:val="19"/>
                <w:szCs w:val="19"/>
                <w:color w:val="auto"/>
              </w:rPr>
            </w:pPr>
          </w:p>
        </w:tc>
        <w:tc>
          <w:tcPr>
            <w:tcW w:w="8520" w:type="dxa"/>
            <w:vAlign w:val="bottom"/>
            <w:gridSpan w:val="3"/>
          </w:tcPr>
          <w:p>
            <w:pPr>
              <w:ind w:left="180"/>
              <w:spacing w:after="0" w:line="220" w:lineRule="exact"/>
              <w:rPr>
                <w:sz w:val="20"/>
                <w:szCs w:val="20"/>
                <w:color w:val="auto"/>
              </w:rPr>
            </w:pPr>
            <w:r>
              <w:rPr>
                <w:rFonts w:ascii="Times New Roman" w:cs="Times New Roman" w:eastAsia="Times New Roman" w:hAnsi="Times New Roman"/>
                <w:sz w:val="20"/>
                <w:szCs w:val="20"/>
                <w:color w:val="auto"/>
                <w:w w:val="98"/>
              </w:rPr>
              <w:t>Services 2 LLC and OPAL Fuels LLC (incorporated by reference to Exhibit 10.4 to the Quarterly Report</w:t>
            </w:r>
          </w:p>
        </w:tc>
      </w:tr>
      <w:tr>
        <w:trPr>
          <w:trHeight w:val="223"/>
        </w:trPr>
        <w:tc>
          <w:tcPr>
            <w:tcW w:w="780" w:type="dxa"/>
            <w:vAlign w:val="bottom"/>
          </w:tcPr>
          <w:p>
            <w:pPr>
              <w:spacing w:after="0"/>
              <w:rPr>
                <w:sz w:val="19"/>
                <w:szCs w:val="19"/>
                <w:color w:val="auto"/>
              </w:rPr>
            </w:pPr>
          </w:p>
        </w:tc>
        <w:tc>
          <w:tcPr>
            <w:tcW w:w="8520" w:type="dxa"/>
            <w:vAlign w:val="bottom"/>
            <w:gridSpan w:val="3"/>
          </w:tcPr>
          <w:p>
            <w:pPr>
              <w:ind w:left="180"/>
              <w:spacing w:after="0" w:line="223" w:lineRule="exact"/>
              <w:rPr>
                <w:sz w:val="20"/>
                <w:szCs w:val="20"/>
                <w:color w:val="auto"/>
              </w:rPr>
            </w:pPr>
            <w:r>
              <w:rPr>
                <w:rFonts w:ascii="Times New Roman" w:cs="Times New Roman" w:eastAsia="Times New Roman" w:hAnsi="Times New Roman"/>
                <w:sz w:val="20"/>
                <w:szCs w:val="20"/>
                <w:color w:val="auto"/>
              </w:rPr>
              <w:t>on Form 10-Q filed by the Company on May 13, 2025)</w:t>
            </w:r>
          </w:p>
        </w:tc>
      </w:tr>
    </w:tbl>
    <w:p>
      <w:pPr>
        <w:spacing w:after="0" w:line="200" w:lineRule="exact"/>
        <w:rPr>
          <w:sz w:val="20"/>
          <w:szCs w:val="20"/>
          <w:color w:val="auto"/>
        </w:rPr>
      </w:pPr>
    </w:p>
    <w:p>
      <w:pPr>
        <w:sectPr>
          <w:pgSz w:w="12240" w:h="15840" w:orient="portrait"/>
          <w:cols w:equalWidth="0" w:num="1">
            <w:col w:w="9360"/>
          </w:cols>
          <w:pgMar w:left="1440" w:top="973" w:right="1440" w:bottom="348" w:gutter="0" w:footer="0" w:header="0"/>
        </w:sect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973" w:right="1440" w:bottom="348"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7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8280" w:type="dxa"/>
            <w:vAlign w:val="bottom"/>
            <w:tcBorders>
              <w:bottom w:val="single" w:sz="8" w:color="auto"/>
            </w:tcBorders>
          </w:tcPr>
          <w:p>
            <w:pPr>
              <w:ind w:left="37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10.51*</w:t>
            </w:r>
          </w:p>
        </w:tc>
        <w:tc>
          <w:tcPr>
            <w:tcW w:w="180" w:type="dxa"/>
            <w:vAlign w:val="bottom"/>
          </w:tcPr>
          <w:p>
            <w:pPr>
              <w:spacing w:after="0"/>
              <w:rPr>
                <w:sz w:val="21"/>
                <w:szCs w:val="21"/>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Option Agreement, dated March 17, 2025, between Wasatch RNG LLC and OPAL Fuels LLC</w:t>
            </w:r>
          </w:p>
        </w:tc>
      </w:tr>
      <w:tr>
        <w:trPr>
          <w:trHeight w:val="220"/>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10.5 to the Quarterly Report on Form 10-Q filed by the Company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May 13, 2025)</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w w:val="99"/>
              </w:rPr>
              <w:t>10.52*+#</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Limited Liability Company Agreement, dated May 9, 2025 (incorporated by reference to Exhibit 10.6 to</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Quarterly Report on Form 10-Q filed by the Company on May 13, 2025)</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10.53</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Employment Agreement, dated December 31, 2024 between the Company and Kazi Hasan</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10.54+#</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Credit Purchase Agreement, dated June 20, 2025.</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10.55</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Guaranty, dated June 20, 2025</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10.56+#</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Credit Purchase Agreement, dated June 20, 2025</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10.57</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Guaranty, dated June 20, 2025</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10.58+#</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Credit Purchase Agreement, dated September 12, 2025</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10.59</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Guaranty, dated September 12, 2025</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10.60*</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Subscription Agreement, dated March 6, 2026 (incorporated by reference to Exhibit 10.1 to the Current</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Report on Form 8-K filed by the Company on March 6, 2026)</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Insider Trading Policy (incorporated by reference to Exhibit 19.1 to the Annual Report on Form 10-K</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filed by the Company on March 17, 2025).</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List of subsidiaries of the registrant</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Consent of BDO USA, P.C, independent registered accounting firm.</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Power of Attorney (included on the signature page of this Annual Report on Form 10-K).</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Rules 13a-14(a) and 15d-14(a) under the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8"/>
              </w:rPr>
              <w:t>Securities Exchange Act of 1934, as Adopted Pursuant to Section 302 of the Sarbanes-Oxley Act of 2002.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Co-Principal Executive Officer Pursuant to Rules 13a-14(a) and 15d-14(a) under the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w w:val="98"/>
              </w:rPr>
              <w:t>Securities Exchange Act of 1934, as Adopted Pursuant to Section 302 of the Sarbanes-Oxley Act of 2002.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31.3</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Certification of Principal Financial Officer Pursuant to Rules 13a-14(a) and 15d-14(a) under the Securities</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Certification of Co-Principal Executive Officer Pursuant to 18 U.S.C. Section 1350, as Adopted Pursuant</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Certification of Co-Principal Executive Officer Pursuant to 18 U.S.C. Section 1350, as Adopted Pursuant</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32.3**</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Clawback Policy (incorporated by reference to Exhibit 97.1 to the Annual Report on Form 10-K filed by</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 Company on March 15, 2024).</w:t>
            </w: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Instance Document (the instance document does not appear in the Interactive Data File</w:t>
            </w:r>
          </w:p>
        </w:tc>
      </w:tr>
      <w:tr>
        <w:trPr>
          <w:trHeight w:val="223"/>
        </w:trPr>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because its XBRL tags are embedded within the Inline XBRL document).</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6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80" w:type="dxa"/>
            <w:vAlign w:val="bottom"/>
          </w:tcPr>
          <w:p>
            <w:pPr>
              <w:spacing w:after="0"/>
              <w:rPr>
                <w:sz w:val="22"/>
                <w:szCs w:val="22"/>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30" w:lineRule="exact"/>
        <w:rPr>
          <w:sz w:val="20"/>
          <w:szCs w:val="20"/>
          <w:color w:val="auto"/>
        </w:rPr>
      </w:pPr>
    </w:p>
    <w:p>
      <w:pPr>
        <w:ind w:left="960" w:hanging="960"/>
        <w:spacing w:after="0"/>
        <w:tabs>
          <w:tab w:leader="none" w:pos="96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8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*Previously filed.</w:t>
      </w:r>
    </w:p>
    <w:p>
      <w:pPr>
        <w:spacing w:after="0" w:line="21" w:lineRule="exact"/>
        <w:rPr>
          <w:rFonts w:ascii="Times New Roman" w:cs="Times New Roman" w:eastAsia="Times New Roman" w:hAnsi="Times New Roman"/>
          <w:sz w:val="20"/>
          <w:szCs w:val="20"/>
          <w:color w:val="auto"/>
        </w:rPr>
      </w:pPr>
    </w:p>
    <w:p>
      <w:pPr>
        <w:jc w:val="both"/>
        <w:ind w:left="480" w:hanging="480"/>
        <w:spacing w:after="0" w:line="250"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-605790</wp:posOffset>
                </wp:positionV>
                <wp:extent cx="5588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6999pt" to="44pt,-47.6999pt" o:allowincell="f" strokecolor="#000000" strokeweight="0.5pt"/>
            </w:pict>
          </mc:Fallback>
        </mc:AlternateContent>
      </w:r>
    </w:p>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w:t>
      </w:r>
    </w:p>
    <w:p>
      <w:pPr>
        <w:spacing w:after="0" w:line="13" w:lineRule="exact"/>
        <w:rPr>
          <w:sz w:val="20"/>
          <w:szCs w:val="20"/>
          <w:color w:val="auto"/>
        </w:rPr>
      </w:pPr>
    </w:p>
    <w:p>
      <w:pPr>
        <w:ind w:left="480" w:hanging="48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Company agrees to furnish</w:t>
      </w:r>
    </w:p>
    <w:p>
      <w:pPr>
        <w:spacing w:after="0" w:line="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supplementally a copy of any omitted schedule or exhibit to the SEC upon request.</w:t>
      </w:r>
    </w:p>
    <w:p>
      <w:pPr>
        <w:spacing w:after="0" w:line="21" w:lineRule="exact"/>
        <w:rPr>
          <w:sz w:val="20"/>
          <w:szCs w:val="20"/>
          <w:color w:val="auto"/>
        </w:rPr>
      </w:pPr>
    </w:p>
    <w:p>
      <w:pPr>
        <w:ind w:left="480" w:hanging="480"/>
        <w:spacing w:after="0" w:line="245" w:lineRule="auto"/>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exhibits to this exhibit have been omitted pursuant to Regulation S-K Item 601(a)(5). The Company agrees to furnish supplementally a copy of any omitted schedule or exhibit to the SEC upon its request.</w:t>
      </w:r>
    </w:p>
    <w:p>
      <w:pPr>
        <w:spacing w:after="0" w:line="17" w:lineRule="exact"/>
        <w:rPr>
          <w:sz w:val="20"/>
          <w:szCs w:val="20"/>
          <w:color w:val="auto"/>
        </w:rPr>
      </w:pPr>
    </w:p>
    <w:p>
      <w:pPr>
        <w:ind w:left="480" w:hanging="480"/>
        <w:spacing w:after="0" w:line="245" w:lineRule="auto"/>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document has been redacted in accordance with Item 601(b)(10)(iv) of Regulation S-K.</w:t>
      </w:r>
    </w:p>
    <w:p>
      <w:pPr>
        <w:sectPr>
          <w:pgSz w:w="12240" w:h="15840" w:orient="portrait"/>
          <w:cols w:equalWidth="0" w:num="1">
            <w:col w:w="9360"/>
          </w:cols>
          <w:pgMar w:left="1440" w:top="973" w:right="1440" w:bottom="348"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973" w:right="1440" w:bottom="348"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634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OPAL FUELS INC.</w:t>
            </w:r>
          </w:p>
        </w:tc>
      </w:tr>
      <w:tr>
        <w:trPr>
          <w:trHeight w:val="40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March 16, 2026</w:t>
            </w:r>
          </w:p>
        </w:tc>
        <w:tc>
          <w:tcPr>
            <w:tcW w:w="242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Jonathan Maurer</w:t>
            </w:r>
          </w:p>
        </w:tc>
      </w:tr>
      <w:tr>
        <w:trPr>
          <w:trHeight w:val="239"/>
        </w:trPr>
        <w:tc>
          <w:tcPr>
            <w:tcW w:w="3000" w:type="dxa"/>
            <w:vAlign w:val="bottom"/>
          </w:tcPr>
          <w:p>
            <w:pPr>
              <w:spacing w:after="0"/>
              <w:rPr>
                <w:sz w:val="20"/>
                <w:szCs w:val="20"/>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w:t>
            </w:r>
          </w:p>
        </w:tc>
      </w:tr>
      <w:tr>
        <w:trPr>
          <w:trHeight w:val="260"/>
        </w:trPr>
        <w:tc>
          <w:tcPr>
            <w:tcW w:w="3000" w:type="dxa"/>
            <w:vAlign w:val="bottom"/>
          </w:tcPr>
          <w:p>
            <w:pPr>
              <w:spacing w:after="0"/>
              <w:rPr>
                <w:sz w:val="22"/>
                <w:szCs w:val="22"/>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20"/>
                <w:szCs w:val="20"/>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Title: Co-Chief Executive Officer</w:t>
            </w:r>
          </w:p>
        </w:tc>
      </w:tr>
    </w:tbl>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each of Jonathan Maurer, Adam Comora, Kazi Hasan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1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88"/>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Comora</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Chairman</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Mark Comora</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Betsy L. Battle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Betsy L. Battle</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Scott Dols</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Scott Dols</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Martell</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James Martell</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Lance Moll</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Lance Moll</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Nadeem Nisar</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Nadeem Nisar</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Scott Sutton</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Scott Sutton</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Ashok Vemuri</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Ashok Vemuri</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941" w:right="1440" w:bottom="348"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49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41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88"/>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Adam Comora</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Adam Comora</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Jonathan Maurer</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Jonathan Maurer</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01"/>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Kazi Hasan</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Kazi Hasan</w:t>
            </w: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March 16, 2026</w:t>
            </w:r>
          </w:p>
        </w:tc>
        <w:tc>
          <w:tcPr>
            <w:tcW w:w="180" w:type="dxa"/>
            <w:vAlign w:val="bottom"/>
          </w:tcPr>
          <w:p>
            <w:pPr>
              <w:spacing w:after="0"/>
              <w:rPr>
                <w:sz w:val="22"/>
                <w:szCs w:val="22"/>
                <w:color w:val="auto"/>
              </w:rPr>
            </w:pPr>
          </w:p>
        </w:tc>
        <w:tc>
          <w:tcPr>
            <w:tcW w:w="41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975" w:right="1440" w:bottom="348"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tcPr>
          <w:p>
            <w:pPr>
              <w:spacing w:after="0"/>
              <w:rPr>
                <w:sz w:val="18"/>
                <w:szCs w:val="18"/>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5"/>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(BDO USA, P.C.; Melville, NY;</w:t>
            </w:r>
          </w:p>
        </w:tc>
        <w:tc>
          <w:tcPr>
            <w:tcW w:w="740" w:type="dxa"/>
            <w:vAlign w:val="bottom"/>
          </w:tcPr>
          <w:p>
            <w:pPr>
              <w:spacing w:after="0"/>
              <w:rPr>
                <w:sz w:val="21"/>
                <w:szCs w:val="21"/>
                <w:color w:val="auto"/>
              </w:rPr>
            </w:pPr>
          </w:p>
        </w:tc>
      </w:tr>
      <w:tr>
        <w:trPr>
          <w:trHeight w:val="223"/>
        </w:trPr>
        <w:tc>
          <w:tcPr>
            <w:tcW w:w="85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PCAOB ID No. 243) . . . . . . . . . . . . . . . . . . . . . . . . . . . . . . . . . . . . . . . . . . . . . . . . . . . . . . . . . . . . . . . . .</w:t>
            </w:r>
          </w:p>
        </w:tc>
        <w:tc>
          <w:tcPr>
            <w:tcW w:w="7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F-2</w:t>
            </w:r>
          </w:p>
        </w:tc>
      </w:tr>
      <w:tr>
        <w:trPr>
          <w:trHeight w:val="260"/>
        </w:trPr>
        <w:tc>
          <w:tcPr>
            <w:tcW w:w="85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Consolidated Balance Sheets as of December 31, 2025 and 2024 . . . . . . . . . . . . . . . . . . . .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F-3</w:t>
            </w:r>
          </w:p>
        </w:tc>
      </w:tr>
      <w:tr>
        <w:trPr>
          <w:trHeight w:val="260"/>
        </w:trPr>
        <w:tc>
          <w:tcPr>
            <w:tcW w:w="85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2025 and 2024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260"/>
        </w:trPr>
        <w:tc>
          <w:tcPr>
            <w:tcW w:w="85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Consolidated Statements of Comprehensive Income for the years ended December 31, 2025 and 2024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257"/>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Redeemable Non-controlling Interest, Redeemable Preferred</w:t>
            </w:r>
          </w:p>
        </w:tc>
        <w:tc>
          <w:tcPr>
            <w:tcW w:w="740" w:type="dxa"/>
            <w:vAlign w:val="bottom"/>
          </w:tcPr>
          <w:p>
            <w:pPr>
              <w:spacing w:after="0"/>
              <w:rPr>
                <w:sz w:val="22"/>
                <w:szCs w:val="22"/>
                <w:color w:val="auto"/>
              </w:rPr>
            </w:pPr>
          </w:p>
        </w:tc>
      </w:tr>
      <w:tr>
        <w:trPr>
          <w:trHeight w:val="220"/>
        </w:trPr>
        <w:tc>
          <w:tcPr>
            <w:tcW w:w="8500" w:type="dxa"/>
            <w:vAlign w:val="bottom"/>
          </w:tcPr>
          <w:p>
            <w:pPr>
              <w:jc w:val="right"/>
              <w:ind w:right="960"/>
              <w:spacing w:after="0" w:line="220" w:lineRule="exact"/>
              <w:rPr>
                <w:sz w:val="20"/>
                <w:szCs w:val="20"/>
                <w:color w:val="auto"/>
              </w:rPr>
            </w:pPr>
            <w:r>
              <w:rPr>
                <w:rFonts w:ascii="Times New Roman" w:cs="Times New Roman" w:eastAsia="Times New Roman" w:hAnsi="Times New Roman"/>
                <w:sz w:val="20"/>
                <w:szCs w:val="20"/>
                <w:color w:val="auto"/>
              </w:rPr>
              <w:t>Non-controlling Interest and Stockholders’ Deficit for the years ended December 31, 2025</w:t>
            </w:r>
          </w:p>
        </w:tc>
        <w:tc>
          <w:tcPr>
            <w:tcW w:w="740" w:type="dxa"/>
            <w:vAlign w:val="bottom"/>
          </w:tcPr>
          <w:p>
            <w:pPr>
              <w:spacing w:after="0"/>
              <w:rPr>
                <w:sz w:val="19"/>
                <w:szCs w:val="19"/>
                <w:color w:val="auto"/>
              </w:rPr>
            </w:pPr>
          </w:p>
        </w:tc>
      </w:tr>
      <w:tr>
        <w:trPr>
          <w:trHeight w:val="223"/>
        </w:trPr>
        <w:tc>
          <w:tcPr>
            <w:tcW w:w="8500" w:type="dxa"/>
            <w:vAlign w:val="bottom"/>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and 2024 . . . . . . . . . . . . . . . . . . . . . . . . . . . . . . . . . . . . . . . . . . . . . . . . . . . . . . . . . . . . . . . . . . . . . . . . . .</w:t>
            </w:r>
          </w:p>
        </w:tc>
        <w:tc>
          <w:tcPr>
            <w:tcW w:w="7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F-7</w:t>
            </w:r>
          </w:p>
        </w:tc>
      </w:tr>
      <w:tr>
        <w:trPr>
          <w:trHeight w:val="260"/>
        </w:trPr>
        <w:tc>
          <w:tcPr>
            <w:tcW w:w="85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Consolidated Statements of Cash Flows for the years ended December 31, 2025 and 2024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F-9</w:t>
            </w:r>
          </w:p>
        </w:tc>
      </w:tr>
      <w:tr>
        <w:trPr>
          <w:trHeight w:val="260"/>
        </w:trPr>
        <w:tc>
          <w:tcPr>
            <w:tcW w:w="85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Notes to Consolidated Financial Statements . . . . . . . . . . . . . . . . . . . . . . . . . . . . . . . . . . . . .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F-11</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941" w:right="1440" w:bottom="348" w:gutter="0" w:footer="0" w:header="0"/>
          <w:type w:val="continuous"/>
        </w:sectPr>
      </w:pPr>
    </w:p>
    <w:bookmarkStart w:id="84" w:name="page85"/>
    <w:bookmarkEnd w:id="84"/>
    <w:p>
      <w:pPr>
        <w:ind w:left="12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OPAL Fuels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White Plains, 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OPAL Fuels Inc. (the “Company”) as of December 31, 2025 and 2024, the related consolidated statements of operations, comprehensive income, changes in redeemable non-controlling interest, redeemable preferred non-controlling interest and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Parties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As discussed in </w:t>
      </w:r>
      <w:r>
        <w:rPr>
          <w:rFonts w:ascii="Times New Roman" w:cs="Times New Roman" w:eastAsia="Times New Roman" w:hAnsi="Times New Roman"/>
          <w:sz w:val="20"/>
          <w:szCs w:val="20"/>
          <w:i w:val="1"/>
          <w:iCs w:val="1"/>
          <w:color w:val="auto"/>
        </w:rPr>
        <w:t>Note 9. Related Parties</w:t>
      </w:r>
      <w:r>
        <w:rPr>
          <w:rFonts w:ascii="Times New Roman" w:cs="Times New Roman" w:eastAsia="Times New Roman" w:hAnsi="Times New Roman"/>
          <w:sz w:val="20"/>
          <w:szCs w:val="20"/>
          <w:color w:val="auto"/>
        </w:rPr>
        <w:t xml:space="preserve"> to the consolidated financial statements, the Company has entered into significant transactions with NextEra Energy Marketing, LLC (“NextEra”) and Fortistar LLC (“Fortistar”), which are related parties. Our opinion is not modified with respect to this matter.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Melville, 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16, 2026</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941" w:right="1440" w:bottom="348"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7"/>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24,310</w:t>
            </w:r>
          </w:p>
        </w:tc>
        <w:tc>
          <w:tcPr>
            <w:tcW w:w="0" w:type="dxa"/>
            <w:vAlign w:val="bottom"/>
          </w:tcPr>
          <w:p>
            <w:pPr>
              <w:spacing w:after="0"/>
              <w:rPr>
                <w:sz w:val="1"/>
                <w:szCs w:val="1"/>
                <w:color w:val="auto"/>
              </w:rPr>
            </w:pPr>
          </w:p>
        </w:tc>
      </w:tr>
      <w:tr>
        <w:trPr>
          <w:trHeight w:val="29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Accounts receivable, net of allowance of $469 and $—, respectively</w:t>
            </w:r>
            <w:r>
              <w:rPr>
                <w:rFonts w:ascii="Times New Roman" w:cs="Times New Roman" w:eastAsia="Times New Roman" w:hAnsi="Times New Roman"/>
                <w:sz w:val="23"/>
                <w:szCs w:val="23"/>
                <w:color w:val="auto"/>
                <w:w w:val="99"/>
                <w:vertAlign w:val="superscript"/>
              </w:rPr>
              <w:t>(2)</w:t>
            </w:r>
            <w:r>
              <w:rPr>
                <w:rFonts w:ascii="Times New Roman" w:cs="Times New Roman" w:eastAsia="Times New Roman" w:hAnsi="Times New Roman"/>
                <w:sz w:val="20"/>
                <w:szCs w:val="20"/>
                <w:color w:val="auto"/>
                <w:w w:val="99"/>
              </w:rPr>
              <w:t xml:space="preserve">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61,806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46,535</w:t>
            </w: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Restricted cash – current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972</w:t>
            </w:r>
          </w:p>
        </w:tc>
        <w:tc>
          <w:tcPr>
            <w:tcW w:w="0" w:type="dxa"/>
            <w:vAlign w:val="bottom"/>
          </w:tcPr>
          <w:p>
            <w:pPr>
              <w:spacing w:after="0"/>
              <w:rPr>
                <w:sz w:val="1"/>
                <w:szCs w:val="1"/>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Contract assets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11,075</w:t>
            </w:r>
          </w:p>
        </w:tc>
        <w:tc>
          <w:tcPr>
            <w:tcW w:w="0" w:type="dxa"/>
            <w:vAlign w:val="bottom"/>
          </w:tcPr>
          <w:p>
            <w:pPr>
              <w:spacing w:after="0"/>
              <w:rPr>
                <w:sz w:val="1"/>
                <w:szCs w:val="1"/>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Parts inventory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10,294</w:t>
            </w:r>
          </w:p>
        </w:tc>
        <w:tc>
          <w:tcPr>
            <w:tcW w:w="0" w:type="dxa"/>
            <w:vAlign w:val="bottom"/>
          </w:tcPr>
          <w:p>
            <w:pPr>
              <w:spacing w:after="0"/>
              <w:rPr>
                <w:sz w:val="1"/>
                <w:szCs w:val="1"/>
                <w:color w:val="auto"/>
              </w:rPr>
            </w:pPr>
          </w:p>
        </w:tc>
      </w:tr>
      <w:tr>
        <w:trPr>
          <w:trHeight w:val="260"/>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16,018</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23,583</w:t>
            </w:r>
          </w:p>
        </w:tc>
        <w:tc>
          <w:tcPr>
            <w:tcW w:w="0" w:type="dxa"/>
            <w:vAlign w:val="bottom"/>
          </w:tcPr>
          <w:p>
            <w:pPr>
              <w:spacing w:after="0"/>
              <w:rPr>
                <w:sz w:val="1"/>
                <w:szCs w:val="1"/>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.Totalcurrentassets...........................................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122,682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116,769</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495,634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458,258</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Investments in other entities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223,594</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investment in sales-type lease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Restricted cash – non-current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2,298</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54,608</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long-term assets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44,398</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25,550</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959,469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881,077</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Deficit</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17,111</w:t>
            </w: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Contract liabilities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6,296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9,276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Loans, current portion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15,062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12,621</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and other current liabilities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63,857</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64,588</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104,219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103,596</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Loans, net of debt issuance costs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337,063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285,003</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long-term liabilities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20,430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27,446</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461,712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416,045</w:t>
            </w: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Commitments and contingencies </w:t>
            </w:r>
            <w:r>
              <w:rPr>
                <w:rFonts w:ascii="Times New Roman" w:cs="Times New Roman" w:eastAsia="Times New Roman" w:hAnsi="Times New Roman"/>
                <w:sz w:val="20"/>
                <w:szCs w:val="20"/>
                <w:i w:val="1"/>
                <w:iCs w:val="1"/>
                <w:color w:val="auto"/>
              </w:rPr>
              <w:t>Note 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Redeemable preferred non-controlling interests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130,000</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Redeemable non-controlling interests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377,898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482,863</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Stockholders’ deficit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A common stock, $0.0001 par value; shares issued: 30,633,161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4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and 30,065,260 at December 31, 2025 and 2024, respectively; 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outstanding: 28,997,378 and 28,429,477 at December 31, 2025 and 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respectively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B common stock, $0.0001 par value; 121,500,000 issued and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4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2025 and 71,500,000 issued and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outstanding as of December 31, 2024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C common stock, $0.0001 par value; none issued and outstanding as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of December 31, 2025 and 2024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Class D common stock, $0.0001 par value; 22,899,037 shares issued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4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and outstanding as of December 31, 2025 and 72,899,037 issued and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outstanding as of December 31, 2024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941" w:right="1440" w:bottom="348"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w:t>
            </w:r>
          </w:p>
        </w:tc>
        <w:tc>
          <w:tcPr>
            <w:tcW w:w="1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(137,004)</w:t>
            </w:r>
          </w:p>
        </w:tc>
        <w:tc>
          <w:tcPr>
            <w:tcW w:w="0" w:type="dxa"/>
            <w:vAlign w:val="bottom"/>
          </w:tcPr>
          <w:p>
            <w:pPr>
              <w:spacing w:after="0"/>
              <w:rPr>
                <w:sz w:val="1"/>
                <w:szCs w:val="1"/>
                <w:color w:val="auto"/>
              </w:rPr>
            </w:pPr>
          </w:p>
        </w:tc>
      </w:tr>
      <w:tr>
        <w:trPr>
          <w:trHeight w:val="26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Accumulated other comprehensive (loss) income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gridSpan w:val="2"/>
          </w:tcPr>
          <w:p>
            <w:pPr>
              <w:jc w:val="right"/>
              <w:ind w:right="1100"/>
              <w:spacing w:after="0"/>
              <w:rPr>
                <w:sz w:val="20"/>
                <w:szCs w:val="20"/>
                <w:color w:val="auto"/>
              </w:rPr>
            </w:pPr>
            <w:r>
              <w:rPr>
                <w:rFonts w:ascii="Times New Roman" w:cs="Times New Roman" w:eastAsia="Times New Roman" w:hAnsi="Times New Roman"/>
                <w:sz w:val="20"/>
                <w:szCs w:val="20"/>
                <w:color w:val="auto"/>
              </w:rPr>
              <w:t>Class A common stock in treasury, at cost; 1,635,783 shares as of</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December 31, 2025 and 2024 . . . . . . . . . . . . . . . . . . . . . . . . . . . . . . . . . . . .</w:t>
            </w:r>
          </w:p>
        </w:tc>
        <w:tc>
          <w:tcPr>
            <w:tcW w:w="100" w:type="dxa"/>
            <w:vAlign w:val="bottom"/>
          </w:tcPr>
          <w:p>
            <w:pPr>
              <w:spacing w:after="0"/>
              <w:rPr>
                <w:sz w:val="19"/>
                <w:szCs w:val="19"/>
                <w:color w:val="auto"/>
              </w:rPr>
            </w:pPr>
          </w:p>
        </w:tc>
        <w:tc>
          <w:tcPr>
            <w:tcW w:w="1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(11,614)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(11,614)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20"/>
                <w:szCs w:val="20"/>
                <w:color w:val="auto"/>
              </w:rPr>
              <w:t>Total stockholders’ deficit attributable to the Company</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gridSpan w:val="2"/>
            <w:vMerge w:val="continue"/>
          </w:tcPr>
          <w:p>
            <w:pPr>
              <w:jc w:val="right"/>
              <w:ind w:right="180"/>
              <w:spacing w:after="0" w:line="192" w:lineRule="exact"/>
              <w:rPr>
                <w:sz w:val="20"/>
                <w:szCs w:val="20"/>
                <w:color w:val="auto"/>
              </w:rPr>
            </w:pPr>
            <w:r>
              <w:rPr>
                <w:rFonts w:ascii="Times New Roman" w:cs="Times New Roman" w:eastAsia="Times New Roman" w:hAnsi="Times New Roman"/>
                <w:sz w:val="20"/>
                <w:szCs w:val="20"/>
                <w:color w:val="auto"/>
              </w:rPr>
              <w:t>. . . . . . . . . . . . . . . .</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(12,930)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(148,449)</w:t>
            </w:r>
          </w:p>
        </w:tc>
        <w:tc>
          <w:tcPr>
            <w:tcW w:w="0" w:type="dxa"/>
            <w:vAlign w:val="bottom"/>
          </w:tcPr>
          <w:p>
            <w:pPr>
              <w:spacing w:after="0"/>
              <w:rPr>
                <w:sz w:val="1"/>
                <w:szCs w:val="1"/>
                <w:color w:val="auto"/>
              </w:rPr>
            </w:pPr>
          </w:p>
        </w:tc>
      </w:tr>
      <w:tr>
        <w:trPr>
          <w:trHeight w:val="24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Non-redeemable non-controlling interests . . . . . . . . . . . . . . . . . . . . . . . . . . . .</w:t>
            </w: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Total stockholders’ deficit .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(10,141)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(147,831)</w:t>
            </w:r>
          </w:p>
        </w:tc>
        <w:tc>
          <w:tcPr>
            <w:tcW w:w="0" w:type="dxa"/>
            <w:vAlign w:val="bottom"/>
          </w:tcPr>
          <w:p>
            <w:pPr>
              <w:spacing w:after="0"/>
              <w:rPr>
                <w:sz w:val="1"/>
                <w:szCs w:val="1"/>
                <w:color w:val="auto"/>
              </w:rPr>
            </w:pPr>
          </w:p>
        </w:tc>
      </w:tr>
      <w:tr>
        <w:trPr>
          <w:trHeight w:val="237"/>
        </w:trPr>
        <w:tc>
          <w:tcPr>
            <w:tcW w:w="65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liabilities, redeemable preferred, redeemable non-controlling</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5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interests and stockholders’ deficit . . . . . . . . . . . . . . . . . . . . . . . . . . . . . . .</w:t>
            </w: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959,469</w:t>
            </w:r>
          </w:p>
        </w:tc>
        <w:tc>
          <w:tcPr>
            <w:tcW w:w="120" w:type="dxa"/>
            <w:vAlign w:val="bottom"/>
          </w:tcPr>
          <w:p>
            <w:pPr>
              <w:spacing w:after="0"/>
              <w:rPr>
                <w:sz w:val="19"/>
                <w:szCs w:val="19"/>
                <w:color w:val="auto"/>
              </w:rPr>
            </w:pPr>
          </w:p>
        </w:tc>
        <w:tc>
          <w:tcPr>
            <w:tcW w:w="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881,077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80" w:hanging="480"/>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related to consolidated VIEs, which are presented separately in the table below.</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$13,318 and $14,522 as of December 31, 2025 and 2024, respectively.</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$8,951 and $7,932 as of December 31, 2025 and 2024, respectively.</w:t>
      </w:r>
    </w:p>
    <w:p>
      <w:pPr>
        <w:spacing w:after="0" w:line="183"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aggregated assets and liabilities of consolidated VIEs, which are included in the consolidated balance sheets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 of consolidated VIEs, included in total assets above:</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Restricted cash – current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Prepaid expense and other current assets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42,603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25,428</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Restricted cash – non-current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2,315</w:t>
            </w: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assets of consolidated VIEs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46,809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29,681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of consolidated VIEs, included in total liabilities above:</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payable, related party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Loan, current portion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1,756</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expenses and other current liabilities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Loan, net of debt issuance costs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18,373</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long-term liabilities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2,495</w:t>
            </w:r>
          </w:p>
        </w:tc>
        <w:tc>
          <w:tcPr>
            <w:tcW w:w="0" w:type="dxa"/>
            <w:vAlign w:val="bottom"/>
          </w:tcPr>
          <w:p>
            <w:pPr>
              <w:spacing w:after="0"/>
              <w:rPr>
                <w:sz w:val="1"/>
                <w:szCs w:val="1"/>
                <w:color w:val="auto"/>
              </w:rPr>
            </w:pPr>
          </w:p>
        </w:tc>
      </w:tr>
      <w:tr>
        <w:trPr>
          <w:trHeight w:val="24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liabilities of consolidated VIEs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24,091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942" w:right="1440" w:bottom="348"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RNG fuel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101,656</w:t>
            </w:r>
          </w:p>
        </w:tc>
        <w:tc>
          <w:tcPr>
            <w:tcW w:w="1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line="259" w:lineRule="exact"/>
              <w:rPr>
                <w:sz w:val="20"/>
                <w:szCs w:val="20"/>
                <w:color w:val="auto"/>
              </w:rPr>
            </w:pPr>
            <w:r>
              <w:rPr>
                <w:rFonts w:ascii="Times New Roman" w:cs="Times New Roman" w:eastAsia="Times New Roman" w:hAnsi="Times New Roman"/>
                <w:sz w:val="20"/>
                <w:szCs w:val="20"/>
                <w:color w:val="auto"/>
              </w:rPr>
              <w:t>Fuel Station Services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214,551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166,875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4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Renewable Power</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 . . . . .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32,768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348,975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RNG fuel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Fuel Station Services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166,778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128,804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Cost of sales – Renewable Power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26,734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Project development and start up costs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63,982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amortization, and accretion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Impairment loss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equity method investments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(2,627)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(13,235)</w:t>
            </w: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341,561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278,750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.Operatingincome.......................................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(expense) income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and financing expense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(27,521)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(21,531)</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.Totalotherexpenses.....................................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(23,749)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(15,803)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(loss) income before income tax benefit . . . . . . . . . . . . . . . . . . . . . . .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(16,335)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tax benefit . . . . . . . . . . . . . . . .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.Netincome............................................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redeemable non-controlling interest . . . . . . . . .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non-redeemable non-controlling interest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443</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Dividends on redeemable preferred non-controlling interests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attributable to Class A common stockholders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4,283</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Weighted average shares outstanding of Class A common stock:</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28,138,140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27,617,335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29,252,330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27,694,650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Per share amounts: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1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1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75" w:lineRule="exact"/>
        <w:rPr>
          <w:sz w:val="20"/>
          <w:szCs w:val="20"/>
          <w:color w:val="auto"/>
        </w:rPr>
      </w:pPr>
    </w:p>
    <w:p>
      <w:pPr>
        <w:ind w:left="480" w:hanging="480"/>
        <w:spacing w:after="0"/>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revenues from related parties of $68,039 and $68,416 for the years ended December 31, 2025 and 2024, respectively</w:t>
      </w:r>
    </w:p>
    <w:p>
      <w:pPr>
        <w:spacing w:after="0" w:line="24"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revenues from related parties of $51,679 and $45,808 for the years ended December 31, 2025 and 2024, respectively</w:t>
      </w:r>
    </w:p>
    <w:p>
      <w:pPr>
        <w:spacing w:after="0" w:line="16" w:lineRule="exact"/>
        <w:rPr>
          <w:rFonts w:ascii="Times New Roman" w:cs="Times New Roman" w:eastAsia="Times New Roman" w:hAnsi="Times New Roman"/>
          <w:sz w:val="17"/>
          <w:szCs w:val="17"/>
          <w:color w:val="auto"/>
        </w:rPr>
      </w:pPr>
    </w:p>
    <w:p>
      <w:pPr>
        <w:ind w:left="480" w:hanging="48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from related parties of $6,822 and $6,912 for the years ended December 31, 2025 and 2024,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942" w:right="1440" w:bottom="348"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36,411</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14,325</w:t>
            </w:r>
          </w:p>
        </w:tc>
      </w:tr>
      <w:tr>
        <w:trPr>
          <w:trHeight w:val="260"/>
        </w:trPr>
        <w:tc>
          <w:tcPr>
            <w:tcW w:w="6440" w:type="dxa"/>
            <w:vAlign w:val="bottom"/>
          </w:tcPr>
          <w:p>
            <w:pPr>
              <w:jc w:val="right"/>
              <w:ind w:right="3940"/>
              <w:spacing w:after="0"/>
              <w:rPr>
                <w:sz w:val="20"/>
                <w:szCs w:val="20"/>
                <w:color w:val="auto"/>
              </w:rPr>
            </w:pPr>
            <w:r>
              <w:rPr>
                <w:rFonts w:ascii="Times New Roman" w:cs="Times New Roman" w:eastAsia="Times New Roman" w:hAnsi="Times New Roman"/>
                <w:sz w:val="20"/>
                <w:szCs w:val="20"/>
                <w:color w:val="auto"/>
                <w:w w:val="98"/>
              </w:rPr>
              <w:t>Other comprehensive income:</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unrealized (loss) gain on cash flow hedges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.Totalcomprehensiveincome.................................</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35,245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15,342</w:t>
            </w:r>
          </w:p>
        </w:tc>
      </w:tr>
      <w:tr>
        <w:trPr>
          <w:trHeight w:val="23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Comprehensive income attributable to redeemable non-controlling</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interests . . . . . . . . . . . . . . . . . . . . . . . . . . . . . . . .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20,358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3,700</w:t>
            </w: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Comprehensive income attributable to non-redeemable non-controlling</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interests . . . . . . . . . . . . . . . . . . . . . . . . . . . . . . . .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443</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Dividends on redeemable preferred non-controlling interests . .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10,470</w:t>
            </w: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.ComprehensiveincomeattributabletoClassAcommonstockholders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4,088</w:t>
            </w:r>
          </w:p>
        </w:tc>
        <w:tc>
          <w:tcPr>
            <w:tcW w:w="12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360"/>
          </w:cols>
          <w:pgMar w:left="1440" w:top="941" w:right="1440" w:bottom="348"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F-7</w:t>
            </w:r>
          </w:p>
        </w:tc>
      </w:tr>
    </w:tbl>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REDEEMABLE NON-CONTROLLING INTEREST, REDEEMABLE PREFERRED</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NON-CONTROLLING INTEREST AND STOCKHOLDERS’ DEFICIT</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00" w:type="dxa"/>
            <w:vAlign w:val="bottom"/>
          </w:tcPr>
          <w:p>
            <w:pPr>
              <w:spacing w:after="0"/>
              <w:rPr>
                <w:sz w:val="13"/>
                <w:szCs w:val="13"/>
                <w:color w:val="auto"/>
              </w:rPr>
            </w:pPr>
          </w:p>
        </w:tc>
        <w:tc>
          <w:tcPr>
            <w:tcW w:w="138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860" w:type="dxa"/>
            <w:vAlign w:val="bottom"/>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left="412"/>
              <w:spacing w:after="0"/>
              <w:rPr>
                <w:sz w:val="20"/>
                <w:szCs w:val="20"/>
                <w:color w:val="auto"/>
              </w:rPr>
            </w:pPr>
            <w:r>
              <w:rPr>
                <w:rFonts w:ascii="Times New Roman" w:cs="Times New Roman" w:eastAsia="Times New Roman" w:hAnsi="Times New Roman"/>
                <w:sz w:val="12"/>
                <w:szCs w:val="12"/>
                <w:b w:val="1"/>
                <w:bCs w:val="1"/>
                <w:color w:val="auto"/>
                <w:w w:val="97"/>
              </w:rPr>
              <w:t>Class 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Class A Common stock in</w:t>
            </w: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2000" w:type="dxa"/>
            <w:vAlign w:val="bottom"/>
          </w:tcPr>
          <w:p>
            <w:pPr>
              <w:spacing w:after="0"/>
              <w:rPr>
                <w:sz w:val="12"/>
                <w:szCs w:val="12"/>
                <w:color w:val="auto"/>
              </w:rPr>
            </w:pPr>
          </w:p>
        </w:tc>
        <w:tc>
          <w:tcPr>
            <w:tcW w:w="1380" w:type="dxa"/>
            <w:vAlign w:val="bottom"/>
            <w:gridSpan w:val="5"/>
          </w:tcPr>
          <w:p>
            <w:pPr>
              <w:jc w:val="right"/>
              <w:ind w:right="340"/>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20" w:type="dxa"/>
            <w:vAlign w:val="bottom"/>
            <w:gridSpan w:val="5"/>
          </w:tcPr>
          <w:p>
            <w:pPr>
              <w:ind w:left="260"/>
              <w:spacing w:after="0" w:line="137"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4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2"/>
                <w:szCs w:val="12"/>
                <w:b w:val="1"/>
                <w:bCs w:val="1"/>
                <w:color w:val="auto"/>
                <w:w w:val="98"/>
              </w:rPr>
              <w:t>Common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ind w:left="260"/>
              <w:spacing w:after="0" w:line="137" w:lineRule="exact"/>
              <w:rPr>
                <w:sz w:val="20"/>
                <w:szCs w:val="20"/>
                <w:color w:val="auto"/>
              </w:rPr>
            </w:pPr>
            <w:r>
              <w:rPr>
                <w:rFonts w:ascii="Times New Roman" w:cs="Times New Roman" w:eastAsia="Times New Roman" w:hAnsi="Times New Roman"/>
                <w:sz w:val="12"/>
                <w:szCs w:val="12"/>
                <w:b w:val="1"/>
                <w:bCs w:val="1"/>
                <w:color w:val="auto"/>
              </w:rPr>
              <w:t>Mezzanine Equity</w:t>
            </w:r>
          </w:p>
        </w:tc>
      </w:tr>
      <w:tr>
        <w:trPr>
          <w:trHeight w:val="137"/>
        </w:trPr>
        <w:tc>
          <w:tcPr>
            <w:tcW w:w="20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b w:val="1"/>
                <w:bCs w:val="1"/>
                <w:color w:val="auto"/>
              </w:rPr>
              <w:t>Non-</w:t>
            </w: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0"/>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redeemable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r>
      <w:tr>
        <w:trPr>
          <w:trHeight w:val="140"/>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non-</w:t>
            </w:r>
          </w:p>
        </w:tc>
      </w:tr>
      <w:tr>
        <w:trPr>
          <w:trHeight w:val="140"/>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r>
      <w:tr>
        <w:trPr>
          <w:trHeight w:val="147"/>
        </w:trPr>
        <w:tc>
          <w:tcPr>
            <w:tcW w:w="200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20" w:type="dxa"/>
            <w:vAlign w:val="bottom"/>
            <w:gridSpan w:val="2"/>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2"/>
                <w:szCs w:val="12"/>
                <w:color w:val="auto"/>
              </w:rPr>
            </w:pPr>
          </w:p>
        </w:tc>
        <w:tc>
          <w:tcPr>
            <w:tcW w:w="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(loss) income</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 Deficit</w:t>
            </w: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40" w:type="dxa"/>
            <w:vAlign w:val="bottom"/>
          </w:tcPr>
          <w:p>
            <w:pPr>
              <w:spacing w:after="0"/>
              <w:rPr>
                <w:sz w:val="12"/>
                <w:szCs w:val="12"/>
                <w:color w:val="auto"/>
              </w:rPr>
            </w:pPr>
          </w:p>
        </w:tc>
      </w:tr>
      <w:tr>
        <w:trPr>
          <w:trHeight w:val="155"/>
        </w:trPr>
        <w:tc>
          <w:tcPr>
            <w:tcW w:w="20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4"/>
                <w:szCs w:val="14"/>
                <w:color w:val="auto"/>
              </w:rPr>
              <w:t>. . . . . . . . . .</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29,701,146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3"/>
                <w:szCs w:val="13"/>
                <w:color w:val="auto"/>
              </w:rPr>
            </w:pPr>
          </w:p>
        </w:tc>
        <w:tc>
          <w:tcPr>
            <w:tcW w:w="720" w:type="dxa"/>
            <w:vAlign w:val="bottom"/>
          </w:tcPr>
          <w:p>
            <w:pPr>
              <w:ind w:left="600"/>
              <w:spacing w:after="0" w:line="155"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320"/>
              <w:spacing w:after="0" w:line="155"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144,399,037</w:t>
            </w:r>
          </w:p>
        </w:tc>
        <w:tc>
          <w:tcPr>
            <w:tcW w:w="120" w:type="dxa"/>
            <w:vAlign w:val="bottom"/>
          </w:tcPr>
          <w:p>
            <w:pPr>
              <w:spacing w:after="0"/>
              <w:rPr>
                <w:sz w:val="13"/>
                <w:szCs w:val="13"/>
                <w:color w:val="auto"/>
              </w:rPr>
            </w:pPr>
          </w:p>
        </w:tc>
        <w:tc>
          <w:tcPr>
            <w:tcW w:w="46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color w:val="auto"/>
                <w:w w:val="71"/>
              </w:rPr>
              <w:t>14</w:t>
            </w:r>
          </w:p>
        </w:tc>
        <w:tc>
          <w:tcPr>
            <w:tcW w:w="120" w:type="dxa"/>
            <w:vAlign w:val="bottom"/>
          </w:tcPr>
          <w:p>
            <w:pPr>
              <w:spacing w:after="0"/>
              <w:rPr>
                <w:sz w:val="13"/>
                <w:szCs w:val="13"/>
                <w:color w:val="auto"/>
              </w:rPr>
            </w:pPr>
          </w:p>
        </w:tc>
        <w:tc>
          <w:tcPr>
            <w:tcW w:w="600" w:type="dxa"/>
            <w:vAlign w:val="bottom"/>
          </w:tcPr>
          <w:p>
            <w:pPr>
              <w:ind w:left="480"/>
              <w:spacing w:after="0" w:line="155"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(467,195)</w:t>
            </w:r>
          </w:p>
        </w:tc>
        <w:tc>
          <w:tcPr>
            <w:tcW w:w="1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640" w:type="dxa"/>
            <w:vAlign w:val="bottom"/>
          </w:tcPr>
          <w:p>
            <w:pPr>
              <w:jc w:val="center"/>
              <w:ind w:left="373"/>
              <w:spacing w:after="0" w:line="155" w:lineRule="exact"/>
              <w:rPr>
                <w:sz w:val="20"/>
                <w:szCs w:val="20"/>
                <w:color w:val="auto"/>
              </w:rPr>
            </w:pPr>
            <w:r>
              <w:rPr>
                <w:rFonts w:ascii="Times New Roman" w:cs="Times New Roman" w:eastAsia="Times New Roman" w:hAnsi="Times New Roman"/>
                <w:sz w:val="14"/>
                <w:szCs w:val="14"/>
                <w:color w:val="auto"/>
                <w:w w:val="95"/>
              </w:rPr>
              <w:t>955</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(1,635,783)</w:t>
            </w:r>
          </w:p>
        </w:tc>
        <w:tc>
          <w:tcPr>
            <w:tcW w:w="1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(11,614)</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(477,852)</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132,617</w:t>
            </w: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802,720</w:t>
            </w:r>
          </w:p>
        </w:tc>
        <w:tc>
          <w:tcPr>
            <w:tcW w:w="40" w:type="dxa"/>
            <w:vAlign w:val="bottom"/>
          </w:tcPr>
          <w:p>
            <w:pPr>
              <w:spacing w:after="0"/>
              <w:rPr>
                <w:sz w:val="13"/>
                <w:szCs w:val="13"/>
                <w:color w:val="auto"/>
              </w:rPr>
            </w:pPr>
          </w:p>
        </w:tc>
      </w:tr>
      <w:tr>
        <w:trPr>
          <w:trHeight w:val="170"/>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Net income . . . . . . . . . . . . . . . . .</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2,284</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2,727</w:t>
            </w:r>
          </w:p>
        </w:tc>
        <w:tc>
          <w:tcPr>
            <w:tcW w:w="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11,598</w:t>
            </w: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 . .</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40" w:type="dxa"/>
            <w:vAlign w:val="bottom"/>
          </w:tcPr>
          <w:p>
            <w:pPr>
              <w:spacing w:after="0"/>
              <w:rPr>
                <w:sz w:val="15"/>
                <w:szCs w:val="15"/>
                <w:color w:val="auto"/>
              </w:rPr>
            </w:pP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under the At-the-</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 “ATM” program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36,353</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170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for vesting of</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awards net of tax</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withholdings of $116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327,761</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(627)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(627)</w:t>
            </w: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Share conversion . . . . . . .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71,500,000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71"/>
              </w:rPr>
              <w:t>7</w:t>
            </w: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(71,500,000)</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8"/>
              </w:rPr>
              <w:t>1,061</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40" w:type="dxa"/>
            <w:vAlign w:val="bottom"/>
          </w:tcPr>
          <w:p>
            <w:pPr>
              <w:spacing w:after="0"/>
              <w:rPr>
                <w:sz w:val="15"/>
                <w:szCs w:val="15"/>
                <w:color w:val="auto"/>
              </w:rPr>
            </w:pP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non-redeemable</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non-controlling interests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85"/>
              </w:rPr>
              <w:t>77</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253"/>
              <w:spacing w:after="0"/>
              <w:rPr>
                <w:sz w:val="20"/>
                <w:szCs w:val="20"/>
                <w:color w:val="auto"/>
              </w:rPr>
            </w:pPr>
            <w:r>
              <w:rPr>
                <w:rFonts w:ascii="Times New Roman" w:cs="Times New Roman" w:eastAsia="Times New Roman" w:hAnsi="Times New Roman"/>
                <w:sz w:val="14"/>
                <w:szCs w:val="14"/>
                <w:color w:val="auto"/>
                <w:w w:val="98"/>
              </w:rPr>
              <w:t>(780)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(703)</w:t>
            </w: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Dividends on redeemable</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non-controlling</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(1,722)</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10,470</w:t>
            </w:r>
          </w:p>
        </w:tc>
        <w:tc>
          <w:tcPr>
            <w:tcW w:w="1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(8,748)</w:t>
            </w: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Change in redemption value of</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redeemable non-controlling</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1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(681)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328,948</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(328,948)</w:t>
            </w:r>
          </w:p>
        </w:tc>
      </w:tr>
      <w:tr>
        <w:trPr>
          <w:trHeight w:val="187"/>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Payment of preferred dividend . .</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center"/>
              <w:ind w:left="452"/>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(13,087)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200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December 31, 2024 </w:t>
            </w:r>
            <w:r>
              <w:rPr>
                <w:rFonts w:ascii="Times New Roman" w:cs="Times New Roman" w:eastAsia="Times New Roman" w:hAnsi="Times New Roman"/>
                <w:sz w:val="14"/>
                <w:szCs w:val="14"/>
                <w:color w:val="auto"/>
              </w:rPr>
              <w:t>. . . . . . . . . .</w:t>
            </w:r>
          </w:p>
        </w:tc>
        <w:tc>
          <w:tcPr>
            <w:tcW w:w="700" w:type="dxa"/>
            <w:vAlign w:val="bottom"/>
            <w:tcBorders>
              <w:top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30,065,260</w:t>
            </w:r>
          </w:p>
        </w:tc>
        <w:tc>
          <w:tcPr>
            <w:tcW w:w="100" w:type="dxa"/>
            <w:vAlign w:val="bottom"/>
          </w:tcPr>
          <w:p>
            <w:pPr>
              <w:spacing w:after="0"/>
              <w:rPr>
                <w:sz w:val="14"/>
                <w:szCs w:val="14"/>
                <w:color w:val="auto"/>
              </w:rPr>
            </w:pPr>
          </w:p>
        </w:tc>
        <w:tc>
          <w:tcPr>
            <w:tcW w:w="4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720" w:type="dxa"/>
            <w:vAlign w:val="bottom"/>
            <w:tcBorders>
              <w:top w:val="single" w:sz="8" w:color="auto"/>
            </w:tcBorders>
          </w:tcPr>
          <w:p>
            <w:pPr>
              <w:ind w:left="100"/>
              <w:spacing w:after="0" w:line="156" w:lineRule="exact"/>
              <w:rPr>
                <w:sz w:val="20"/>
                <w:szCs w:val="20"/>
                <w:color w:val="auto"/>
              </w:rPr>
            </w:pPr>
            <w:r>
              <w:rPr>
                <w:rFonts w:ascii="Times New Roman" w:cs="Times New Roman" w:eastAsia="Times New Roman" w:hAnsi="Times New Roman"/>
                <w:sz w:val="14"/>
                <w:szCs w:val="14"/>
                <w:color w:val="auto"/>
                <w:w w:val="95"/>
              </w:rPr>
              <w:t>71,500,000</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1"/>
                <w:szCs w:val="11"/>
                <w:color w:val="auto"/>
                <w:w w:val="71"/>
              </w:rPr>
              <w:t>7</w:t>
            </w:r>
          </w:p>
        </w:tc>
        <w:tc>
          <w:tcPr>
            <w:tcW w:w="120" w:type="dxa"/>
            <w:vAlign w:val="bottom"/>
          </w:tcPr>
          <w:p>
            <w:pPr>
              <w:spacing w:after="0"/>
              <w:rPr>
                <w:sz w:val="14"/>
                <w:szCs w:val="14"/>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72,899,037</w:t>
            </w:r>
          </w:p>
        </w:tc>
        <w:tc>
          <w:tcPr>
            <w:tcW w:w="120" w:type="dxa"/>
            <w:vAlign w:val="bottom"/>
          </w:tcPr>
          <w:p>
            <w:pPr>
              <w:spacing w:after="0"/>
              <w:rPr>
                <w:sz w:val="14"/>
                <w:szCs w:val="14"/>
                <w:color w:val="auto"/>
              </w:rPr>
            </w:pPr>
          </w:p>
        </w:tc>
        <w:tc>
          <w:tcPr>
            <w:tcW w:w="4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1"/>
                <w:szCs w:val="11"/>
                <w:color w:val="auto"/>
                <w:w w:val="71"/>
              </w:rPr>
              <w:t>7</w:t>
            </w:r>
          </w:p>
        </w:tc>
        <w:tc>
          <w:tcPr>
            <w:tcW w:w="120" w:type="dxa"/>
            <w:vAlign w:val="bottom"/>
          </w:tcPr>
          <w:p>
            <w:pPr>
              <w:spacing w:after="0"/>
              <w:rPr>
                <w:sz w:val="14"/>
                <w:szCs w:val="14"/>
                <w:color w:val="auto"/>
              </w:rPr>
            </w:pPr>
          </w:p>
        </w:tc>
        <w:tc>
          <w:tcPr>
            <w:tcW w:w="600" w:type="dxa"/>
            <w:vAlign w:val="bottom"/>
            <w:tcBorders>
              <w:top w:val="single" w:sz="8" w:color="auto"/>
            </w:tcBorders>
          </w:tcPr>
          <w:p>
            <w:pPr>
              <w:ind w:left="48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(137,004)</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4"/>
                <w:szCs w:val="14"/>
                <w:color w:val="auto"/>
              </w:rPr>
            </w:pPr>
          </w:p>
        </w:tc>
        <w:tc>
          <w:tcPr>
            <w:tcW w:w="640" w:type="dxa"/>
            <w:vAlign w:val="bottom"/>
            <w:tcBorders>
              <w:top w:val="single" w:sz="8" w:color="auto"/>
            </w:tcBorders>
          </w:tcPr>
          <w:p>
            <w:pPr>
              <w:jc w:val="center"/>
              <w:ind w:left="373"/>
              <w:spacing w:after="0" w:line="156" w:lineRule="exact"/>
              <w:rPr>
                <w:sz w:val="20"/>
                <w:szCs w:val="20"/>
                <w:color w:val="auto"/>
              </w:rPr>
            </w:pPr>
            <w:r>
              <w:rPr>
                <w:rFonts w:ascii="Times New Roman" w:cs="Times New Roman" w:eastAsia="Times New Roman" w:hAnsi="Times New Roman"/>
                <w:sz w:val="14"/>
                <w:szCs w:val="14"/>
                <w:color w:val="auto"/>
                <w:w w:val="95"/>
              </w:rPr>
              <w:t>618</w:t>
            </w:r>
          </w:p>
        </w:tc>
        <w:tc>
          <w:tcPr>
            <w:tcW w:w="140" w:type="dxa"/>
            <w:vAlign w:val="bottom"/>
          </w:tcPr>
          <w:p>
            <w:pPr>
              <w:spacing w:after="0"/>
              <w:rPr>
                <w:sz w:val="14"/>
                <w:szCs w:val="14"/>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97"/>
              </w:rPr>
              <w:t>(1,635,783)</w:t>
            </w:r>
          </w:p>
        </w:tc>
        <w:tc>
          <w:tcPr>
            <w:tcW w:w="120" w:type="dxa"/>
            <w:vAlign w:val="bottom"/>
          </w:tcPr>
          <w:p>
            <w:pPr>
              <w:spacing w:after="0"/>
              <w:rPr>
                <w:sz w:val="14"/>
                <w:szCs w:val="14"/>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(11,614)</w:t>
            </w:r>
          </w:p>
        </w:tc>
        <w:tc>
          <w:tcPr>
            <w:tcW w:w="120" w:type="dxa"/>
            <w:vAlign w:val="bottom"/>
          </w:tcPr>
          <w:p>
            <w:pPr>
              <w:spacing w:after="0"/>
              <w:rPr>
                <w:sz w:val="14"/>
                <w:szCs w:val="14"/>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(147,831)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130,000</w:t>
            </w:r>
          </w:p>
        </w:tc>
        <w:tc>
          <w:tcPr>
            <w:tcW w:w="120" w:type="dxa"/>
            <w:vAlign w:val="bottom"/>
          </w:tcPr>
          <w:p>
            <w:pPr>
              <w:spacing w:after="0"/>
              <w:rPr>
                <w:sz w:val="14"/>
                <w:szCs w:val="14"/>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482,863</w:t>
            </w:r>
          </w:p>
        </w:tc>
        <w:tc>
          <w:tcPr>
            <w:tcW w:w="40" w:type="dxa"/>
            <w:vAlign w:val="bottom"/>
          </w:tcPr>
          <w:p>
            <w:pPr>
              <w:spacing w:after="0"/>
              <w:rPr>
                <w:sz w:val="14"/>
                <w:szCs w:val="14"/>
                <w:color w:val="auto"/>
              </w:rPr>
            </w:pPr>
          </w:p>
        </w:tc>
      </w:tr>
      <w:tr>
        <w:trPr>
          <w:trHeight w:val="20"/>
        </w:trPr>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5840" w:h="12240" w:orient="landscape"/>
          <w:cols w:equalWidth="0" w:num="2">
            <w:col w:w="230" w:space="298"/>
            <w:col w:w="13340"/>
          </w:cols>
          <w:pgMar w:left="912" w:top="1394" w:right="1060"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F-8</w:t>
            </w:r>
          </w:p>
        </w:tc>
      </w:tr>
    </w:tbl>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REDEEMABLE NON-CONTROLLING INTEREST, REDEEMABLE PREFERRED</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NON-CONTROLLING INTEREST AND STOCKHOLDERS’ DEFICIT — (Continued)</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Class A Common stock in</w:t>
            </w: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00" w:type="dxa"/>
            <w:vAlign w:val="bottom"/>
          </w:tcPr>
          <w:p>
            <w:pPr>
              <w:spacing w:after="0"/>
              <w:rPr>
                <w:sz w:val="12"/>
                <w:szCs w:val="12"/>
                <w:color w:val="auto"/>
              </w:rPr>
            </w:pPr>
          </w:p>
        </w:tc>
        <w:tc>
          <w:tcPr>
            <w:tcW w:w="1380" w:type="dxa"/>
            <w:vAlign w:val="bottom"/>
            <w:gridSpan w:val="5"/>
          </w:tcPr>
          <w:p>
            <w:pPr>
              <w:jc w:val="right"/>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Class A Common Stock</w:t>
            </w:r>
          </w:p>
        </w:tc>
        <w:tc>
          <w:tcPr>
            <w:tcW w:w="1420" w:type="dxa"/>
            <w:vAlign w:val="bottom"/>
            <w:gridSpan w:val="4"/>
          </w:tcPr>
          <w:p>
            <w:pPr>
              <w:ind w:left="60"/>
              <w:spacing w:after="0" w:line="137" w:lineRule="exact"/>
              <w:rPr>
                <w:sz w:val="20"/>
                <w:szCs w:val="20"/>
                <w:color w:val="auto"/>
              </w:rPr>
            </w:pPr>
            <w:r>
              <w:rPr>
                <w:rFonts w:ascii="Times New Roman" w:cs="Times New Roman" w:eastAsia="Times New Roman" w:hAnsi="Times New Roman"/>
                <w:sz w:val="12"/>
                <w:szCs w:val="12"/>
                <w:b w:val="1"/>
                <w:bCs w:val="1"/>
                <w:color w:val="auto"/>
              </w:rPr>
              <w:t>Class B Common Stock</w:t>
            </w:r>
          </w:p>
        </w:tc>
        <w:tc>
          <w:tcPr>
            <w:tcW w:w="1440" w:type="dxa"/>
            <w:vAlign w:val="bottom"/>
            <w:gridSpan w:val="4"/>
          </w:tcPr>
          <w:p>
            <w:pPr>
              <w:ind w:left="60"/>
              <w:spacing w:after="0" w:line="137" w:lineRule="exact"/>
              <w:rPr>
                <w:sz w:val="20"/>
                <w:szCs w:val="20"/>
                <w:color w:val="auto"/>
              </w:rPr>
            </w:pPr>
            <w:r>
              <w:rPr>
                <w:rFonts w:ascii="Times New Roman" w:cs="Times New Roman" w:eastAsia="Times New Roman" w:hAnsi="Times New Roman"/>
                <w:sz w:val="12"/>
                <w:szCs w:val="12"/>
                <w:b w:val="1"/>
                <w:bCs w:val="1"/>
                <w:color w:val="auto"/>
              </w:rPr>
              <w:t>Class D Common Stock</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ind w:left="260"/>
              <w:spacing w:after="0" w:line="137" w:lineRule="exact"/>
              <w:rPr>
                <w:sz w:val="20"/>
                <w:szCs w:val="20"/>
                <w:color w:val="auto"/>
              </w:rPr>
            </w:pPr>
            <w:r>
              <w:rPr>
                <w:rFonts w:ascii="Times New Roman" w:cs="Times New Roman" w:eastAsia="Times New Roman" w:hAnsi="Times New Roman"/>
                <w:sz w:val="12"/>
                <w:szCs w:val="12"/>
                <w:b w:val="1"/>
                <w:bCs w:val="1"/>
                <w:color w:val="auto"/>
              </w:rPr>
              <w:t>Mezzanine Equity</w:t>
            </w: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b w:val="1"/>
                <w:bCs w:val="1"/>
                <w:color w:val="auto"/>
              </w:rPr>
              <w:t>Non-</w:t>
            </w: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redeemable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0" w:type="dxa"/>
            <w:vAlign w:val="bottom"/>
          </w:tcPr>
          <w:p>
            <w:pPr>
              <w:spacing w:after="0"/>
              <w:rPr>
                <w:sz w:val="1"/>
                <w:szCs w:val="1"/>
                <w:color w:val="auto"/>
              </w:rPr>
            </w:pPr>
          </w:p>
        </w:tc>
      </w:tr>
      <w:tr>
        <w:trPr>
          <w:trHeight w:val="140"/>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other</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0" w:type="dxa"/>
            <w:vAlign w:val="bottom"/>
          </w:tcPr>
          <w:p>
            <w:pPr>
              <w:spacing w:after="0"/>
              <w:rPr>
                <w:sz w:val="1"/>
                <w:szCs w:val="1"/>
                <w:color w:val="auto"/>
              </w:rPr>
            </w:pPr>
          </w:p>
        </w:tc>
      </w:tr>
      <w:tr>
        <w:trPr>
          <w:trHeight w:val="140"/>
        </w:trPr>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controlling</w:t>
            </w: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80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(loss) income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Total Deficit</w:t>
            </w:r>
          </w:p>
        </w:tc>
        <w:tc>
          <w:tcPr>
            <w:tcW w:w="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0" w:type="dxa"/>
            <w:vAlign w:val="bottom"/>
          </w:tcPr>
          <w:p>
            <w:pPr>
              <w:spacing w:after="0"/>
              <w:rPr>
                <w:sz w:val="1"/>
                <w:szCs w:val="1"/>
                <w:color w:val="auto"/>
              </w:rPr>
            </w:pPr>
          </w:p>
        </w:tc>
      </w:tr>
      <w:tr>
        <w:trPr>
          <w:trHeight w:val="156"/>
        </w:trPr>
        <w:tc>
          <w:tcPr>
            <w:tcW w:w="2000" w:type="dxa"/>
            <w:vAlign w:val="bottom"/>
          </w:tcPr>
          <w:p>
            <w:pPr>
              <w:jc w:val="right"/>
              <w:ind w:right="70"/>
              <w:spacing w:after="0" w:line="150" w:lineRule="exact"/>
              <w:rPr>
                <w:sz w:val="20"/>
                <w:szCs w:val="20"/>
                <w:color w:val="auto"/>
              </w:rPr>
            </w:pPr>
            <w:r>
              <w:rPr>
                <w:rFonts w:ascii="Times New Roman" w:cs="Times New Roman" w:eastAsia="Times New Roman" w:hAnsi="Times New Roman"/>
                <w:sz w:val="14"/>
                <w:szCs w:val="14"/>
                <w:color w:val="auto"/>
              </w:rPr>
              <w:t>. . . . . . . . . . . . . . . . .Netincome</w:t>
            </w: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ind w:left="34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720" w:type="dxa"/>
            <w:vAlign w:val="bottom"/>
            <w:tcBorders>
              <w:top w:val="single" w:sz="8" w:color="auto"/>
            </w:tcBorders>
          </w:tcPr>
          <w:p>
            <w:pPr>
              <w:ind w:left="60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460" w:type="dxa"/>
            <w:vAlign w:val="bottom"/>
            <w:tcBorders>
              <w:top w:val="single" w:sz="8" w:color="auto"/>
            </w:tcBorders>
          </w:tcPr>
          <w:p>
            <w:pPr>
              <w:ind w:left="34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740" w:type="dxa"/>
            <w:vAlign w:val="bottom"/>
            <w:tcBorders>
              <w:top w:val="single" w:sz="8" w:color="auto"/>
            </w:tcBorders>
          </w:tcPr>
          <w:p>
            <w:pPr>
              <w:ind w:left="62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460" w:type="dxa"/>
            <w:vAlign w:val="bottom"/>
            <w:tcBorders>
              <w:top w:val="single" w:sz="8" w:color="auto"/>
            </w:tcBorders>
          </w:tcPr>
          <w:p>
            <w:pPr>
              <w:ind w:left="34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600" w:type="dxa"/>
            <w:vAlign w:val="bottom"/>
            <w:tcBorders>
              <w:top w:val="single" w:sz="8" w:color="auto"/>
            </w:tcBorders>
          </w:tcPr>
          <w:p>
            <w:pPr>
              <w:ind w:left="48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6,034</w:t>
            </w:r>
          </w:p>
        </w:tc>
        <w:tc>
          <w:tcPr>
            <w:tcW w:w="120" w:type="dxa"/>
            <w:vAlign w:val="bottom"/>
          </w:tcPr>
          <w:p>
            <w:pPr>
              <w:spacing w:after="0"/>
              <w:rPr>
                <w:sz w:val="13"/>
                <w:szCs w:val="13"/>
                <w:color w:val="auto"/>
              </w:rPr>
            </w:pPr>
          </w:p>
        </w:tc>
        <w:tc>
          <w:tcPr>
            <w:tcW w:w="800" w:type="dxa"/>
            <w:vAlign w:val="bottom"/>
            <w:tcBorders>
              <w:top w:val="single" w:sz="8" w:color="auto"/>
            </w:tcBorders>
          </w:tcPr>
          <w:p>
            <w:pPr>
              <w:ind w:left="68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330</w:t>
            </w: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6,364</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30,047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8"/>
              </w:rPr>
              <w:t>Other comprehensive loss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(178)</w:t>
            </w:r>
          </w:p>
        </w:tc>
        <w:tc>
          <w:tcPr>
            <w:tcW w:w="78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(178)</w:t>
            </w:r>
          </w:p>
        </w:tc>
        <w:tc>
          <w:tcPr>
            <w:tcW w:w="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for vesting of</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awards net of tax</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withholdings of $197 . . . .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550,797</w:t>
            </w:r>
          </w:p>
        </w:tc>
        <w:tc>
          <w:tcPr>
            <w:tcW w:w="100" w:type="dxa"/>
            <w:vAlign w:val="bottom"/>
          </w:tcPr>
          <w:p>
            <w:pPr>
              <w:spacing w:after="0"/>
              <w:rPr>
                <w:sz w:val="13"/>
                <w:szCs w:val="13"/>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(391)</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(391)</w:t>
            </w: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Class A common</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under the ATM</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program . . . . . . . . . . . . . . . . .</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9"/>
              </w:rPr>
              <w:t>Stock-based compensation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88"/>
              </w:rPr>
              <w:t>1,087</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non-redeemable</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non-controlling interests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253"/>
              <w:spacing w:after="0"/>
              <w:rPr>
                <w:sz w:val="20"/>
                <w:szCs w:val="20"/>
                <w:color w:val="auto"/>
              </w:rPr>
            </w:pPr>
            <w:r>
              <w:rPr>
                <w:rFonts w:ascii="Times New Roman" w:cs="Times New Roman" w:eastAsia="Times New Roman" w:hAnsi="Times New Roman"/>
                <w:sz w:val="14"/>
                <w:szCs w:val="14"/>
                <w:color w:val="auto"/>
                <w:w w:val="98"/>
              </w:rPr>
              <w:t>(150)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 from non-</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redeemable non-controlling</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Dividends on redeemable</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non-controlling</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(1,751)</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(1,751)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10,469</w:t>
            </w:r>
          </w:p>
        </w:tc>
        <w:tc>
          <w:tcPr>
            <w:tcW w:w="12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0" w:type="dxa"/>
            <w:vAlign w:val="bottom"/>
          </w:tcPr>
          <w:p>
            <w:pPr>
              <w:spacing w:after="0"/>
              <w:rPr>
                <w:sz w:val="1"/>
                <w:szCs w:val="1"/>
                <w:color w:val="auto"/>
              </w:rPr>
            </w:pPr>
          </w:p>
        </w:tc>
      </w:tr>
      <w:tr>
        <w:trPr>
          <w:trHeight w:val="178"/>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Change in redemption value of</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redeemable non-controlling</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interests . . . . . . . . . . .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(696)</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131,414</w:t>
            </w:r>
          </w:p>
        </w:tc>
        <w:tc>
          <w:tcPr>
            <w:tcW w:w="120" w:type="dxa"/>
            <w:vAlign w:val="bottom"/>
          </w:tcPr>
          <w:p>
            <w:pPr>
              <w:spacing w:after="0"/>
              <w:rPr>
                <w:sz w:val="13"/>
                <w:szCs w:val="13"/>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130,718</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(130,718)</w:t>
            </w:r>
          </w:p>
        </w:tc>
        <w:tc>
          <w:tcPr>
            <w:tcW w:w="0" w:type="dxa"/>
            <w:vAlign w:val="bottom"/>
          </w:tcPr>
          <w:p>
            <w:pPr>
              <w:spacing w:after="0"/>
              <w:rPr>
                <w:sz w:val="1"/>
                <w:szCs w:val="1"/>
                <w:color w:val="auto"/>
              </w:rPr>
            </w:pPr>
          </w:p>
        </w:tc>
      </w:tr>
      <w:tr>
        <w:trPr>
          <w:trHeight w:val="178"/>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7"/>
              </w:rPr>
              <w:t>Share conversion . . . . . . . . . . . . .</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120" w:type="dxa"/>
            <w:vAlign w:val="bottom"/>
          </w:tcPr>
          <w:p>
            <w:pPr>
              <w:spacing w:after="0"/>
              <w:rPr>
                <w:sz w:val="15"/>
                <w:szCs w:val="15"/>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71"/>
              </w:rPr>
              <w:t>5</w:t>
            </w:r>
          </w:p>
        </w:tc>
        <w:tc>
          <w:tcPr>
            <w:tcW w:w="1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(50,000,000)</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(5)</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293"/>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9"/>
              </w:rPr>
              <w:t>Payment of preferred dividend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center"/>
              <w:ind w:left="333"/>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(10,469)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00" w:type="dxa"/>
            <w:vAlign w:val="bottom"/>
          </w:tcPr>
          <w:p>
            <w:pPr>
              <w:jc w:val="right"/>
              <w:ind w:right="70"/>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December 31, 2025 </w:t>
            </w:r>
            <w:r>
              <w:rPr>
                <w:rFonts w:ascii="Times New Roman" w:cs="Times New Roman" w:eastAsia="Times New Roman" w:hAnsi="Times New Roman"/>
                <w:sz w:val="14"/>
                <w:szCs w:val="14"/>
                <w:color w:val="auto"/>
              </w:rPr>
              <w:t>. . . . . . . . . .</w:t>
            </w:r>
          </w:p>
        </w:tc>
        <w:tc>
          <w:tcPr>
            <w:tcW w:w="7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30,633,161</w:t>
            </w:r>
          </w:p>
        </w:tc>
        <w:tc>
          <w:tcPr>
            <w:tcW w:w="100" w:type="dxa"/>
            <w:vAlign w:val="bottom"/>
          </w:tcPr>
          <w:p>
            <w:pPr>
              <w:spacing w:after="0"/>
              <w:rPr>
                <w:sz w:val="14"/>
                <w:szCs w:val="14"/>
                <w:color w:val="auto"/>
              </w:rPr>
            </w:pPr>
          </w:p>
        </w:tc>
        <w:tc>
          <w:tcPr>
            <w:tcW w:w="4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vMerge w:val="continue"/>
          </w:tcPr>
          <w:p>
            <w:pPr>
              <w:spacing w:after="0"/>
              <w:rPr>
                <w:sz w:val="14"/>
                <w:szCs w:val="14"/>
                <w:color w:val="auto"/>
              </w:rPr>
            </w:pP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99"/>
              </w:rPr>
              <w:t>121,500,000</w:t>
            </w:r>
          </w:p>
        </w:tc>
        <w:tc>
          <w:tcPr>
            <w:tcW w:w="120" w:type="dxa"/>
            <w:vAlign w:val="bottom"/>
            <w:vMerge w:val="continue"/>
          </w:tcPr>
          <w:p>
            <w:pPr>
              <w:spacing w:after="0"/>
              <w:rPr>
                <w:sz w:val="14"/>
                <w:szCs w:val="14"/>
                <w:color w:val="auto"/>
              </w:rPr>
            </w:pPr>
          </w:p>
        </w:tc>
        <w:tc>
          <w:tcPr>
            <w:tcW w:w="460" w:type="dxa"/>
            <w:vAlign w:val="bottom"/>
          </w:tcPr>
          <w:p>
            <w:pPr>
              <w:ind w:left="340"/>
              <w:spacing w:after="0" w:line="156" w:lineRule="exact"/>
              <w:rPr>
                <w:sz w:val="20"/>
                <w:szCs w:val="20"/>
                <w:color w:val="auto"/>
              </w:rPr>
            </w:pPr>
            <w:r>
              <w:rPr>
                <w:rFonts w:ascii="Times New Roman" w:cs="Times New Roman" w:eastAsia="Times New Roman" w:hAnsi="Times New Roman"/>
                <w:sz w:val="14"/>
                <w:szCs w:val="14"/>
                <w:color w:val="auto"/>
                <w:w w:val="71"/>
              </w:rPr>
              <w:t>12</w:t>
            </w:r>
          </w:p>
        </w:tc>
        <w:tc>
          <w:tcPr>
            <w:tcW w:w="120" w:type="dxa"/>
            <w:vAlign w:val="bottom"/>
            <w:vMerge w:val="continue"/>
          </w:tcPr>
          <w:p>
            <w:pPr>
              <w:spacing w:after="0"/>
              <w:rPr>
                <w:sz w:val="14"/>
                <w:szCs w:val="14"/>
                <w:color w:val="auto"/>
              </w:rPr>
            </w:pPr>
          </w:p>
        </w:tc>
        <w:tc>
          <w:tcPr>
            <w:tcW w:w="740" w:type="dxa"/>
            <w:vAlign w:val="bottom"/>
          </w:tcPr>
          <w:p>
            <w:pPr>
              <w:ind w:left="120"/>
              <w:spacing w:after="0" w:line="156" w:lineRule="exact"/>
              <w:rPr>
                <w:sz w:val="20"/>
                <w:szCs w:val="20"/>
                <w:color w:val="auto"/>
              </w:rPr>
            </w:pPr>
            <w:r>
              <w:rPr>
                <w:rFonts w:ascii="Times New Roman" w:cs="Times New Roman" w:eastAsia="Times New Roman" w:hAnsi="Times New Roman"/>
                <w:sz w:val="14"/>
                <w:szCs w:val="14"/>
                <w:color w:val="auto"/>
                <w:w w:val="95"/>
              </w:rPr>
              <w:t>22,899,037</w:t>
            </w:r>
          </w:p>
        </w:tc>
        <w:tc>
          <w:tcPr>
            <w:tcW w:w="120" w:type="dxa"/>
            <w:vAlign w:val="bottom"/>
            <w:vMerge w:val="continue"/>
          </w:tcPr>
          <w:p>
            <w:pPr>
              <w:spacing w:after="0"/>
              <w:rPr>
                <w:sz w:val="14"/>
                <w:szCs w:val="14"/>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71"/>
              </w:rPr>
              <w:t>2</w:t>
            </w:r>
          </w:p>
        </w:tc>
        <w:tc>
          <w:tcPr>
            <w:tcW w:w="120" w:type="dxa"/>
            <w:vAlign w:val="bottom"/>
            <w:vMerge w:val="continue"/>
          </w:tcPr>
          <w:p>
            <w:pPr>
              <w:spacing w:after="0"/>
              <w:rPr>
                <w:sz w:val="14"/>
                <w:szCs w:val="14"/>
                <w:color w:val="auto"/>
              </w:rPr>
            </w:pPr>
          </w:p>
        </w:tc>
        <w:tc>
          <w:tcPr>
            <w:tcW w:w="600" w:type="dxa"/>
            <w:vAlign w:val="bottom"/>
          </w:tcPr>
          <w:p>
            <w:pPr>
              <w:ind w:left="480"/>
              <w:spacing w:after="0" w:line="156" w:lineRule="exact"/>
              <w:rPr>
                <w:sz w:val="20"/>
                <w:szCs w:val="20"/>
                <w:color w:val="auto"/>
              </w:rPr>
            </w:pPr>
            <w:r>
              <w:rPr>
                <w:rFonts w:ascii="Times New Roman" w:cs="Times New Roman" w:eastAsia="Times New Roman" w:hAnsi="Times New Roman"/>
                <w:sz w:val="14"/>
                <w:szCs w:val="14"/>
                <w:color w:val="auto"/>
                <w:w w:val="71"/>
              </w:rPr>
              <w:t>—</w:t>
            </w:r>
          </w:p>
        </w:tc>
        <w:tc>
          <w:tcPr>
            <w:tcW w:w="120" w:type="dxa"/>
            <w:vAlign w:val="bottom"/>
            <w:vMerge w:val="continue"/>
          </w:tcPr>
          <w:p>
            <w:pPr>
              <w:spacing w:after="0"/>
              <w:rPr>
                <w:sz w:val="14"/>
                <w:szCs w:val="14"/>
                <w:color w:val="auto"/>
              </w:rPr>
            </w:pP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(1,307)</w:t>
            </w:r>
          </w:p>
        </w:tc>
        <w:tc>
          <w:tcPr>
            <w:tcW w:w="120" w:type="dxa"/>
            <w:vAlign w:val="bottom"/>
            <w:vMerge w:val="continue"/>
          </w:tcPr>
          <w:p>
            <w:pPr>
              <w:spacing w:after="0"/>
              <w:rPr>
                <w:sz w:val="14"/>
                <w:szCs w:val="14"/>
                <w:color w:val="auto"/>
              </w:rPr>
            </w:pPr>
          </w:p>
        </w:tc>
        <w:tc>
          <w:tcPr>
            <w:tcW w:w="9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(26)</w:t>
            </w:r>
          </w:p>
        </w:tc>
        <w:tc>
          <w:tcPr>
            <w:tcW w:w="6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2,789</w:t>
            </w:r>
          </w:p>
        </w:tc>
        <w:tc>
          <w:tcPr>
            <w:tcW w:w="140" w:type="dxa"/>
            <w:vAlign w:val="bottom"/>
            <w:vMerge w:val="continue"/>
          </w:tcPr>
          <w:p>
            <w:pPr>
              <w:spacing w:after="0"/>
              <w:rPr>
                <w:sz w:val="14"/>
                <w:szCs w:val="14"/>
                <w:color w:val="auto"/>
              </w:rPr>
            </w:pPr>
          </w:p>
        </w:tc>
        <w:tc>
          <w:tcPr>
            <w:tcW w:w="6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97"/>
              </w:rPr>
              <w:t>(1,635,783)</w:t>
            </w:r>
          </w:p>
        </w:tc>
        <w:tc>
          <w:tcPr>
            <w:tcW w:w="120" w:type="dxa"/>
            <w:vAlign w:val="bottom"/>
            <w:vMerge w:val="continue"/>
          </w:tcPr>
          <w:p>
            <w:pPr>
              <w:spacing w:after="0"/>
              <w:rPr>
                <w:sz w:val="14"/>
                <w:szCs w:val="14"/>
                <w:color w:val="auto"/>
              </w:rPr>
            </w:pP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(11,614)</w:t>
            </w:r>
          </w:p>
        </w:tc>
        <w:tc>
          <w:tcPr>
            <w:tcW w:w="120" w:type="dxa"/>
            <w:vAlign w:val="bottom"/>
            <w:vMerge w:val="continue"/>
          </w:tcPr>
          <w:p>
            <w:pPr>
              <w:spacing w:after="0"/>
              <w:rPr>
                <w:sz w:val="14"/>
                <w:szCs w:val="14"/>
                <w:color w:val="auto"/>
              </w:rPr>
            </w:pPr>
          </w:p>
        </w:tc>
        <w:tc>
          <w:tcPr>
            <w:tcW w:w="7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(10,141)</w:t>
            </w:r>
          </w:p>
        </w:tc>
        <w:tc>
          <w:tcPr>
            <w:tcW w:w="100" w:type="dxa"/>
            <w:vAlign w:val="bottom"/>
            <w:tcBorders>
              <w:right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130,000</w:t>
            </w:r>
          </w:p>
        </w:tc>
        <w:tc>
          <w:tcPr>
            <w:tcW w:w="120" w:type="dxa"/>
            <w:vAlign w:val="bottom"/>
          </w:tcPr>
          <w:p>
            <w:pPr>
              <w:spacing w:after="0"/>
              <w:rPr>
                <w:sz w:val="14"/>
                <w:szCs w:val="14"/>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377,898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2">
            <w:col w:w="230" w:space="298"/>
            <w:col w:w="13340"/>
          </w:cols>
          <w:pgMar w:left="912" w:top="1394" w:right="106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36,411</w:t>
            </w:r>
          </w:p>
        </w:tc>
        <w:tc>
          <w:tcPr>
            <w:tcW w:w="12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14,325</w:t>
            </w:r>
          </w:p>
        </w:tc>
        <w:tc>
          <w:tcPr>
            <w:tcW w:w="60" w:type="dxa"/>
            <w:vAlign w:val="bottom"/>
          </w:tcPr>
          <w:p>
            <w:pPr>
              <w:spacing w:after="0"/>
              <w:rPr>
                <w:sz w:val="22"/>
                <w:szCs w:val="22"/>
                <w:color w:val="auto"/>
              </w:rPr>
            </w:pP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to net cash provided by operating</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activities: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amortization, and accretion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17,885</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6,452</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Allowance for accounts receivable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Assets’ impairment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Reduction of carrying amount of operating lease right-of-use assets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Income from investments in other entities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(2,627)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(13,235)</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from return on investments in other entities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14,336</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income taxes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(16,456)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deferred financing costs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Gain on dispositions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(3,646)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(321)</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Paid-in-kind interest income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derivative financial instruments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(2,366)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(892)</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Changes in operating assets and liabilities: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(19,815)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(301)</w:t>
            </w: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Parts inventory . . . . . . . . . . . . . . . . . . . . . . . . . . . .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(670)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(103)</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current and long-term assets.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11,261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(18,594)</w:t>
            </w:r>
          </w:p>
        </w:tc>
      </w:tr>
      <w:tr>
        <w:trPr>
          <w:trHeight w:val="29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 . . . .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3,427</w:t>
            </w:r>
          </w:p>
        </w:tc>
        <w:tc>
          <w:tcPr>
            <w:tcW w:w="60" w:type="dxa"/>
            <w:vAlign w:val="bottom"/>
          </w:tcPr>
          <w:p>
            <w:pPr>
              <w:spacing w:after="0"/>
              <w:rPr>
                <w:sz w:val="24"/>
                <w:szCs w:val="24"/>
                <w:color w:val="auto"/>
              </w:rPr>
            </w:pPr>
          </w:p>
        </w:tc>
      </w:tr>
      <w:tr>
        <w:trPr>
          <w:trHeight w:val="224"/>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Accrued expenses and other current and non-current liabilities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(7,095)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4,739</w:t>
            </w:r>
          </w:p>
        </w:tc>
        <w:tc>
          <w:tcPr>
            <w:tcW w:w="60" w:type="dxa"/>
            <w:vAlign w:val="bottom"/>
          </w:tcPr>
          <w:p>
            <w:pPr>
              <w:spacing w:after="0"/>
              <w:rPr>
                <w:sz w:val="19"/>
                <w:szCs w:val="19"/>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cash provided by operating activities . . . . . . . . . . . . . . . . . . . . . . . . . . . . . . .</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36,498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31,385</w:t>
            </w:r>
          </w:p>
        </w:tc>
        <w:tc>
          <w:tcPr>
            <w:tcW w:w="60" w:type="dxa"/>
            <w:vAlign w:val="bottom"/>
          </w:tcPr>
          <w:p>
            <w:pPr>
              <w:spacing w:after="0"/>
              <w:rPr>
                <w:sz w:val="20"/>
                <w:szCs w:val="20"/>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 of property, plant, and equipment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(70,739)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(127,239)</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sale of short-term investments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9,875</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Distributions from return of investments in other entities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11,396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4,305</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related to investments in other entities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(22,354)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(21,570)</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received from (paid for) note receivable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disposal of property, plant and equipment . . . . .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828</w:t>
            </w:r>
          </w:p>
        </w:tc>
        <w:tc>
          <w:tcPr>
            <w:tcW w:w="60" w:type="dxa"/>
            <w:vAlign w:val="bottom"/>
          </w:tcPr>
          <w:p>
            <w:pPr>
              <w:spacing w:after="0"/>
              <w:rPr>
                <w:sz w:val="22"/>
                <w:szCs w:val="22"/>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cash used in investing activities . . . . . . . . . . . . . . . . . . . . . . . . . . . . . . . . . .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(77,320)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(134,551)</w:t>
            </w: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loans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loans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(16,957)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(1,621)</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Financing costs paid to other third parties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(629)</w:t>
            </w: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issuance of shares of Class A common stock under the ATM</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program, net . . . . . . . . . . . . . . . . . . . . . . . . . . . .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170</w:t>
            </w:r>
          </w:p>
        </w:tc>
        <w:tc>
          <w:tcPr>
            <w:tcW w:w="60" w:type="dxa"/>
            <w:vAlign w:val="bottom"/>
          </w:tcPr>
          <w:p>
            <w:pPr>
              <w:spacing w:after="0"/>
              <w:rPr>
                <w:sz w:val="19"/>
                <w:szCs w:val="19"/>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principal portion of finance lease liabilities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(1,214)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Payment of preferred dividends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(10,469)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(13,086)</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Distribution to non-redeemable non-controlling interest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(703)</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income taxes related to net share settlement of equity awards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(627)</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 contribution from non-redeemable non-controlling interests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941" w:right="1440" w:bottom="348" w:gutter="0" w:footer="0" w:header="0"/>
          <w:type w:val="continuous"/>
        </w:sectPr>
      </w:pPr>
    </w:p>
    <w:bookmarkStart w:id="92" w:name="page93"/>
    <w:bookmarkEnd w:id="92"/>
    <w:p>
      <w:pPr>
        <w:jc w:val="center"/>
        <w:ind w:right="-4"/>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 — (Continued)</w:t>
      </w:r>
    </w:p>
    <w:p>
      <w:pPr>
        <w:spacing w:after="0" w:line="10"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6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6"/>
        </w:trPr>
        <w:tc>
          <w:tcPr>
            <w:tcW w:w="6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Net cash provided by financing activities . . . . . . . . . . . . . . . . . . . . . . . . . . . . . . .</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41,560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83,504</w:t>
            </w:r>
          </w:p>
        </w:tc>
        <w:tc>
          <w:tcPr>
            <w:tcW w:w="60" w:type="dxa"/>
            <w:vAlign w:val="bottom"/>
          </w:tcPr>
          <w:p>
            <w:pPr>
              <w:spacing w:after="0"/>
              <w:rPr>
                <w:sz w:val="21"/>
                <w:szCs w:val="21"/>
                <w:color w:val="auto"/>
              </w:rPr>
            </w:pPr>
          </w:p>
        </w:tc>
      </w:tr>
      <w:tr>
        <w:trPr>
          <w:trHeight w:val="240"/>
        </w:trPr>
        <w:tc>
          <w:tcPr>
            <w:tcW w:w="6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Net increase (decrease) in cash, restricted cash, and cash equivalents . . . . . . . .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(19,662)</w:t>
            </w:r>
          </w:p>
        </w:tc>
      </w:tr>
      <w:tr>
        <w:trPr>
          <w:trHeight w:val="239"/>
        </w:trPr>
        <w:tc>
          <w:tcPr>
            <w:tcW w:w="6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Cash, restricted cash, and cash equivalents, beginning of period . . . . . . . . . . . . .</w:t>
            </w: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27,580</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47,242</w:t>
            </w:r>
          </w:p>
        </w:tc>
        <w:tc>
          <w:tcPr>
            <w:tcW w:w="60" w:type="dxa"/>
            <w:vAlign w:val="bottom"/>
          </w:tcPr>
          <w:p>
            <w:pPr>
              <w:spacing w:after="0"/>
              <w:rPr>
                <w:sz w:val="20"/>
                <w:szCs w:val="20"/>
                <w:color w:val="auto"/>
              </w:rPr>
            </w:pPr>
          </w:p>
        </w:tc>
      </w:tr>
      <w:tr>
        <w:trPr>
          <w:trHeight w:val="241"/>
        </w:trPr>
        <w:tc>
          <w:tcPr>
            <w:tcW w:w="6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.Cash,restrictedcash,andcashequivalents,endofperiod</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28,318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27,580</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ind w:left="485" w:hanging="485"/>
        <w:spacing w:after="0"/>
        <w:tabs>
          <w:tab w:leader="none" w:pos="48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decrease from related parties of $1,204 and $4,174 for the years ended December 31, 2025 and 2024, respectively</w:t>
      </w:r>
    </w:p>
    <w:p>
      <w:pPr>
        <w:spacing w:after="0" w:line="16" w:lineRule="exact"/>
        <w:rPr>
          <w:rFonts w:ascii="Times New Roman" w:cs="Times New Roman" w:eastAsia="Times New Roman" w:hAnsi="Times New Roman"/>
          <w:sz w:val="17"/>
          <w:szCs w:val="17"/>
          <w:color w:val="auto"/>
        </w:rPr>
      </w:pPr>
    </w:p>
    <w:p>
      <w:pPr>
        <w:ind w:left="485" w:hanging="485"/>
        <w:spacing w:after="0"/>
        <w:tabs>
          <w:tab w:leader="none" w:pos="4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increase from related parties of $1,019 and $908 for the years ended December 31, 2025 and 2024, respectively</w:t>
      </w:r>
    </w:p>
    <w:p>
      <w:pPr>
        <w:spacing w:after="0" w:line="216"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cash flow information</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Interest paid, net of $2,531 and $3,212 capitalized, respectively . . . . . . . . . . . . .</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27,800</w:t>
            </w:r>
          </w:p>
        </w:tc>
        <w:tc>
          <w:tcPr>
            <w:tcW w:w="5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22,907</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Noncash investing and financing activities:</w:t>
            </w: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arising from obtaining right-of-use assets . . . . . . . . . . . . . . . . .</w:t>
            </w: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1,549</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2,403</w:t>
            </w: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Purchase of property, plant and equipment included in accrued expenses and</w:t>
            </w: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3"/>
        </w:trPr>
        <w:tc>
          <w:tcPr>
            <w:tcW w:w="644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other current liabilities . . . . . . . . . . . . . . . . . . . . . . . . . . . . . . . . . . . . . . . . . . .</w:t>
            </w:r>
          </w:p>
        </w:tc>
        <w:tc>
          <w:tcPr>
            <w:tcW w:w="500" w:type="dxa"/>
            <w:vAlign w:val="bottom"/>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24,629</w:t>
            </w:r>
          </w:p>
        </w:tc>
        <w:tc>
          <w:tcPr>
            <w:tcW w:w="500" w:type="dxa"/>
            <w:vAlign w:val="bottom"/>
          </w:tcPr>
          <w:p>
            <w:pPr>
              <w:jc w:val="right"/>
              <w:ind w:right="2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23,238</w:t>
            </w:r>
          </w:p>
        </w:tc>
      </w:tr>
    </w:tbl>
    <w:p>
      <w:pPr>
        <w:spacing w:after="0" w:line="150"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5"/>
          </w:cols>
          <w:pgMar w:left="1435"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365"/>
          </w:cols>
          <w:pgMar w:left="1435" w:top="942" w:right="1440" w:bottom="353" w:gutter="0" w:footer="0" w:header="0"/>
          <w:type w:val="continuous"/>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OPAL Fuels Inc. (including its subsidiaries, the “Company”, “OPAL,” “we,” “us” or “our”) is a renewable energy company specializing in the capture and conversion of biogas for the (i) production of Renewable Natural Gas (“RNG”) for use as a vehicle fuel for heavy and medium-duty trucking fleets, (ii) generation of electricity from renewable sources (“Renewable Power”) for sale to utilities, (iii) generation and sale of Environmental Attributes associated with RNG and Renewable Power, and (iv) sales of RNG as pipeline quality natural gas. The term “Environmental Attributes” refers to federal, state and local government incentives in the United States, provided in the form of Renewable Identification Numbers “RINs”, Renewable Energy Credits “RECs”, Low Carbon Fuel Standard credits “LCFS”, rebates, tax credits and other incentives to end users, distributors, system integrators and manufacturers of renewable energy projects.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are pursuing opportunities to diversify our sources of biogas to other waste streams.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three operating segments: RNG Fuel, Fuel Station Services and Renewable Power.</w:t>
      </w:r>
    </w:p>
    <w:p>
      <w:pPr>
        <w:spacing w:after="0" w:line="177"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All amounts in these footnotes are presented in thousands of dollars except share and per share data and commodity quantities.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 and Principles of Consolidation</w:t>
      </w:r>
    </w:p>
    <w:p>
      <w:pPr>
        <w:spacing w:after="0" w:line="177" w:lineRule="exact"/>
        <w:rPr>
          <w:sz w:val="20"/>
          <w:szCs w:val="20"/>
          <w:color w:val="auto"/>
        </w:rPr>
      </w:pPr>
    </w:p>
    <w:p>
      <w:pPr>
        <w:jc w:val="both"/>
        <w:ind w:right="20" w:firstLine="480"/>
        <w:spacing w:after="0" w:line="266" w:lineRule="auto"/>
        <w:rPr>
          <w:sz w:val="20"/>
          <w:szCs w:val="20"/>
          <w:color w:val="auto"/>
        </w:rPr>
      </w:pPr>
      <w:r>
        <w:rPr>
          <w:rFonts w:ascii="Times New Roman" w:cs="Times New Roman" w:eastAsia="Times New Roman" w:hAnsi="Times New Roman"/>
          <w:sz w:val="19"/>
          <w:szCs w:val="19"/>
          <w:color w:val="auto"/>
        </w:rPr>
        <w:t>These consolidated financial statements are prepared in accordance with generally accepted accounting principles in the United States (“U.S. GAAP”). The Company’s audited consolidated financial statements include the assets and liabilities of these subsidiaries. All intercompany transactions and balances have been eliminated in consolidation.</w:t>
      </w:r>
    </w:p>
    <w:p>
      <w:pPr>
        <w:spacing w:after="0" w:line="154"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The Company consolidates all entities in which it holds a majority voting interest, as well as variable interest entities (“VIEs”) for which it is determined to be the primary beneficiary. Our variable interests in each of our VIEs arise primarily from our ownership of membership interests, construction commitments, our provision of operating and maintenance services, and our provision of environmental credit processing services to VIEs. The Company reassesses its primary beneficiary status on an ongoing basis.</w:t>
      </w:r>
    </w:p>
    <w:p>
      <w:pPr>
        <w:spacing w:after="0" w:line="172"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Noncontrolling interests related to the Company’s VIEs are presented separately from stockholders’ deficit on the consolidated balance sheets and are reported as non-redeemable non-controlling interests within the consolidated statements of changes in redeemable non-controlling interest, redeemable preferred non-controlling interest and stockholders’ deficit.</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Certain amounts in the prior-period financial statements have been reclassified to conform to the current-period presentation. These reclassifications had no impact on previously reported total assets, total liabilities, stockholders’ deficit, net income, or consolidated statements of cash flows.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77"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69" w:lineRule="exact"/>
        <w:rPr>
          <w:sz w:val="20"/>
          <w:szCs w:val="20"/>
          <w:color w:val="auto"/>
        </w:rPr>
      </w:pPr>
    </w:p>
    <w:p>
      <w:pPr>
        <w:jc w:val="both"/>
        <w:ind w:right="20" w:firstLine="480"/>
        <w:spacing w:after="0" w:line="248" w:lineRule="auto"/>
        <w:rPr>
          <w:sz w:val="20"/>
          <w:szCs w:val="20"/>
          <w:color w:val="auto"/>
        </w:rPr>
      </w:pPr>
      <w:r>
        <w:rPr>
          <w:rFonts w:ascii="Times New Roman" w:cs="Times New Roman" w:eastAsia="Times New Roman" w:hAnsi="Times New Roman"/>
          <w:sz w:val="20"/>
          <w:szCs w:val="20"/>
          <w:color w:val="auto"/>
        </w:rPr>
        <w:t>The significant estimates and assumptions of the Company include the residual value of the useful lives of our property, plant and equipment, the fair value of long-lived assets, asset retirement obligations, percentage completion for revenue recognition, incremental borrowing rate for calculating the right-of-use assets and lease liabilities, and the fair value of the reporting units of goodwill.</w:t>
      </w:r>
    </w:p>
    <w:p>
      <w:pPr>
        <w:sectPr>
          <w:pgSz w:w="12240" w:h="15840" w:orient="portrait"/>
          <w:cols w:equalWidth="0" w:num="1">
            <w:col w:w="9380"/>
          </w:cols>
          <w:pgMar w:left="1440" w:top="941" w:right="142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80"/>
          </w:cols>
          <w:pgMar w:left="1440" w:top="941" w:right="1420" w:bottom="353"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Adopted</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August 2023, the FASB issued Accounting Standards Update No. 2023-05, </w:t>
      </w:r>
      <w:r>
        <w:rPr>
          <w:rFonts w:ascii="Times New Roman" w:cs="Times New Roman" w:eastAsia="Times New Roman" w:hAnsi="Times New Roman"/>
          <w:sz w:val="20"/>
          <w:szCs w:val="20"/>
          <w:i w:val="1"/>
          <w:iCs w:val="1"/>
          <w:color w:val="auto"/>
        </w:rPr>
        <w:t>Business Combinations — Joint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Venture Formations </w:t>
      </w:r>
      <w:r>
        <w:rPr>
          <w:rFonts w:ascii="Times New Roman" w:cs="Times New Roman" w:eastAsia="Times New Roman" w:hAnsi="Times New Roman"/>
          <w:sz w:val="20"/>
          <w:szCs w:val="20"/>
          <w:color w:val="auto"/>
        </w:rPr>
        <w:t>(Subtopic 805-60) (“ASU 2023-05”). The update requires all joint ventures formed after January 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upon formation, to apply a new basis of accounting and initially measure its assets and liabilities at fair value. The Company adopted this standard effective January 1, 2025. During the year ended December 31, 2025, the Company formed a joint venture that was excluded from this guidance due to the scope exception applicable to combinations between entities, businesses, or nonprofit activities under common control. The adoption did not have a material effect on the Company’s financial position, results of operations, cash flows or disclosures.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xml:space="preserve"> (Topic 740): Improvement to Income Tax Disclosures. The amendments further enhance income tax disclosures, primarily through standardization and disaggregation of rate reconciliation categories and income taxes paid by jurisdiction. The amendments require disclosure of specific categories in the rate reconciliation and provide additional information for reconciling items that meet a quantitative threshold and further disaggregation of income taxes paid for individually significant jurisdictions. The Company adopted this standard effective January 1, 2025 on a retrospective basis. The adoption did not have a material effect on the Company’s consolidated financial statements other than adding new disclosures, which are included in </w:t>
      </w:r>
      <w:r>
        <w:rPr>
          <w:rFonts w:ascii="Times New Roman" w:cs="Times New Roman" w:eastAsia="Times New Roman" w:hAnsi="Times New Roman"/>
          <w:sz w:val="20"/>
          <w:szCs w:val="20"/>
          <w:i w:val="1"/>
          <w:iCs w:val="1"/>
          <w:color w:val="auto"/>
        </w:rPr>
        <w:t>Note 13. Income Taxes.</w:t>
      </w:r>
    </w:p>
    <w:p>
      <w:pPr>
        <w:spacing w:after="0" w:line="171"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July 2025, the FASB issued ASU 2025-05, </w:t>
      </w:r>
      <w:r>
        <w:rPr>
          <w:rFonts w:ascii="Times New Roman" w:cs="Times New Roman" w:eastAsia="Times New Roman" w:hAnsi="Times New Roman"/>
          <w:sz w:val="20"/>
          <w:szCs w:val="20"/>
          <w:i w:val="1"/>
          <w:iCs w:val="1"/>
          <w:color w:val="auto"/>
        </w:rPr>
        <w:t>Financial Instruments — Credit Losses</w:t>
      </w:r>
      <w:r>
        <w:rPr>
          <w:rFonts w:ascii="Times New Roman" w:cs="Times New Roman" w:eastAsia="Times New Roman" w:hAnsi="Times New Roman"/>
          <w:sz w:val="20"/>
          <w:szCs w:val="20"/>
          <w:color w:val="auto"/>
        </w:rPr>
        <w:t xml:space="preserve"> (Topic 326): Measurement of Credit Losses for Accounts Receivable and Contract Assets. The amendments provide a practical expedient applicable to all entities for estimating expected credit losses on current accounts receivable and current contract assets that arise under ASC Topic 606, </w:t>
      </w:r>
      <w:r>
        <w:rPr>
          <w:rFonts w:ascii="Times New Roman" w:cs="Times New Roman" w:eastAsia="Times New Roman" w:hAnsi="Times New Roman"/>
          <w:sz w:val="20"/>
          <w:szCs w:val="20"/>
          <w:i w:val="1"/>
          <w:iCs w:val="1"/>
          <w:color w:val="auto"/>
        </w:rPr>
        <w:t>Revenue from Contracts with Customers (“ASC 606”)</w:t>
      </w:r>
      <w:r>
        <w:rPr>
          <w:rFonts w:ascii="Times New Roman" w:cs="Times New Roman" w:eastAsia="Times New Roman" w:hAnsi="Times New Roman"/>
          <w:sz w:val="20"/>
          <w:szCs w:val="20"/>
          <w:color w:val="auto"/>
        </w:rPr>
        <w:t>, permitting the assumption that existing conditions at the balance-sheet date will remain unchanged over the remaining life of such assets. The Company adopted this standard effective January 1, 2025. The adoption did not have a material effect on our consolidated financial statements.</w:t>
      </w:r>
    </w:p>
    <w:p>
      <w:pPr>
        <w:spacing w:after="0" w:line="170"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i w:val="1"/>
          <w:iCs w:val="1"/>
          <w:color w:val="auto"/>
        </w:rPr>
        <w:t>Intangibles — Goodwill and Other</w:t>
      </w:r>
      <w:r>
        <w:rPr>
          <w:rFonts w:ascii="Times New Roman" w:cs="Times New Roman" w:eastAsia="Times New Roman" w:hAnsi="Times New Roman"/>
          <w:sz w:val="20"/>
          <w:szCs w:val="20"/>
          <w:color w:val="auto"/>
        </w:rPr>
        <w:t xml:space="preserve"> (Topic 350): Internal-Use Software — Targeted Improvements to the Accounting for Internal-Use Software. The amendments modernize the guidance for capitalizing costs of internally-developed software by removing references to defined development stages and instead focusing on two principal criteria: (1) management has authorized and committed to funding the project, and (2) it is probable that the project will be completed and the software will be used to perform the intended function. This ASU also provides new guidance regarding how to evaluate whether “probable-to-complete” criteria has been met. The ASU is effective for fiscal years beginning after December 15, 2027, including interim periods within those years, with early adoption permitted. The Company adopted this standard effective January 1, 2025 prospectively. The adoption did not have a material effect on the Company’s financial position, results of operations, cash flows or disclosures.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not yet Adopted</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Income — Expense Disaggregation Disclosures </w:t>
      </w:r>
      <w:r>
        <w:rPr>
          <w:rFonts w:ascii="Times New Roman" w:cs="Times New Roman" w:eastAsia="Times New Roman" w:hAnsi="Times New Roman"/>
          <w:sz w:val="20"/>
          <w:szCs w:val="20"/>
          <w:color w:val="auto"/>
        </w:rPr>
        <w:t>(Subtopic 220-40): Disaggregation of Income Statement Expenses,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requires additional, disaggregated disclosure about certain income statement expense line items. The ASU is effective for annual periods beginning after December 15, 2026, and interim periods beginning after December 15, 2027. The amendments are to be applied prospectively with the option for retrospective application. The Company is currently evaluating the impact that this guidance will have on the disclosures within our consolidated financial statements.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2025-10, </w:t>
      </w:r>
      <w:r>
        <w:rPr>
          <w:rFonts w:ascii="Times New Roman" w:cs="Times New Roman" w:eastAsia="Times New Roman" w:hAnsi="Times New Roman"/>
          <w:sz w:val="20"/>
          <w:szCs w:val="20"/>
          <w:i w:val="1"/>
          <w:iCs w:val="1"/>
          <w:color w:val="auto"/>
        </w:rPr>
        <w:t>Accounting for Government Grants Received by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Entities </w:t>
      </w:r>
      <w:r>
        <w:rPr>
          <w:rFonts w:ascii="Times New Roman" w:cs="Times New Roman" w:eastAsia="Times New Roman" w:hAnsi="Times New Roman"/>
          <w:sz w:val="20"/>
          <w:szCs w:val="20"/>
          <w:color w:val="auto"/>
        </w:rPr>
        <w:t>(Topic 832). This ASU establishes a unified accounting model for business entities when recognizing,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measuring, and presenting government grants. The ASU categorizes grants as either related to an asset or related to income. A grant related to income is recognized in earnings in a systematic and rational manner over the periods in which the entity recognizes the related expenses for which the grant is intended to compensate. Presentation of</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942" w:right="1440" w:bottom="353"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grant on the income statement can be either as a component of other income or as a deduction from the related expenses. The standard is effective for annual periods beginning after December 15, 2028 and interim periods within those annual periods. However, the ASU permits early adoption. The Company is considering early adopting the provisions of ASU 2025-10 and is still assessing the impact on its financial statements, including the presentation of its Section 45Z production tax credits.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Additionally, the JOBS Act has allowed us the option to delay adoption of new or revised financial accounting standards until private companies are required to comply with new or revised financial accounting standards.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considers bank money market accounts that are readily available for use to be cash equivalents. Restricted cash consists of amounts held as collateral to satisfy requirements under the Company’s debt facilities. Restricted cash is classified as current when the related restrictions are expected to be released within the next 12 months.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Cash, cash equivalents, and restricted cash consisted of the following as of December 31,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24,310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 current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Long-term assets:</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 – non – current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2,298</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cash, cash equivalents, and restricted cash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27,580</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Net</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Accounts receivable represent amounts due from the sale of products and services for which the Company has an unconditional right to payment. Accounts receivable are stated at net realizable value, net of an allowance for credit losses. The Company assesses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considers historical collectability including past-due status and made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Balances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Amounts become billable in accordance with contract terms, generally based on progress toward completion and the achievement of contractual milestones. Cost and estimated earnings in excess of billings amounted to $6,489 and $8,547 as of December 31, 2025 and 2024.</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942" w:right="1440" w:bottom="353"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Contract liabilities consist of billings in excess of costs and estimated earnings and other deferred construction revenue. Billings in excess of costs and estimated earnings represent amounts billed to or collected from customers in advance of the satisfaction of the related performance obligations. These amounts are recognized as revenue as the Company satisfies its performance obligations over the remaining contract term.</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revenue of $6,274 that was included in contract liabilities at December 31, 2024. During the year ended December 31, 2024, the Company recognized revenue of $3,746 that was included in contract liabilities at December 31,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Parts Inventory</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Parts inventory, also referred to as supplies inventory, consists of shop spare parts inventory and construction site parts inventory. Parts inventory is stated at historical cost, which is determined using the average cost method, and is recorded at the lower of cost or net realizable value. An annual review of inventory is performed to identify obsolete items.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Prepaid Expense and Other Current Assets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Prepaid expenses and other current assets consist primarily of prepaid insurance, environmental credits held for sale, non-monetary asset and other miscellaneous current assets expected to be realized within one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8"/>
              </w:rPr>
              <w:t>Fuel tax credits receivable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5,639</w:t>
            </w: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Prepaid insurance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3,767</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w:t>
            </w: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Environmental credits held for sale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3,758</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6,466</w:t>
            </w: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5,229</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7,477</w:t>
            </w: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prepaid expense and other current assets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16,018</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23,583</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receives non-cash consideration in the form of RINs and LCFS credits in exchange for dispensing and credit monetization services. Environmental credits held for sale are recognized within current assets. The Company’s accounting policy election is to account for environmental credits received as inventory as they are held for sale and not retained for use. The environmental credits received are initially measured at their estimated fair value at contract inception. For internally generated environmental credits, the credits are accounted for as government incentives rather than outputs and, accordingly, no associated value is recorded. These credits are subsequently measured at the lower of cost and net realizable value at each balance sheet date. For the years ended December 31, 2025 and 2024, the Company recorded $17,828 and $10,365 as part of cost of sales — fuel station services in its consolidated statements of operations to adjust environmental credits held for sale to lower of cost and net realizable value.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Property, plant, and equipment are recorded at historical cost, except for amounts attributable to asset retirement obligations, which are recorded at their estimated fair value when the obligation is incurred. Direct costs associated with the construction of assets, as well as renewals and betterments that materially improve or extend the useful lives of the assets, are capitalized.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capitalizes costs related to the development and construction of new projects when management determines that there is a significant likelihood that the project will be completed and placed in service for its intended use. This determination is based on the achievement of key milestones, including, but not limited to, the receipt of required permits and the execution of major contracts, such as gas rights agreements, gas transportation arrangements, and engineering, procurement, and construction contracts. Costs incurred prior to the achievement of</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942" w:right="1440" w:bottom="353"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these milestones are expensed as incurred. Replacements, routine maintenance, and repairs that do not materially improve or extend the useful lives of the respective assets are expensed as incurred. Major maintenance is a component of maintenance expense and encompasses overhauls of internal combustion engines, gas compressors and electrical generators. Major maintenance is expensed as incurred.</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capitalizes interest incurred on its general borrowings during the construction period until the related assets are substantially complete and ready for their intended use.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Depreciation is computed using the straight-line method over the estimated useful lives of the assets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Plant and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8"/>
              </w:rPr>
              <w:t>5 – 30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CNG/RNG Fueling Stations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10 – 20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N/A</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Buildings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40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N/A</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Service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8"/>
              </w:rPr>
              <w:t>5 – 10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shorter of lease term or useful life</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7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5 – 7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3 years</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Land lease – finance lease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9"/>
              </w:rPr>
              <w:t>Lease term</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Vehicles – finance lease</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rPr>
              <w:t>shorter of lease term or useful life</w:t>
            </w:r>
          </w:p>
        </w:tc>
      </w:tr>
      <w:tr>
        <w:trPr>
          <w:trHeight w:val="26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4300" w:type="dxa"/>
            <w:vAlign w:val="bottom"/>
          </w:tcPr>
          <w:p>
            <w:pPr>
              <w:jc w:val="center"/>
              <w:ind w:left="1480"/>
              <w:spacing w:after="0"/>
              <w:rPr>
                <w:sz w:val="20"/>
                <w:szCs w:val="20"/>
                <w:color w:val="auto"/>
              </w:rPr>
            </w:pPr>
            <w:r>
              <w:rPr>
                <w:rFonts w:ascii="Times New Roman" w:cs="Times New Roman" w:eastAsia="Times New Roman" w:hAnsi="Times New Roman"/>
                <w:sz w:val="20"/>
                <w:szCs w:val="20"/>
                <w:color w:val="auto"/>
                <w:w w:val="97"/>
              </w:rPr>
              <w:t>7 years</w:t>
            </w:r>
          </w:p>
        </w:tc>
      </w:tr>
    </w:tbl>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Construction in progress represents long-lived assets that are under development and not yet placed into service. Construction in progress is not depreciated until the underlying assets are substantially complete and available for their intended use.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Spares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included in other long-term assets, recorded at historical cost and expensed when placed into service as part of a routine maintenance project or capitalized when part of a plant improvement project.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 Company recorded $— and $2,016 impairment expense for the years ended December 31, 2025 and 2024.</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Fair value is generally determined by considering (i) internally developed discounted cash flows for the asset group, (ii) information available regarding the current market value for such assets and/or (iii) estimates of the costs to replace an asset.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942" w:right="1440" w:bottom="353"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in Other Entities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sheets at cost. The amounts initially recognized are subsequently adjusted for the impacts of impairment, capitalized interest and Company’s share of earnings (losses) which are recognized as income from equity method investments in the consolidated statements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2025 and 2024, the Company did not identify any impairments on its investment in other entities.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Goodwill represents the excess of purchase price of an acquisition over the fair value of net assets acquired in a business combination subject to ASC Topic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(“ASC 805”).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Topic 350 </w:t>
      </w:r>
      <w:r>
        <w:rPr>
          <w:rFonts w:ascii="Times New Roman" w:cs="Times New Roman" w:eastAsia="Times New Roman" w:hAnsi="Times New Roman"/>
          <w:sz w:val="20"/>
          <w:szCs w:val="20"/>
          <w:i w:val="1"/>
          <w:iCs w:val="1"/>
          <w:color w:val="auto"/>
        </w:rPr>
        <w:t>Intangibles — Goodwill and Other</w:t>
      </w:r>
      <w:r>
        <w:rPr>
          <w:rFonts w:ascii="Times New Roman" w:cs="Times New Roman" w:eastAsia="Times New Roman" w:hAnsi="Times New Roman"/>
          <w:sz w:val="20"/>
          <w:szCs w:val="20"/>
          <w:color w:val="auto"/>
        </w:rPr>
        <w:t xml:space="preserve"> (“ASC 350”). The Company performs its annual test on December 31.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Expenses and Other Current Liabilities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Accrued expenses and other current liabilities consist primarily of accrued capital expenditures, accrued payroll and related benefits, accrued environmental credit rebates, and other miscellaneous accrued operating expenses. Accrued environmental credit rebates represent the Company’s liabilities for dispensing services provided by third-party vendors.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Accrued capital expenditures . . . . . . . . . . . . . . . . . . . . . . . . . . . . . . . . . . . . . . . .</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Accrued payroll . . . . . . . . . . . . . . . . . . . . . . . . . . . . . . . . . . . . . . . . . . . . . . . . . . .</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Accrued environmental credit rebates. . . . . . . . . . . . . . . . . . . . . . . . . . . . . . . . . .</w:t>
      </w:r>
    </w:p>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Accrued expenses and other current liabilities . . . . . . . . . . . . . . . . . . . . . . . . . . .</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Total accrued expenses and other current liabilities . . . . . . . . . . . . . . . . . . . .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right="1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17145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35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24,629</w:t>
            </w:r>
          </w:p>
        </w:tc>
        <w:tc>
          <w:tcPr>
            <w:tcW w:w="100" w:type="dxa"/>
            <w:vAlign w:val="bottom"/>
          </w:tcPr>
          <w:p>
            <w:pPr>
              <w:spacing w:after="0"/>
              <w:rPr>
                <w:sz w:val="21"/>
                <w:szCs w:val="21"/>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23,238</w:t>
            </w:r>
          </w:p>
        </w:tc>
      </w:tr>
      <w:tr>
        <w:trPr>
          <w:trHeight w:val="260"/>
        </w:trPr>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9,580</w:t>
            </w:r>
          </w:p>
        </w:tc>
      </w:tr>
      <w:tr>
        <w:trPr>
          <w:trHeight w:val="260"/>
        </w:trPr>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4,993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5,391</w:t>
            </w:r>
          </w:p>
        </w:tc>
      </w:tr>
      <w:tr>
        <w:trPr>
          <w:trHeight w:val="261"/>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26,516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26,379</w:t>
            </w:r>
          </w:p>
        </w:tc>
      </w:tr>
      <w:tr>
        <w:trPr>
          <w:trHeight w:val="240"/>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63,857</w:t>
            </w:r>
          </w:p>
        </w:tc>
        <w:tc>
          <w:tcPr>
            <w:tcW w:w="10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64,588</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360" w:space="180"/>
            <w:col w:w="2820"/>
          </w:cols>
          <w:pgMar w:left="1440" w:top="942"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942" w:right="1440" w:bottom="353"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 Retirement Obligation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records asset retirement obligations when a legal obligation associated with the retirement of a long-lived asset is incurred and the fair value of the obligation can be reasonably estimated. Asset retirement obligations are initially measured at fair value and recorded as a liability, with a corresponding increase to the carrying amount of the related asset. The capitalized asset retirement costs are depreciated over the useful life of the related asset, and the liability is accreted over time. Periodic accretion of discount of the estimated liability is recorded as a part of depreciation, amortization, and accretion expense.</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Asset retirement obligations are classified as Level 3 fair value measurements due to the use of significant unobservable inputs. The Company estimates the fair value of asset retirement obligations using a discounted cash flow approach, which requires assumptions regarding the timing and amount of future cash outflows, inflation rates, and credit-adjusted discount rates.</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Asset retirement obligations are classified as current when settlement is expected within one year and as non-current when settlement is expected to occur beyond one year. The current portion is reflected in accrued expenses and other current liabilities, while the non-current portion is reflected in other long-term liabilities.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The changes in the asset retirement obligations were as follows as of December 31, 2025:</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December 31, 2024 – current . . . . . . . . . . . . . . . . . . . . . . . . . . . . . . . . . . . . . . . . . . . . . . . .</w:t>
            </w:r>
          </w:p>
        </w:tc>
        <w:tc>
          <w:tcPr>
            <w:tcW w:w="4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2,804</w:t>
            </w:r>
          </w:p>
        </w:tc>
        <w:tc>
          <w:tcPr>
            <w:tcW w:w="60" w:type="dxa"/>
            <w:vAlign w:val="bottom"/>
          </w:tcPr>
          <w:p>
            <w:pPr>
              <w:spacing w:after="0"/>
              <w:rPr>
                <w:sz w:val="24"/>
                <w:szCs w:val="24"/>
                <w:color w:val="auto"/>
              </w:rPr>
            </w:pP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Balance, December 31, 2024 – non-current . . . . . . . . . . . . . . . . . . . . . . . . . . . . . . . . . . . . . . . . . . . .</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5,082</w:t>
            </w:r>
          </w:p>
        </w:tc>
        <w:tc>
          <w:tcPr>
            <w:tcW w:w="60" w:type="dxa"/>
            <w:vAlign w:val="bottom"/>
          </w:tcPr>
          <w:p>
            <w:pPr>
              <w:spacing w:after="0"/>
              <w:rPr>
                <w:sz w:val="22"/>
                <w:szCs w:val="22"/>
                <w:color w:val="auto"/>
              </w:rPr>
            </w:pP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Additional asset retirement obligations acquired/incurred . . . . . . . . . . . . . . . . . . . . . . . . . . . . . . . . .</w:t>
            </w:r>
          </w:p>
        </w:tc>
        <w:tc>
          <w:tcPr>
            <w:tcW w:w="4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135</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Settlement . . . . . . . . . . . . . . . . . . . . . . . . . . . . . . . . . . . . . . . . . . . . . . . . . . . . . . . . . . . . . . . . . . . . . .</w:t>
            </w:r>
          </w:p>
        </w:tc>
        <w:tc>
          <w:tcPr>
            <w:tcW w:w="4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(931)</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Accretion expense . . . . . . . . . . . . . . . . . . . . . . . . . . . . . . . . . . . . . . . . . . . . . . . . . . . . . . . . . . . . . . . .</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60" w:type="dxa"/>
            <w:vAlign w:val="bottom"/>
          </w:tcPr>
          <w:p>
            <w:pPr>
              <w:spacing w:after="0"/>
              <w:rPr>
                <w:sz w:val="22"/>
                <w:szCs w:val="22"/>
                <w:color w:val="auto"/>
              </w:rPr>
            </w:pP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Change in estimate . . . . . . . . . . . . . . . . . . . . . . . . . . . . . . . . . . . . . . . . . . . . . . . . . . . . . . . . . . . . . . .</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w:t>
            </w:r>
          </w:p>
        </w:tc>
        <w:tc>
          <w:tcPr>
            <w:tcW w:w="60" w:type="dxa"/>
            <w:vAlign w:val="bottom"/>
          </w:tcPr>
          <w:p>
            <w:pPr>
              <w:spacing w:after="0"/>
              <w:rPr>
                <w:sz w:val="22"/>
                <w:szCs w:val="22"/>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Balance, December 31, 2025 – current and non-current . . . . . . . . . . . . . . . . . . . . . . . . . . . . . . . . . .</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8,459</w:t>
            </w:r>
          </w:p>
        </w:tc>
        <w:tc>
          <w:tcPr>
            <w:tcW w:w="60" w:type="dxa"/>
            <w:vAlign w:val="bottom"/>
          </w:tcPr>
          <w:p>
            <w:pPr>
              <w:spacing w:after="0"/>
              <w:rPr>
                <w:sz w:val="20"/>
                <w:szCs w:val="20"/>
                <w:color w:val="auto"/>
              </w:rPr>
            </w:pP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Less: current portion . . . . . . . . . . . . . . . . . . . . . . . . . . . . . . . . . . . . . . . . . . . . . . . . . . . . . . . . . . . . . .</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3,167</w:t>
            </w:r>
          </w:p>
        </w:tc>
        <w:tc>
          <w:tcPr>
            <w:tcW w:w="60" w:type="dxa"/>
            <w:vAlign w:val="bottom"/>
          </w:tcPr>
          <w:p>
            <w:pPr>
              <w:spacing w:after="0"/>
              <w:rPr>
                <w:sz w:val="20"/>
                <w:szCs w:val="20"/>
                <w:color w:val="auto"/>
              </w:rPr>
            </w:pPr>
          </w:p>
        </w:tc>
      </w:tr>
      <w:tr>
        <w:trPr>
          <w:trHeight w:val="24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asset retirement obligation, net of current portion . . . . . . . . . . . . . . . . . . . . . . . . . . . . . . . . .</w:t>
            </w:r>
          </w:p>
        </w:tc>
        <w:tc>
          <w:tcPr>
            <w:tcW w:w="4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5,292</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estimated the fair value of its asset retirement obligations based on discount rates ranging from 5.8% to 12.0%.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Long-term Liabilities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 xml:space="preserve">Other long-term liabilities primarily consist of asset retirement obligations and operating lease liabilities. See </w:t>
      </w:r>
      <w:r>
        <w:rPr>
          <w:rFonts w:ascii="Times New Roman" w:cs="Times New Roman" w:eastAsia="Times New Roman" w:hAnsi="Times New Roman"/>
          <w:sz w:val="20"/>
          <w:szCs w:val="20"/>
          <w:i w:val="1"/>
          <w:iCs w:val="1"/>
          <w:color w:val="auto"/>
        </w:rPr>
        <w:t xml:space="preserve">Note 7. Leases </w:t>
      </w:r>
      <w:r>
        <w:rPr>
          <w:rFonts w:ascii="Times New Roman" w:cs="Times New Roman" w:eastAsia="Times New Roman" w:hAnsi="Times New Roman"/>
          <w:sz w:val="20"/>
          <w:szCs w:val="20"/>
          <w:color w:val="auto"/>
        </w:rPr>
        <w:t>for details.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Financing Costs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Fees incurred for obtaining new loans or debt restructuring are deferred and amortized to interest expense over the life of the related debt using effective interest method. Unamortized financing costs are written off when the related debt is extinguished. Deferred debt issuance costs are reported as a reduction of the carrying value of the long-term debt in the consolidated balance sheets.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Lessee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 xml:space="preserve">The Company accounts for leases in accordance with ASC Topic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(“ASC 842”). The Company’s leases consist primarily of operating leases for site leases on landfills and dairy farms, office facilities, and finance leases for a site lease associated with fuel station and vehicles.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942" w:right="1440" w:bottom="353"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accounts for lease and non-lease components as a single lease component and does not recognize right-of-use assets or lease liabilities for leases with a term of 12 months or less.</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Lease payments consist primarily of fixed payments under the arrangement, net of any lease incentives. Variable lease payments in our leases and are not based on an index or rate are not included in the lease liability and are recognized as expense as incurred.</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estimates its incremental borrowing rate based on the rate of interest it would have to pay to borrow on a collateralized basis with an equal lease-payment amount, over a similar term, and in a similar economic environment.</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lease term may include periods covered by options to extend or terminate the lease when it is reasonably certain that the Company will exercise such options. The Company has excluded renewal periods from the right-of-use assets and lease liabilities for existing leases because it is not reasonably certain that it will exercise those renewal options. Operating lease costs are recorded within project development and start up costs or cost of sales — RNG fuel for site leases, and within selling, general and administrative for office leases, based on the nature of the underlying activity.</w:t>
      </w:r>
    </w:p>
    <w:p>
      <w:pPr>
        <w:spacing w:after="0" w:line="168"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Lease modifications or extensions are assessed to determine whether they represent a separate contract or a change to an existing lease. When a modification does not create a separate lease, the Company remeasures the lease liability using an updated discount rate and adjusts the Right-of-Use (“ROU”) asset accordingly.</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evaluates right-of-use assets for impairment whenever events or changes in circumstances indicate that the carrying amount of the asset may not be recoverable. Impairment losses, if any, are recognized in the period identified.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Lessor</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At the inception of a new lease arrangement for which the Company is the lessor, including new leases that arise from amendments, the Company assesses the terms and conditions to determine the proper lease classification. When the terms of a lease effectively transfer control of the underlying asset, the lease is classified as a sales-type lease. All other leases are classified as operating leases. Upon commencement of the sales-type lease, the book value of the leased asset is removed from the balance sheet and a net investment in sales-type lease is recognized based on the present value of fixed payments under the contract and the residual value of the underlying asset.</w:t>
      </w:r>
    </w:p>
    <w:p>
      <w:pPr>
        <w:spacing w:after="0" w:line="16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Fuel provider agreements (“FPAs”) are for the sale of brown gas, service and maintenance of sites. The Company is contracted to design and build a Fueling Station on the customer’s property in exchange for the Company providing compressed natural gas (“CNG”)/RNG to the customer for a determined number of years. The contractual term of these arrangements may include options to extend or terminate the agreement upon the occurrence of certain actions by a government authority or regulatory agency or terminate the agreement and purchase the underlying station for fair market value.</w:t>
      </w:r>
    </w:p>
    <w:p>
      <w:pPr>
        <w:spacing w:after="0" w:line="16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FPAs contain a lease component for the use of the Fueling Station in addition to the non-lease components related to providing CNG/RNG as well as providing all-inclusive maintenance and warranty services.</w:t>
      </w:r>
    </w:p>
    <w:p>
      <w:pPr>
        <w:spacing w:after="0" w:line="174"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lease components of the FPAs are considered to be operating leases with variable consideration. The adjustments to payments are based on a variety of factors including changes in an index or rate (such as the market price of natural gas and utilities), the amount of fuel dispensed from the station, annual escalators, volume discounts and discounts for tax and environmental credits retained by the Company. The Company excludes taxes assessed by a government authority that are imposed on and concurrent with the FPA transaction collected by the Company from the customer. The Company allocates the contract consideration between the lease component and non-lease components on a relative standalone selling price basis. As per ASC 842, the revenue is recognized in the period earned.</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942" w:right="1440" w:bottom="353"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Our FPAs generally do not include any residual value guarantees and Company typically expects the underlying asset to have no residual value following the end of the lease term.</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Judgment is required in evaluating whether an arrangement contains a lease, including assessing whether an identified asset exists and whether the Company has the right to control the use of that asset throughout the period of use. This evaluation involves consideration of factors such as the supplier’s substantive substitution rights, the Company’s decision-making rights over the use of the asset, and whether the Company obtains substantially all of the economic benefits from use of the asset. The Company determines whether an arrangement contains a lease at inception.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Financial Instruments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Fair value measurements are classified and disclosed in one of the following categories:</w:t>
      </w: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 — defined as observable inputs such as quoted prices for identical instruments in active markets;</w:t>
      </w:r>
    </w:p>
    <w:p>
      <w:pPr>
        <w:spacing w:after="0" w:line="177" w:lineRule="exact"/>
        <w:rPr>
          <w:sz w:val="20"/>
          <w:szCs w:val="20"/>
          <w:color w:val="auto"/>
        </w:rPr>
      </w:pPr>
    </w:p>
    <w:p>
      <w:pPr>
        <w:jc w:val="both"/>
        <w:ind w:left="1400" w:hanging="919"/>
        <w:spacing w:after="0" w:line="230" w:lineRule="auto"/>
        <w:rPr>
          <w:sz w:val="20"/>
          <w:szCs w:val="20"/>
          <w:color w:val="auto"/>
        </w:rPr>
      </w:pPr>
      <w:r>
        <w:rPr>
          <w:rFonts w:ascii="Times New Roman" w:cs="Times New Roman" w:eastAsia="Times New Roman" w:hAnsi="Times New Roman"/>
          <w:sz w:val="20"/>
          <w:szCs w:val="20"/>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79" w:lineRule="exact"/>
        <w:rPr>
          <w:sz w:val="20"/>
          <w:szCs w:val="20"/>
          <w:color w:val="auto"/>
        </w:rPr>
      </w:pPr>
    </w:p>
    <w:p>
      <w:pPr>
        <w:jc w:val="both"/>
        <w:ind w:left="1400" w:hanging="919"/>
        <w:spacing w:after="0" w:line="231" w:lineRule="auto"/>
        <w:rPr>
          <w:sz w:val="20"/>
          <w:szCs w:val="20"/>
          <w:color w:val="auto"/>
        </w:rPr>
      </w:pPr>
      <w:r>
        <w:rPr>
          <w:rFonts w:ascii="Times New Roman" w:cs="Times New Roman" w:eastAsia="Times New Roman" w:hAnsi="Times New Roman"/>
          <w:sz w:val="20"/>
          <w:szCs w:val="20"/>
          <w:color w:val="auto"/>
        </w:rPr>
        <w:t>Level 3 — defined as unobservable inputs in which little or no market data exists, therefore requiring an entity to develop its own assumptions.</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Company’s interest rate swap contracts are valued with pricing models commonly used by the financial services industry using discounted cash flows of forecast future swap settlements based on projected three-month SOFR rates.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values its energy commodity swap contracts based on the applicable geographical market energy forward curve. The forward curves are derived based on the quotes provided by New York Mercantile Exchange, Amerex Energy Services and Tradition Energy.</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accounts for asset retirement obligations by recording the fair value of a liability for an asset retirement obligation in the period in which it is incurred and when a reasonable estimate of fair value can be made. The Company determines the Level 3 fair value measurements using a discounted cash flow model in which cash outflows estimated to retire the asset are discounted to their present value using an expected discount rate.</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carrying value of the Company’s long-term debt approximates the fair value because the interest rates are variable and reflective of market conditions. The fair value of debt is estimated using Level 2 inputs.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Instruments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The Company estimates the fair value of its derivative instruments using available market information in accordance with ASC Topic 820, </w:t>
      </w:r>
      <w:r>
        <w:rPr>
          <w:rFonts w:ascii="Times New Roman" w:cs="Times New Roman" w:eastAsia="Times New Roman" w:hAnsi="Times New Roman"/>
          <w:sz w:val="19"/>
          <w:szCs w:val="19"/>
          <w:i w:val="1"/>
          <w:iCs w:val="1"/>
          <w:color w:val="auto"/>
        </w:rPr>
        <w:t>Fair Value Measurement</w:t>
      </w:r>
      <w:r>
        <w:rPr>
          <w:rFonts w:ascii="Times New Roman" w:cs="Times New Roman" w:eastAsia="Times New Roman" w:hAnsi="Times New Roman"/>
          <w:sz w:val="19"/>
          <w:szCs w:val="19"/>
          <w:color w:val="auto"/>
        </w:rPr>
        <w:t xml:space="preserve"> (“ASC 820”).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 unless the derivative is designated in a qualifying hedging relationship. Changes in the fair value of derivative instruments that do not result in cash receipts or payments in the period of change are presented as reconciling items in the reconciliation of net income to net cash flows from operating activities.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942" w:right="1440" w:bottom="353"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The Company uses interest rate swaps to manage exposure to variability in cash flows associated with changes in interest rates. The Company designates these interest rate swaps as cash flow hedges and applies hedge accounting in accordance with ASC Topic 815, </w:t>
      </w:r>
      <w:r>
        <w:rPr>
          <w:rFonts w:ascii="Times New Roman" w:cs="Times New Roman" w:eastAsia="Times New Roman" w:hAnsi="Times New Roman"/>
          <w:sz w:val="19"/>
          <w:szCs w:val="19"/>
          <w:i w:val="1"/>
          <w:iCs w:val="1"/>
          <w:color w:val="auto"/>
        </w:rPr>
        <w:t>Derivatives and Hedging</w:t>
      </w:r>
      <w:r>
        <w:rPr>
          <w:rFonts w:ascii="Times New Roman" w:cs="Times New Roman" w:eastAsia="Times New Roman" w:hAnsi="Times New Roman"/>
          <w:sz w:val="19"/>
          <w:szCs w:val="19"/>
          <w:color w:val="auto"/>
        </w:rPr>
        <w:t xml:space="preserve"> (“ASC 815”). Hedge effectiveness is assessed at inception and on an ongoing basis to determine whether the hedging relationship is expected to be and has been highly effective. The effective portion of changes in fair value is recorded in Accumulated other comprehensive (loss) income and subsequently reclassified into earnings in the same period or periods during which the hedged forecasted transactions affect earnings. Any ineffective portion of the changes in fair value of the derivatives is recognized in earnings. The Company’s interest rate swap derivative instruments do not contain an other-than-insignificant financing element. Cash receipts and payments related to interest rate swaps are classified in the consolidated statements of cash flows, consistent with the classification of cash flows related to the economically hedged interest costs. Interest rate swaps were immaterial for the years ended December 31, 2025 and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Treasury Stock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January 23, 2023, pursuant to the terms of the Forward Purchase Agreement, the Company repurchased 1,635,783 shares of its Class A common stock from certain investors. The repurchased shares were recorded as treasury stock and are carried at cost of $11,614.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Redeemable non-controlling interests represent the portion of subsidiaries of OPAL Fuels that the Company controls and consolidates but does not own. The Redeemable non-controlling interest represents 144,399,037 Class B Units issued by OPAL Fuels LLC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statements of operations.</w:t>
      </w:r>
    </w:p>
    <w:p>
      <w:pPr>
        <w:spacing w:after="0" w:line="158"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At each balance sheet date, the mezzanine equity-classified redeemable preferred non-controlling interests are adjusted down to their maximum redemption value if necessary, with an offset in stockholders’ deficit.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 from Contracts with Customers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Company’s revenue arrangements generally consist of a single performance obligation to transfer goods or services. Payment terms are consistent with standard market practices in the markets the Company serves and do not include a significant financing component. The transaction price is determined based on the consideration to which the Company will be entitled in exchange for transferring goods or services to the customer. All revenue is recognized when, or as the Company satisfies its performance obligations under the contract (either implicit or explicit) by transferring the promised product or service to its customer either when, or as its customer obtains control of the product or service. A performance obligation is a promise in a contract to transfer a distinct product or service to a customer. A contract’s transaction price is allocated to each distinct performance obligation. The Company allocates the contract’s transaction price to each performance obligation using the product’s observable market standalone selling price for each distinct product in the contract.</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Environmental Credits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Sales of Environmental Attributes such as RINs, RTCs, RECs and LCFS are generally recorded as revenue when the certificates related to them are delivered to a buyer.</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2020, the Company entered into an agreement with a counterparty to sell LCFSs at one of our RNG facilities for a period of 7 years at a fixed contract price which has a certain predetermined floor and ceiling price per LCFS. The counterparty has the right to apply any excess payment made calculated as the difference between the adjusted Oil Price Information Service price and the floor price per the contract, against future sales of LCFSs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942" w:right="1440" w:bottom="353"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contract term. Therefore, it includes a variable consideration that is constrained and is incorporated into the contract price only to the extent that it is probable that a significant reversal of the cumulative revenue recognized under the contract will not occur in a future period.</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may enter into periodic transaction confirmations with Nextera for the sale of RNG generated by its RNG Fuels business, and NextEra may elect to engage the Company to market such RNG in order to generate RINs on its behalf. The Company has concluded that production services and dispensing services represent separate performance obligations within these arrangements. Control of K-1 RINs transfers either at the point of gas generation or upon delivery of the RINs, and revenue is recognized at the time control is transferred. Consideration allocated to dispensing services is recognized as revenue when the Company satisfies its performance obligation, which occurs upon completion of the required documentation and pairing activities associated with dispensing.</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Electricity and Natural Gas Sales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Revenue from the sale of RNG and electricity is recognized based on the actual output delivered to customers at the contractually agreed rates.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Fueling Station Services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OPAL provides operating and maintenance services for both Company-owned and customer-owned fueling stations. Revenue from service agreements is recognized over time as the related services are performed.</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OPAL is considered the principal in transactions involving the supply of CNG to customers. Although OPAL sources natural gas from third parties, the Company’s equipment converts that gas into CNG — a distinct product — prior to delivery. Revenue from CNG supply is recognized over time as OPAL fulfills its obligation to provide CNG throughout the contract term.</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certain public CNG fueling stations where no contractual arrangement exists with the customer, the Company recognizes revenue at the point in time when the customer takes control of the fuel.</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Credit Monetization Services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prepaid expenses and other current assets based on the fair value of RINs or LCFSs at contract commencement.</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Renewable Biomethane Environmental Attributes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2022, three wholly-owned subsidiaries in the Renewable Power portfolio entered into agreements with an Environmental Attribute marketing firm to sell Environmental Attributes associated with renewable biomethane (“ISCC Carbon Credits”) and to purchase brown gas at fixed prices per MMBtu. Regulatory changes adopted by the European Commission, effective November 21, 2024, disqualified biomethane produced outside the European Union from eligibility under the EU Renewable Energy Directive. As a result, all of the Company’s ISCC Carbon Credit agreements were terminated on that date. For the years ended December 31, 2025 and 2024, the Company earned net revenues of $— and $16,286, respectively under this contract which were recorded as part of renewable power revenues in the consolidated statements of operations.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942" w:right="1440" w:bottom="353"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left="480" w:right="3400" w:hanging="480"/>
        <w:spacing w:after="0" w:line="411" w:lineRule="auto"/>
        <w:tabs>
          <w:tab w:leader="none" w:pos="194"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color w:val="auto"/>
        </w:rPr>
        <w:t>(cont.)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Construction Contracts</w:t>
      </w:r>
    </w:p>
    <w:p>
      <w:pPr>
        <w:spacing w:after="0" w:line="1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2025 and 2024, the third-party construction revenue was recognized over time, and the remainder was for products and services transferred at a point in time.</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 xml:space="preserve">The Company provides all third-party construction contracts with a warranty, typically for a period of one year after substantial completion of the construction project. Based on the guidance and indicative factors provided by ASC 606, the Company concluded that it offers assurance-type warranties as it does not provide a service to the customer beyond fixing defects that existed at the time of completion. Therefore, these warranties are accounted for under ASC Topic 460, </w:t>
      </w:r>
      <w:r>
        <w:rPr>
          <w:rFonts w:ascii="Times New Roman" w:cs="Times New Roman" w:eastAsia="Times New Roman" w:hAnsi="Times New Roman"/>
          <w:sz w:val="20"/>
          <w:szCs w:val="20"/>
          <w:i w:val="1"/>
          <w:iCs w:val="1"/>
          <w:color w:val="auto"/>
        </w:rPr>
        <w:t>Guarantees</w:t>
      </w:r>
      <w:r>
        <w:rPr>
          <w:rFonts w:ascii="Times New Roman" w:cs="Times New Roman" w:eastAsia="Times New Roman" w:hAnsi="Times New Roman"/>
          <w:sz w:val="20"/>
          <w:szCs w:val="20"/>
          <w:color w:val="auto"/>
        </w:rPr>
        <w:t>, and not as a separate performance obligation.</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Generally, the Company estimates warranty costs based on historical claims experience, and other factors. Actual warranty claims may differ from the estimates, and adjustments to the liability are made as necessary. The Company accrued $483 and $171 of warranty reserves under accrued expenses and other current liabilities as of December 31, 2025, and 2024, respectively.</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Company’s remaining performance obligations represent the unrecognized revenue value of its contract commitments. The Company’s remaining performance obligations may significantly vary each reporting period based on the timing of major new contract commitments. As of December 31, 2025, the Company had a remaining performance obligation of $40,889 of which $34,994 is expected to be recognized within the next 12 months.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OPAL Owned Stations Revenue</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owns Fueling Stations for use by customers under fuel sale agreements. The Company bills these customers at an agreed upon price for each gallon sold and recognizes revenue based on the output method. For some public stations where there is no contract with the customer, the Company recognizes revenue at the point-in-time that the customer takes control of the fuel.</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For disaggregation of revenue please see </w:t>
      </w:r>
      <w:r>
        <w:rPr>
          <w:rFonts w:ascii="Times New Roman" w:cs="Times New Roman" w:eastAsia="Times New Roman" w:hAnsi="Times New Roman"/>
          <w:sz w:val="20"/>
          <w:szCs w:val="20"/>
          <w:i w:val="1"/>
          <w:iCs w:val="1"/>
          <w:color w:val="auto"/>
        </w:rPr>
        <w:t>Note 10. Reportable Segments and Geographic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Project Development and Start Up Costs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Project development and startup costs include development costs for RNG projects under construction and startup costs incurred during the initial operating phase of new RNG projects, including legal, leasing, virtual pipeline costs and other ramp-up expenses. These costs are temporary and non-recurring over the project lifetime. Virtual pipeline costs, which represent temporary transportation costs incurred until completion of a permanent pipeline, totaled $13,003 and $14,769 in 2025 and 2024,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 xml:space="preserve">The Company issues stock-based compensation utilizing stock options, performance units and restricted stock units. In accordance with ASC Topic 718, </w:t>
      </w:r>
      <w:r>
        <w:rPr>
          <w:rFonts w:ascii="Times New Roman" w:cs="Times New Roman" w:eastAsia="Times New Roman" w:hAnsi="Times New Roman"/>
          <w:sz w:val="19"/>
          <w:szCs w:val="19"/>
          <w:i w:val="1"/>
          <w:iCs w:val="1"/>
          <w:color w:val="auto"/>
        </w:rPr>
        <w:t>Stock Compensation</w:t>
      </w:r>
      <w:r>
        <w:rPr>
          <w:rFonts w:ascii="Times New Roman" w:cs="Times New Roman" w:eastAsia="Times New Roman" w:hAnsi="Times New Roman"/>
          <w:sz w:val="19"/>
          <w:szCs w:val="19"/>
          <w:color w:val="auto"/>
        </w:rPr>
        <w:t xml:space="preserve">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Expense for stock-based compensation awards that include performance conditions are initially calculated and subsequently remeasured based on the outcome deemed probable of occurring, and recognized over the vesting period, with the ultimate amount of expense recognized based on the actual performance outcome. Forfeitures are recognized as they occur. Please see </w:t>
      </w:r>
      <w:r>
        <w:rPr>
          <w:rFonts w:ascii="Times New Roman" w:cs="Times New Roman" w:eastAsia="Times New Roman" w:hAnsi="Times New Roman"/>
          <w:sz w:val="19"/>
          <w:szCs w:val="19"/>
          <w:i w:val="1"/>
          <w:iCs w:val="1"/>
          <w:color w:val="auto"/>
        </w:rPr>
        <w:t>Note 14. Stock-based Compensation</w:t>
      </w:r>
      <w:r>
        <w:rPr>
          <w:rFonts w:ascii="Times New Roman" w:cs="Times New Roman" w:eastAsia="Times New Roman" w:hAnsi="Times New Roman"/>
          <w:sz w:val="19"/>
          <w:szCs w:val="19"/>
          <w:color w:val="auto"/>
        </w:rPr>
        <w:t>, for additional information.</w:t>
      </w:r>
    </w:p>
    <w:p>
      <w:pPr>
        <w:sectPr>
          <w:pgSz w:w="12240" w:h="15840" w:orient="portrait"/>
          <w:cols w:equalWidth="0" w:num="1">
            <w:col w:w="9360"/>
          </w:cols>
          <w:pgMar w:left="1440" w:top="942" w:right="1440" w:bottom="353"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942" w:right="1440" w:bottom="353"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 per Share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basic income per share of Class A common stock is computed by dividing the net income attributable to Class A common stockholders by the weighted average number of Class A common stock outstanding during the period.</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Class B common stock and D common stock do not participate in the earnings or losses of the Company and are therefore not considered participating securities. Accordingly, the two-class method has not been applied.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and Transferrable Tax credits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Topic 740, </w:t>
      </w:r>
      <w:r>
        <w:rPr>
          <w:rFonts w:ascii="Times New Roman" w:cs="Times New Roman" w:eastAsia="Times New Roman" w:hAnsi="Times New Roman"/>
          <w:sz w:val="20"/>
          <w:szCs w:val="20"/>
          <w:i w:val="1"/>
          <w:iCs w:val="1"/>
          <w:color w:val="auto"/>
        </w:rPr>
        <w:t>Accounting for Income Taxes</w:t>
      </w:r>
      <w:r>
        <w:rPr>
          <w:rFonts w:ascii="Times New Roman" w:cs="Times New Roman" w:eastAsia="Times New Roman" w:hAnsi="Times New Roman"/>
          <w:sz w:val="20"/>
          <w:szCs w:val="20"/>
          <w:color w:val="auto"/>
        </w:rPr>
        <w:t xml:space="preserve"> (“ASC 740”), which requires the recognition of tax benefits or expenses on temporary differences between the financial reporting and tax bases of its assets and liabilities by applying the enacted tax rates in effect for the year in which the differences are expected to reverse. Deferred tax assets are included in other long-term assets and are reduced by a valuation allowance when the Company believes that it is more-likely-than-not that some portion or all of the deferred tax assets will not be realized.</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We recognize interest and penalties related to unrecognized tax benefits on the interest expense line and other expense line, respectively, in the accompanying consolidated statement of operations. Accrued interest and penalties are included on the related liability lines in the consolidated balance sheet. As of December 31, 2025 and 2024, the Company does not have any amounts recorded in connection to uncertain tax positions.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sells to third-party purchasers certain transferable Investment Tax Credits (“ITCs”) that have been generated by the Company from its investments in the Renewable Natural Gas segment. The Company considers expected transfers of the ITC credits in assessing their realizability as part of the valuation allowance analysis. Changes in estimated proceeds from expected credit transfers are recognized as adjustments to the valuation allowance. The Company accounts for ITCs under ASC 740 and has elected the flow-through method, recognizing the ITC benefit in the period the credit arises.</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has determined that it qualifies for clean fuel production tax credits (“PTCs”,”45z”) under the Inflation Reduction Act of 2022 (“IRA”) and the One Big Beautiful Bill Act (“OBBBA”). The PTC credits are recognized as a tax benefit in the period in which production occurs, and the product is sold in a qualifying manner. The tax benefit recognized is determined based on the company’s low carbon intensity (“CI”) score to date and the expected sales price of the credits.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credits are recorded within income tax benefit on the consolidated statements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Vulnerability due to Certain Concentrations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 of credit risk consist principally of cash, cash equivalents, restricted cash,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942" w:right="1440" w:bottom="353"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Customers, Vendors and Concentration of Credit Risk</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At December 31, 2025, four customers accounted for 63% of accounts receivable. At December 31, 2024, two customers accounted for 50% of accounts receivable. As of December 31, 2025, there were no concentrations in the volume of business transacted with any individual vendor. As of December 31, 2024, there was one supplier that accounted for approximately 13.9% of the Company’s total purchases.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Refer to </w:t>
      </w:r>
      <w:r>
        <w:rPr>
          <w:rFonts w:ascii="Times New Roman" w:cs="Times New Roman" w:eastAsia="Times New Roman" w:hAnsi="Times New Roman"/>
          <w:sz w:val="20"/>
          <w:szCs w:val="20"/>
          <w:i w:val="1"/>
          <w:iCs w:val="1"/>
          <w:color w:val="auto"/>
        </w:rPr>
        <w:t>FN 10. Reportable Segments and Geographic Information</w:t>
      </w:r>
      <w:r>
        <w:rPr>
          <w:rFonts w:ascii="Times New Roman" w:cs="Times New Roman" w:eastAsia="Times New Roman" w:hAnsi="Times New Roman"/>
          <w:sz w:val="20"/>
          <w:szCs w:val="20"/>
          <w:color w:val="auto"/>
        </w:rPr>
        <w:t xml:space="preserve"> for details on revenue concentration.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INVESTMENTS IN OTHER ENTITIES AND VARIABLE INTEREST ENTITIES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Company’s VIEs consist of landfill or dairy manure RNG facilities that are either under construction or in operation. OPAL’s share of design capacity for these facilities ranges from approximately 43,750 MMBtu to 1,327,140 MMBtu per year. These entities are financed through the Opal Term Loan, the Sunoma Loan, or the Paragon Loan. The Paragon Loan was obtained directly by the joint venture and is not consolidated.</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VIEs for which the Company is not the primary beneficiary are accounted for under the equity method. As of December 31, 2025, Sunoma, Central Valley and CMS were consolidated VIEs.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On May 9, 2025, the Company acquired a variable interest in CMS, a joint venture formed with a third party to develop, construct, own, and operate a renewable natural gas facility. The Company holds a 70% membership interest in CMS, and the remaining 30% is held by the third-party partner. Based on an evaluation under ASC Topic 810, </w:t>
      </w:r>
      <w:r>
        <w:rPr>
          <w:rFonts w:ascii="Times New Roman" w:cs="Times New Roman" w:eastAsia="Times New Roman" w:hAnsi="Times New Roman"/>
          <w:sz w:val="20"/>
          <w:szCs w:val="20"/>
          <w:i w:val="1"/>
          <w:iCs w:val="1"/>
          <w:color w:val="auto"/>
        </w:rPr>
        <w:t>Consolidation</w:t>
      </w:r>
      <w:r>
        <w:rPr>
          <w:rFonts w:ascii="Times New Roman" w:cs="Times New Roman" w:eastAsia="Times New Roman" w:hAnsi="Times New Roman"/>
          <w:sz w:val="20"/>
          <w:szCs w:val="20"/>
          <w:color w:val="auto"/>
        </w:rPr>
        <w:t xml:space="preserve"> (“ASC 810”), management determined that CMS is a VIE and that the Company is the primary beneficiary. As a result, CMS has been consolidated in the Company’s financial statements beginning in the second quarter of 2025. At the time of formation of CMS, the Company and the third-party partner made net capital contributions of $4,646 and $1,991, respectively utilized for the purchase of equipment. The carrying value of CMS at formation approximated the aggregate fair value of those assets. A noncontrolling interest (“NCI”) of $1,991 was recognized for the portion of CMS not owned by the Company.</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consolidated balance sheets summarize the major consolidated balance sheet items for consolidated VIEs as of December 31, 2025 and 2024. The information is presented on an aggregate basis based on similar risk and reward characteristics and the nature of our involvement with the VIEs. All VIEs are RNG facilities reported under the RNG Fuel Supply segment, and the Company’s interests are primarily equity-based.</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Company’s ownership interests and carrying values of Investment in Other Entities: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Noble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Pine Bend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4"/>
              <w:spacing w:after="0" w:line="201" w:lineRule="exact"/>
              <w:rPr>
                <w:sz w:val="20"/>
                <w:szCs w:val="20"/>
                <w:color w:val="auto"/>
              </w:rPr>
            </w:pPr>
            <w:r>
              <w:rPr>
                <w:rFonts w:ascii="Times New Roman" w:cs="Times New Roman" w:eastAsia="Times New Roman" w:hAnsi="Times New Roman"/>
                <w:sz w:val="18"/>
                <w:szCs w:val="18"/>
                <w:b w:val="1"/>
                <w:bCs w:val="1"/>
                <w:color w:val="auto"/>
              </w:rPr>
              <w:t>Road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3"/>
              <w:spacing w:after="0" w:line="201" w:lineRule="exact"/>
              <w:rPr>
                <w:sz w:val="20"/>
                <w:szCs w:val="20"/>
                <w:color w:val="auto"/>
              </w:rPr>
            </w:pPr>
            <w:r>
              <w:rPr>
                <w:rFonts w:ascii="Times New Roman" w:cs="Times New Roman" w:eastAsia="Times New Roman" w:hAnsi="Times New Roman"/>
                <w:sz w:val="18"/>
                <w:szCs w:val="18"/>
                <w:b w:val="1"/>
                <w:bCs w:val="1"/>
                <w:color w:val="auto"/>
              </w:rPr>
              <w:t>GREP</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Land2Gas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3"/>
              <w:spacing w:after="0" w:line="201" w:lineRule="exact"/>
              <w:rPr>
                <w:sz w:val="20"/>
                <w:szCs w:val="20"/>
                <w:color w:val="auto"/>
              </w:rPr>
            </w:pPr>
            <w:r>
              <w:rPr>
                <w:rFonts w:ascii="Times New Roman" w:cs="Times New Roman" w:eastAsia="Times New Roman" w:hAnsi="Times New Roman"/>
                <w:sz w:val="18"/>
                <w:szCs w:val="18"/>
                <w:b w:val="1"/>
                <w:bCs w:val="1"/>
                <w:color w:val="auto"/>
                <w:w w:val="95"/>
              </w:rPr>
              <w:t>Paragon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7"/>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Percentage of ownership . . . . . . . . . . .</w:t>
            </w: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6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19,536</w:t>
            </w:r>
          </w:p>
        </w:tc>
        <w:tc>
          <w:tcPr>
            <w:tcW w:w="16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21,097</w:t>
            </w:r>
          </w:p>
        </w:tc>
        <w:tc>
          <w:tcPr>
            <w:tcW w:w="16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c>
          <w:tcPr>
            <w:tcW w:w="160" w:type="dxa"/>
            <w:vAlign w:val="bottom"/>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16,384</w:t>
            </w:r>
          </w:p>
        </w:tc>
        <w:tc>
          <w:tcPr>
            <w:tcW w:w="16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164,817</w:t>
            </w:r>
          </w:p>
        </w:tc>
        <w:tc>
          <w:tcPr>
            <w:tcW w:w="160" w:type="dxa"/>
            <w:vAlign w:val="bottom"/>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$ 223,594</w:t>
            </w:r>
          </w:p>
        </w:tc>
      </w:tr>
      <w:tr>
        <w:trPr>
          <w:trHeight w:val="260"/>
        </w:trPr>
        <w:tc>
          <w:tcPr>
            <w:tcW w:w="32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19,864</w:t>
            </w:r>
          </w:p>
        </w:tc>
        <w:tc>
          <w:tcPr>
            <w:tcW w:w="16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20,755</w:t>
            </w:r>
          </w:p>
        </w:tc>
        <w:tc>
          <w:tcPr>
            <w:tcW w:w="16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160" w:type="dxa"/>
            <w:vAlign w:val="bottom"/>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36,554</w:t>
            </w:r>
          </w:p>
        </w:tc>
        <w:tc>
          <w:tcPr>
            <w:tcW w:w="16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153,456</w:t>
            </w:r>
          </w:p>
        </w:tc>
        <w:tc>
          <w:tcPr>
            <w:tcW w:w="160" w:type="dxa"/>
            <w:vAlign w:val="bottom"/>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$ 231,223</w:t>
            </w:r>
          </w:p>
        </w:tc>
      </w:tr>
    </w:tbl>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2025 and 2024, the carrying value of the Company’s equity method investments exceeded its proportionate share of the underlying net assets of its investees by $122,165 and $129,060, respectively. This basis difference primarily relates to the gain recognized upon the deconsolidation of certain RNG project entities, which increased the Company’s investment basis. The Company determined that this basis difference is attributable to construction in progress and will be amortized over the related assets’ estimated useful life of 20 years beginning when the assets are placed in service. The amortization of this basis difference, which reduces equity in earnings, was $6,895 and $5,835 and reflected in Income from equity method investments in the consolidated statements of operations for the year ended December 31, 2025 and 2024, respectively.</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942" w:right="1440" w:bottom="353"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left="480" w:right="1520" w:hanging="480"/>
        <w:spacing w:after="0" w:line="411" w:lineRule="auto"/>
        <w:tabs>
          <w:tab w:leader="none" w:pos="194"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INVESTMENTS IN OTHER ENTITIES AND VARIABLE INTEREST ENTITIES </w:t>
      </w:r>
      <w:r>
        <w:rPr>
          <w:rFonts w:ascii="Times New Roman" w:cs="Times New Roman" w:eastAsia="Times New Roman" w:hAnsi="Times New Roman"/>
          <w:sz w:val="20"/>
          <w:szCs w:val="20"/>
          <w:color w:val="auto"/>
        </w:rPr>
        <w:t>(cont.)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table summarizes the income from equity method investments: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7"/>
                <w:szCs w:val="17"/>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 . . . . . . . .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112,917</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111,296</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27,665</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45,803</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 . . . .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9,719</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36,100</w:t>
            </w:r>
          </w:p>
        </w:tc>
      </w:tr>
    </w:tbl>
    <w:p>
      <w:pPr>
        <w:spacing w:after="0" w:line="15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A summary of financial information for the assets and liabilities in equity method investees in the aggregate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 .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10,554</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 . . .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305,900</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121,934</w:t>
            </w: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333,466</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132,488</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9"/>
        </w:trPr>
        <w:tc>
          <w:tcPr>
            <w:tcW w:w="644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Current liabilities . . . . . . . . . . . . . . . . . . . . . . . . . . . . . . . . . . . . . . . . . . . . . . . .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35,874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15,993</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81,288</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24,612</w:t>
            </w: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40,605</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Company’s maximum exposure to loss is limited to its equity investment in the unconsolidated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PLANT, AND EQUIPMENT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Property, plant, and equipment, net, consisted of the following as of December 31,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7"/>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Plant and equipment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322,123</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317,926</w:t>
            </w:r>
          </w:p>
        </w:tc>
        <w:tc>
          <w:tcPr>
            <w:tcW w:w="60" w:type="dxa"/>
            <w:vAlign w:val="bottom"/>
          </w:tcPr>
          <w:p>
            <w:pPr>
              <w:spacing w:after="0"/>
              <w:rPr>
                <w:sz w:val="21"/>
                <w:szCs w:val="21"/>
                <w:color w:val="auto"/>
              </w:rPr>
            </w:pPr>
          </w:p>
        </w:tc>
      </w:tr>
      <w:tr>
        <w:trPr>
          <w:trHeight w:val="26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Construction in progress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169,571</w:t>
            </w:r>
          </w:p>
        </w:tc>
        <w:tc>
          <w:tcPr>
            <w:tcW w:w="60" w:type="dxa"/>
            <w:vAlign w:val="bottom"/>
          </w:tcPr>
          <w:p>
            <w:pPr>
              <w:spacing w:after="0"/>
              <w:rPr>
                <w:sz w:val="22"/>
                <w:szCs w:val="22"/>
                <w:color w:val="auto"/>
              </w:rPr>
            </w:pPr>
          </w:p>
        </w:tc>
      </w:tr>
      <w:tr>
        <w:trPr>
          <w:trHeight w:val="297"/>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CNG/RNG fueling stations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90,453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68,899</w:t>
            </w:r>
          </w:p>
        </w:tc>
        <w:tc>
          <w:tcPr>
            <w:tcW w:w="60" w:type="dxa"/>
            <w:vAlign w:val="bottom"/>
          </w:tcPr>
          <w:p>
            <w:pPr>
              <w:spacing w:after="0"/>
              <w:rPr>
                <w:sz w:val="24"/>
                <w:szCs w:val="24"/>
                <w:color w:val="auto"/>
              </w:rPr>
            </w:pPr>
          </w:p>
        </w:tc>
      </w:tr>
      <w:tr>
        <w:trPr>
          <w:trHeight w:val="223"/>
        </w:trPr>
        <w:tc>
          <w:tcPr>
            <w:tcW w:w="64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Finance leases . .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9,550</w:t>
            </w:r>
          </w:p>
        </w:tc>
        <w:tc>
          <w:tcPr>
            <w:tcW w:w="60" w:type="dxa"/>
            <w:vAlign w:val="bottom"/>
          </w:tcPr>
          <w:p>
            <w:pPr>
              <w:spacing w:after="0"/>
              <w:rPr>
                <w:sz w:val="19"/>
                <w:szCs w:val="19"/>
                <w:color w:val="auto"/>
              </w:rPr>
            </w:pPr>
          </w:p>
        </w:tc>
      </w:tr>
      <w:tr>
        <w:trPr>
          <w:trHeight w:val="261"/>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10,064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9,688</w:t>
            </w:r>
          </w:p>
        </w:tc>
        <w:tc>
          <w:tcPr>
            <w:tcW w:w="60" w:type="dxa"/>
            <w:vAlign w:val="bottom"/>
          </w:tcPr>
          <w:p>
            <w:pPr>
              <w:spacing w:after="0"/>
              <w:rPr>
                <w:sz w:val="22"/>
                <w:szCs w:val="22"/>
                <w:color w:val="auto"/>
              </w:rPr>
            </w:pPr>
          </w:p>
        </w:tc>
      </w:tr>
      <w:tr>
        <w:trPr>
          <w:trHeight w:val="240"/>
        </w:trPr>
        <w:tc>
          <w:tcPr>
            <w:tcW w:w="8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628,677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575,634</w:t>
            </w:r>
          </w:p>
        </w:tc>
        <w:tc>
          <w:tcPr>
            <w:tcW w:w="60" w:type="dxa"/>
            <w:vAlign w:val="bottom"/>
          </w:tcPr>
          <w:p>
            <w:pPr>
              <w:spacing w:after="0"/>
              <w:rPr>
                <w:sz w:val="20"/>
                <w:szCs w:val="20"/>
                <w:color w:val="auto"/>
              </w:rPr>
            </w:pPr>
          </w:p>
        </w:tc>
      </w:tr>
      <w:tr>
        <w:trPr>
          <w:trHeight w:val="241"/>
        </w:trPr>
        <w:tc>
          <w:tcPr>
            <w:tcW w:w="6440" w:type="dxa"/>
            <w:vAlign w:val="bottom"/>
            <w:gridSpan w:val="2"/>
          </w:tcPr>
          <w:p>
            <w:pPr>
              <w:spacing w:after="0" w:line="241" w:lineRule="exact"/>
              <w:rPr>
                <w:sz w:val="20"/>
                <w:szCs w:val="20"/>
                <w:color w:val="auto"/>
              </w:rPr>
            </w:pPr>
            <w:r>
              <w:rPr>
                <w:rFonts w:ascii="Times New Roman" w:cs="Times New Roman" w:eastAsia="Times New Roman" w:hAnsi="Times New Roman"/>
                <w:sz w:val="20"/>
                <w:szCs w:val="20"/>
                <w:color w:val="auto"/>
              </w:rPr>
              <w:t>Less: accumulated depreciation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(133,043)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(117,376)</w:t>
            </w:r>
          </w:p>
        </w:tc>
      </w:tr>
      <w:tr>
        <w:trPr>
          <w:trHeight w:val="239"/>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plant, and equipment, net . . . . . . . . . . . . . . . . . . . . . . . . . . . . . . . . . . .</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495,634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458,258</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$87,888 and $68,899 lessor operating lease right of use assets as of December 31, 2025 and 2024, respectively.</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$18,399 and $14,569 lessor operating lease accumulated depreciation for the years ended December 31, 2025 and 2024, respectively.</w:t>
      </w:r>
    </w:p>
    <w:p>
      <w:pPr>
        <w:spacing w:after="0" w:line="179"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and 2024, construction in progress primarily consisted of capital expenditures related to the development of RNG generation facilities as well as RNG dispensing facilities.</w:t>
      </w:r>
    </w:p>
    <w:p>
      <w:pPr>
        <w:spacing w:after="0" w:line="174"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Depreciation expense on property, plant, and equipment for the years ended December 31, 2025 and 2024 was $21,582 and $17,176, including lessor operating lease depreciation of $4,225 and $3,515, respectively.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941" w:right="1440" w:bottom="353"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GOODWILL</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changes in goodwill, if any, by reporting segment from the beginning of the period to the end of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65"/>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5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65"/>
              <w:spacing w:after="0" w:line="201" w:lineRule="exact"/>
              <w:rPr>
                <w:sz w:val="20"/>
                <w:szCs w:val="20"/>
                <w:color w:val="auto"/>
              </w:rPr>
            </w:pPr>
            <w:r>
              <w:rPr>
                <w:rFonts w:ascii="Times New Roman" w:cs="Times New Roman" w:eastAsia="Times New Roman" w:hAnsi="Times New Roman"/>
                <w:sz w:val="18"/>
                <w:szCs w:val="18"/>
                <w:b w:val="1"/>
                <w:bCs w:val="1"/>
                <w:color w:val="auto"/>
              </w:rPr>
              <w:t>Supply</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5"/>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2024 . . . . . . . . . . . . . . . . . . . . . . . . . .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51,155</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54,608</w:t>
            </w: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2025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54,608</w:t>
            </w:r>
          </w:p>
        </w:tc>
      </w:tr>
      <w:tr>
        <w:trPr>
          <w:trHeight w:val="20"/>
        </w:trPr>
        <w:tc>
          <w:tcPr>
            <w:tcW w:w="5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68" w:lineRule="auto"/>
        <w:rPr>
          <w:sz w:val="20"/>
          <w:szCs w:val="20"/>
          <w:color w:val="auto"/>
        </w:rPr>
      </w:pPr>
      <w:r>
        <w:rPr>
          <w:rFonts w:ascii="Times New Roman" w:cs="Times New Roman" w:eastAsia="Times New Roman" w:hAnsi="Times New Roman"/>
          <w:sz w:val="19"/>
          <w:szCs w:val="19"/>
          <w:color w:val="auto"/>
        </w:rPr>
        <w:t>The results of the qualitative assessment indicated that the fair value of the Company’s reporting units exceeded their carrying amounts as of the measurement date, resulting in no impairment loss as of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LOANS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borrowings under the various loan facilities as of December 31, 2025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Effective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0"/>
        </w:trPr>
        <w:tc>
          <w:tcPr>
            <w:tcW w:w="5100" w:type="dxa"/>
            <w:vAlign w:val="bottom"/>
          </w:tcPr>
          <w:p>
            <w:pPr>
              <w:spacing w:after="0"/>
              <w:rPr>
                <w:sz w:val="17"/>
                <w:szCs w:val="17"/>
                <w:color w:val="auto"/>
              </w:rPr>
            </w:pPr>
          </w:p>
        </w:tc>
        <w:tc>
          <w:tcPr>
            <w:tcW w:w="1540" w:type="dxa"/>
            <w:vAlign w:val="bottom"/>
            <w:gridSpan w:val="3"/>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interest rate as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100" w:type="dxa"/>
            <w:vAlign w:val="bottom"/>
          </w:tcPr>
          <w:p>
            <w:pPr>
              <w:spacing w:after="0"/>
              <w:rPr>
                <w:sz w:val="17"/>
                <w:szCs w:val="17"/>
                <w:color w:val="auto"/>
              </w:rPr>
            </w:pPr>
          </w:p>
        </w:tc>
        <w:tc>
          <w:tcPr>
            <w:tcW w:w="1540" w:type="dxa"/>
            <w:vAlign w:val="bottom"/>
            <w:gridSpan w:val="3"/>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280" w:type="dxa"/>
            <w:vAlign w:val="bottom"/>
            <w:gridSpan w:val="2"/>
          </w:tcPr>
          <w:p>
            <w:pPr>
              <w:jc w:val="right"/>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0"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510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7"/>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OPAL Term Loan . . . . . . . . . . . . . . . . . . . . . . . . . . . . . . . . . .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8.8%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321,618</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271,617</w:t>
            </w:r>
          </w:p>
        </w:tc>
        <w:tc>
          <w:tcPr>
            <w:tcW w:w="60" w:type="dxa"/>
            <w:vAlign w:val="bottom"/>
          </w:tcPr>
          <w:p>
            <w:pPr>
              <w:spacing w:after="0"/>
              <w:rPr>
                <w:sz w:val="21"/>
                <w:szCs w:val="2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Revolving Loan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60" w:type="dxa"/>
            <w:vAlign w:val="bottom"/>
          </w:tcPr>
          <w:p>
            <w:pPr>
              <w:spacing w:after="0"/>
              <w:rPr>
                <w:sz w:val="22"/>
                <w:szCs w:val="22"/>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Sunoma Loan . .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19,090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20,846</w:t>
            </w:r>
          </w:p>
        </w:tc>
        <w:tc>
          <w:tcPr>
            <w:tcW w:w="60" w:type="dxa"/>
            <w:vAlign w:val="bottom"/>
          </w:tcPr>
          <w:p>
            <w:pPr>
              <w:spacing w:after="0"/>
              <w:rPr>
                <w:sz w:val="22"/>
                <w:szCs w:val="22"/>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Equipment Loan . . . . . . . . . . . . . . . . . . . . . . . . . . . . . . . . . . . .</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Less: unamortized debt issuance costs . . . . . . . . . . . . . . . . . . .</w:t>
            </w: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(9,142)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(9,839)</w:t>
            </w: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Less: current portion of long-term loans . . . . . . . . . . . . . . . . .</w:t>
            </w: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(15,062)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(12,621)</w:t>
            </w: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long-term loan . . . . . . . . . . . . . . . . . . . . . . . . . . . . . . .</w:t>
            </w:r>
          </w:p>
        </w:tc>
        <w:tc>
          <w:tcPr>
            <w:tcW w:w="144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337,063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285,003</w:t>
            </w:r>
          </w:p>
        </w:tc>
        <w:tc>
          <w:tcPr>
            <w:tcW w:w="6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principal maturities of debt are expected as follows, excluding any undrawn debt facilities: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Fiscal year:</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15,062</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15,087</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318,191</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2030. . . . . . . . . . . . . . . . . . . . . . . . . . . . . . . . . . . . . . . . . . . . . . . . . . . . . . . . . . . . . . . . . . . . . . . . . . .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2,589</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7,943</w:t>
            </w:r>
          </w:p>
        </w:tc>
      </w:tr>
      <w:tr>
        <w:trPr>
          <w:trHeight w:val="240"/>
        </w:trPr>
        <w:tc>
          <w:tcPr>
            <w:tcW w:w="7980" w:type="dxa"/>
            <w:vAlign w:val="bottom"/>
          </w:tcPr>
          <w:p>
            <w:pPr>
              <w:spacing w:after="0"/>
              <w:rPr>
                <w:sz w:val="20"/>
                <w:szCs w:val="20"/>
                <w:color w:val="auto"/>
              </w:rPr>
            </w:pP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361,267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Opal Term Loan</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September 1, 2023, the Company restructured its existing credit agreement and entered into a new senior secured credit facility (the “Credit Agreement”) with OPAL Fuels Intermediate Holding Company LLC (“OPAL Intermediate Holdco”) as the borrower (“Borrower”), direct and indirect subsidiaries of the Borrower as guarantors (the “Guarantors”), group of banks as lenders and Bank of America, N.A., as administrative agent. The Credit Agreement provides for up to $450,000 of initial and delayed draw term loans (with such delayed draw term loans available for up to 18 months after closing) and $50,000 of revolving loans. The amounts outstanding under the Credit Agreement are secured by the assets of the indirect subsidiaries of OPAL Intermediate Holdco. The outstanding loans under the Credit Agreement initially bear interest at an annual rate of Term SOFR plus margin. The margin increases over time: 3.5% for years 0 – 3, 3.75% for years 3 – 4, and 4.0% thereafter. Commitment fee accrues on the daily unused amount</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941" w:right="1440" w:bottom="353"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LOANS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at 0.75% per annum. Commencing March 31, 2025, the outstanding principal amount of the term loans was scheduled to amortize at a rate of 1% per quarter and the Borrower is obligated to pay a leverage based cash sweep ranging from 25% to 100% of distributable cash of Borrower and the Guarantors, and subject to certain other mandatory prepayment requirements. The term and revolving loans mature on September 1, 2028.</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Credit Agreement requires the Borrower to maintain a consolidated debt service coverage ratio of not less than 1.2 to 1.0, as tested on a trailing four quarters basis as of the last day of each fiscal quarter during the term commencing with the quarter ended December 31, 2023, and to maintain a consolidated debt to cash flow ratio of not greater than 4.5 to 1.0 during the delayed draw availability period, and not greater than 4.0 to 1.0 thereafter.</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Additionally, the OPAL Term Loan contains restrictions on distributions and additional indebtedness. On March 3, 2025, the Company entered into the first amendment of the Credit Agreement (the “Credit Agreement Amendment”). The Credit Agreement Amendment changes certain covenants, extends the availability period for delay draw term loans under the Credit Agreement through March 5, 2026, and extends the commencement of repayment of such term loans until March 31, 2026. The Credit Agreement Amendment was accounted for as a modification during the year ended December 31, 2025.</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the Company had utilized $14,577 of availability under the revolver loan to provide for the issuance of letters of credit to support the operations of the Borrower and the Guarantors.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Sunoma Loans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On July 19, 2022, Sunoma, an indirect wholly-owned subsidiary of the Company, completed the conversion of the construction loan into a permanent loan with aggregate principal amount of $23,000. The maturity date is July 19, 2033. The outstanding loans under the Sunoma Loan Agreement bear interest at annual fixed rates of 7.8%, and 8.2% per annum during the term. The amounts outstanding under the Sunoma Loan are secured by the assets of Sunoma.</w:t>
      </w:r>
    </w:p>
    <w:p>
      <w:pPr>
        <w:spacing w:after="0" w:line="15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also utilized $927 for the issuance of letters of credit to support the operations. The amounts outstanding under the Sunoma Loan are secured by the assets of Sunoma.</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also entered into three equipment loans to finance the purchase of certain machinery. These loans are secured by the underlying machinery and have maturities ranging from 2026 to 2028.</w:t>
      </w:r>
    </w:p>
    <w:p>
      <w:pPr>
        <w:spacing w:after="0" w:line="253" w:lineRule="exact"/>
        <w:rPr>
          <w:sz w:val="20"/>
          <w:szCs w:val="20"/>
          <w:color w:val="auto"/>
        </w:rPr>
      </w:pPr>
    </w:p>
    <w:p>
      <w:pPr>
        <w:ind w:right="7900"/>
        <w:spacing w:after="0" w:line="529" w:lineRule="auto"/>
        <w:tabs>
          <w:tab w:leader="none" w:pos="194" w:val="left"/>
        </w:tabs>
        <w:numPr>
          <w:ilvl w:val="0"/>
          <w:numId w:val="5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LEASES Lessor Contracts</w:t>
      </w:r>
    </w:p>
    <w:p>
      <w:pPr>
        <w:spacing w:after="0" w:line="231" w:lineRule="auto"/>
        <w:rPr>
          <w:sz w:val="20"/>
          <w:szCs w:val="20"/>
          <w:color w:val="auto"/>
        </w:rPr>
      </w:pPr>
      <w:r>
        <w:rPr>
          <w:rFonts w:ascii="Times New Roman" w:cs="Times New Roman" w:eastAsia="Times New Roman" w:hAnsi="Times New Roman"/>
          <w:sz w:val="20"/>
          <w:szCs w:val="20"/>
          <w:i w:val="1"/>
          <w:iCs w:val="1"/>
          <w:color w:val="auto"/>
        </w:rPr>
        <w:t>Power Purchase Agreements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Power purchase agreements (“PPAs”) are for the sale of electricity generated at our Renewable Power facilities. All of our Renewable Power facilities operate under fixed pricing or indexed pricing based on market prices. Two of our Renewable Power facilities provide the purchaser with the right to use the power plant during the contract term and are classified as operating leases.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941" w:right="1440" w:bottom="353"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Fuel Provider Agreements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Fuel provider agreements (“FPAs”) are for the sale of brown gas, service and maintenance of sites. The Company is contracted to design and build a Fueling Station on the customer’s property in exchange for the Company providing CNG/RNG and related services to the customer for a determined number of years. The majority of our FPAs include a lease component that provides the customer with the right to use the Fueling Stations and these arrangements are classified as operating leases.</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September 26, 2025, the Company amended its agreement with a customer to extend the lease term through October 31, 2031, with automatic annual renewals unless either party provides notice. The customer holds a purchase option to acquire the underlying CNG equipment for $1, which the Company is reasonably certain will be exercised. The arrangement includes variable lease payments based on CNG volumes dispensed that are not based on an index or rate. As part of the lease modification, the Company reclassified $2,050 of previously accrued lease receivables as a deferred lease incentive, which will be recognized as a reduction of lease income over the amended lease term. The modification did not change the lease’s classification as an operating lease.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Sales-Type Leases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2025, the Company entered into FPAs with customer in Canada and determined that these arrangements meet the criteria for classification as sales-type leases. At lease commencement, the underlying assets were derecognized and a lease receivable was recorded at the present value of future lease payments, discounted using the rate implicit in the lease. At that time, $7,734 was recognized within fuel station services revenues and $6,363 was recorded in cost of sales — fuel station services.</w:t>
      </w:r>
    </w:p>
    <w:p>
      <w:pPr>
        <w:spacing w:after="0" w:line="172"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a maturity analysis of lease receivables reflecting undiscounted cash flows to be received on an annual basis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Fiscal year:</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2026. . . . . . . . . . . . . . . . . . . . . . . . . . . . . . . . . . . . . . . . . . . . . . . . . . . . . . . . . . . . . . . . . . . . . . . . . . .</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1,557</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1,677</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9,261</w:t>
            </w: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Total undiscounted cash flows . . . . . . . . . . . . . . . . . . . . . . . . . . . . . . . . . . . . . . . . . . . . . . . . . . . . . .</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17,446</w:t>
            </w:r>
          </w:p>
        </w:tc>
      </w:tr>
      <w:tr>
        <w:trPr>
          <w:trHeight w:val="239"/>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Less: Discount based on implicit rate . . . . . . . . . . . . . . . . . . . . . . . . . . . . . . . . . . . . . . . . . . . . . . . . .</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9,681</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Plus: Unguaranteed residual asset . . . . . . . .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459</w:t>
            </w: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Net investment in sales-type lease . . . . . . . . . . . . . . . . . . . . . . . . . . . . . . . . . . . . . . . . . . . . . . . . . . .</w:t>
            </w:r>
          </w:p>
        </w:tc>
        <w:tc>
          <w:tcPr>
            <w:tcW w:w="4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8,224</w:t>
            </w:r>
          </w:p>
        </w:tc>
      </w:tr>
      <w:tr>
        <w:trPr>
          <w:trHeight w:val="20"/>
        </w:trPr>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Lessee Contracts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Site Leases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through its indirectly owned subsidiaries, enters into long-term site leases on landfills and dairy farms for the construction and operation of its RNG generation facilities. While most site leases require immaterial lease payments, the Company has three material operating lease arrangements within its Central Valley project: one site at the MD Digester (“MD”) and two sites at the VS Digester (“VS1” and “VS2”).</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MD and VS1 site leases became effective in March 2021 and extend through the 20-year anniversary of the respective Commercial Operation Date (“COD”). Rent payments are fixed over the lease term commencing on the Effective date.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360"/>
          </w:cols>
          <w:pgMar w:left="1440" w:top="941" w:right="1440" w:bottom="353"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VS2 site lease became effective in July 2023 and continues through the 20-year anniversary of COD. Rent payments include fixed 5% escalations beginning on the fifth anniversary of COD and every fifth anniversary thereafter. Rent does not commence until the calendar quarter in which COD occurs, resulting in a rent-free period between the Effective Date and COD.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These three leases automatically renew for successive two-year periods, up to a maximum total lease term of 34 years and 11 months from the respective Effective Date. Either party may elect not to renew by providing written notice before the end of the then-current term and each lease includes termination rights if COD is not achieved within a reasonable period.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2024, the Company revised the commercial operation date for its leases for MD, VS1 and VS2 which changed the lease term for those leases. The Company treated this as a lease modification and increased its right-of-use asset and corresponding lease liability by $1,109 on its consolidated balance sheets as of December 31, 2024, using the incremental borrowing rate from 7.28% to 7.53%.</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also has one site lease associated with one of its FPAs, which it classified as a finance lease based on the terms of the arrangement. During the year ended December 31, 2025, the Company derecognized the ROU asset and corresponding lease liability associated with this lease following a formal release from all future lease obligations by the vendor under the current agreement. The ROU asset had a carrying value of approximately $5,397 at the time of termination. The derecognition resulted in a $600 gain recognized in Other income.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Office Lease</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leases office and warehouse space under an operating lease that originally commenced on January 16, 2015. The expiration date of the lease is January 31, 2028 the Company has a single 36-month renewal option, exercisable through written notice. The lease includes scheduled base rent escalations of 4% annually.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Vehicle Leases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leases vehicles primarily used to perform service and maintenance activities for Fueling Stations operated by OPAL Fuels Station Services, as well as for facility maintenance within its Renewable Power and RNG subsidiaries. The total lease payments represent substantially all of the fair value of the underlying assets and therefore they are recorded as finance leases.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Right-of-use assets and Lease liabilities as of December 31, 2025 and 2024 are as follows:</w:t>
      </w:r>
    </w:p>
    <w:p>
      <w:pPr>
        <w:spacing w:after="0" w:line="178"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3820" w:type="dxa"/>
            <w:vAlign w:val="bottom"/>
            <w:tcBorders>
              <w:bottom w:val="single" w:sz="8" w:color="auto"/>
            </w:tcBorders>
          </w:tcPr>
          <w:p>
            <w:pPr>
              <w:ind w:left="920"/>
              <w:spacing w:after="0" w:line="201" w:lineRule="exact"/>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8"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rPr>
          <w:sz w:val="20"/>
          <w:szCs w:val="20"/>
          <w:color w:val="auto"/>
        </w:rPr>
      </w:pPr>
      <w:r>
        <w:rPr>
          <w:rFonts w:ascii="Times New Roman" w:cs="Times New Roman" w:eastAsia="Times New Roman" w:hAnsi="Times New Roman"/>
          <w:sz w:val="20"/>
          <w:szCs w:val="20"/>
          <w:color w:val="auto"/>
        </w:rPr>
        <w:t>Assets:</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Operating leases . . . . . . . . . . . . .</w:t>
        <w:tab/>
        <w:t>Other long-term assets</w:t>
      </w:r>
    </w:p>
    <w:p>
      <w:pPr>
        <w:spacing w:after="0" w:line="37" w:lineRule="exact"/>
        <w:rPr>
          <w:sz w:val="20"/>
          <w:szCs w:val="20"/>
          <w:color w:val="auto"/>
        </w:rPr>
      </w:pPr>
    </w:p>
    <w:p>
      <w:pPr>
        <w:ind w:right="900"/>
        <w:spacing w:after="0" w:line="264" w:lineRule="auto"/>
        <w:rPr>
          <w:sz w:val="20"/>
          <w:szCs w:val="20"/>
          <w:color w:val="auto"/>
        </w:rPr>
      </w:pPr>
      <w:r>
        <w:rPr>
          <w:rFonts w:ascii="Times New Roman" w:cs="Times New Roman" w:eastAsia="Times New Roman" w:hAnsi="Times New Roman"/>
          <w:sz w:val="20"/>
          <w:szCs w:val="20"/>
          <w:color w:val="auto"/>
        </w:rPr>
        <w:t>Finance leases . . . . . . . . . . . . . . . Property, plant and equipment, net Total lease right-of-use assets . . .</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Liabilities:</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Short-term operating leases . . . .</w:t>
      </w:r>
      <w:r>
        <w:rPr>
          <w:sz w:val="20"/>
          <w:szCs w:val="20"/>
          <w:color w:val="auto"/>
        </w:rPr>
        <w:tab/>
      </w:r>
      <w:r>
        <w:rPr>
          <w:rFonts w:ascii="Times New Roman" w:cs="Times New Roman" w:eastAsia="Times New Roman" w:hAnsi="Times New Roman"/>
          <w:sz w:val="19"/>
          <w:szCs w:val="19"/>
          <w:color w:val="auto"/>
        </w:rPr>
        <w:t>Accrued expenses and other current liabilities</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Short-term finance leases . . . . . .</w:t>
      </w:r>
      <w:r>
        <w:rPr>
          <w:sz w:val="20"/>
          <w:szCs w:val="20"/>
          <w:color w:val="auto"/>
        </w:rPr>
        <w:tab/>
      </w:r>
      <w:r>
        <w:rPr>
          <w:rFonts w:ascii="Times New Roman" w:cs="Times New Roman" w:eastAsia="Times New Roman" w:hAnsi="Times New Roman"/>
          <w:sz w:val="19"/>
          <w:szCs w:val="19"/>
          <w:color w:val="auto"/>
        </w:rPr>
        <w:t>Accrued expenses and other current liabilities</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Long-term operating leases . . . . .</w:t>
        <w:tab/>
        <w:t>Other long-term liabilities</w:t>
      </w:r>
    </w:p>
    <w:p>
      <w:pPr>
        <w:spacing w:after="0" w:line="3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Long-term finance leases . . . . . .</w:t>
        <w:tab/>
        <w:t>Other long-term liabilities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lease liabilities . . . . . . . . . .</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13,057</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12,731</w:t>
            </w:r>
          </w:p>
        </w:tc>
      </w:tr>
      <w:tr>
        <w:trPr>
          <w:trHeight w:val="266"/>
        </w:trPr>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2,725</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9,550</w:t>
            </w:r>
          </w:p>
        </w:tc>
      </w:tr>
      <w:tr>
        <w:trPr>
          <w:trHeight w:val="240"/>
        </w:trPr>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15,782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22,281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94"/>
        </w:trPr>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r>
      <w:tr>
        <w:trPr>
          <w:trHeight w:val="260"/>
        </w:trPr>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2,584</w:t>
            </w:r>
          </w:p>
        </w:tc>
      </w:tr>
      <w:tr>
        <w:trPr>
          <w:trHeight w:val="260"/>
        </w:trPr>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12,537</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12,155</w:t>
            </w:r>
          </w:p>
        </w:tc>
      </w:tr>
      <w:tr>
        <w:trPr>
          <w:trHeight w:val="266"/>
        </w:trPr>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1,565</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7,558</w:t>
            </w:r>
          </w:p>
        </w:tc>
      </w:tr>
      <w:tr>
        <w:trPr>
          <w:trHeight w:val="240"/>
        </w:trPr>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16,115</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23,077</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6480" w:space="340"/>
            <w:col w:w="254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941" w:right="1440" w:bottom="353"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200" w:hanging="200"/>
        <w:spacing w:after="0"/>
        <w:tabs>
          <w:tab w:leader="none" w:pos="2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table below presents components of the Company’s lease expense for the years ended December 31,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7"/>
                <w:szCs w:val="17"/>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expense . . . . . . . . . . . . . . . . . . . . . . . . . . . . . . . . . . . . . . . . . . . .</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1,652</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right-of-use assets – finance leases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1,493</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1,923</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on lease liabilities – finance leases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w:t>
            </w: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3,437</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4,128</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Company’s weighted-average remaining lease terms and weighted-average discount rates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remaining lease term (years)</w:t>
            </w: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 . . . . . .</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19.4 years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20.6 years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leases . . . . . . . . . . . . . . . . . . . . . . . . . . . . . . . . . . . . . . . . . . . . . . . . . . . .</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2.5 years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5.9 years</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Weighted average discount rate</w:t>
            </w: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leases . . . . . . . . . . . . . . . . . . . . . . . . . . . . . . . . . . . . . . . . . . . . . . . . . . .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r>
    </w:tbl>
    <w:p>
      <w:pPr>
        <w:spacing w:after="0" w:line="13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table below provides the total amount of lease payments on an undiscounted basis on our lease contracts as of December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5020" w:type="dxa"/>
            <w:vAlign w:val="bottom"/>
          </w:tcPr>
          <w:p>
            <w:pPr>
              <w:jc w:val="right"/>
              <w:ind w:right="4000"/>
              <w:spacing w:after="0"/>
              <w:rPr>
                <w:sz w:val="20"/>
                <w:szCs w:val="20"/>
                <w:color w:val="auto"/>
              </w:rPr>
            </w:pPr>
            <w:r>
              <w:rPr>
                <w:rFonts w:ascii="Times New Roman" w:cs="Times New Roman" w:eastAsia="Times New Roman" w:hAnsi="Times New Roman"/>
                <w:sz w:val="20"/>
                <w:szCs w:val="20"/>
                <w:color w:val="auto"/>
                <w:w w:val="96"/>
              </w:rPr>
              <w:t>Fiscal year:</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1,628</w:t>
            </w:r>
          </w:p>
        </w:tc>
        <w:tc>
          <w:tcPr>
            <w:tcW w:w="640" w:type="dxa"/>
            <w:vAlign w:val="bottom"/>
            <w:gridSpan w:val="2"/>
          </w:tcPr>
          <w:p>
            <w:pPr>
              <w:jc w:val="right"/>
              <w:ind w:right="27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3,017</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2028. . . . . . . . . . . . . . . . . . . . . . . . . . . . . . . . . . . . . . . . . . . . . .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1,651</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2029. . . . . . . . . . . . . . . . . . . . . . . . . . . . . . . . . . . . . . . . . . . . . .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1,258</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2030. . . . . . . . . . . . . . . . . . . . . . . . . . . . . . . . . . . . . . . . . . . . . .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1,129</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1,209</w:t>
            </w: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Thereafter . . . . . . . . . . . . . . . . . . . . . . . . . . . . . . . . . . . . . . . . .</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18,267</w:t>
            </w: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18,267</w:t>
            </w:r>
          </w:p>
        </w:tc>
      </w:tr>
      <w:tr>
        <w:trPr>
          <w:trHeight w:val="24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undiscounted cashflows . . . . . . . . . . . . . . . . . . . . . . . . . .</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25,034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3,124</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28,158</w:t>
            </w:r>
          </w:p>
        </w:tc>
      </w:tr>
      <w:tr>
        <w:trPr>
          <w:trHeight w:val="239"/>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Less: Discount based on incremental borrowing rate . . . . . . . .</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11,729</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12,043</w:t>
            </w:r>
          </w:p>
        </w:tc>
      </w:tr>
      <w:tr>
        <w:trPr>
          <w:trHeight w:val="24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.Totalleaseliabilities.........................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13,305</w:t>
            </w:r>
          </w:p>
        </w:tc>
        <w:tc>
          <w:tcPr>
            <w:tcW w:w="640" w:type="dxa"/>
            <w:vAlign w:val="bottom"/>
            <w:gridSpan w:val="2"/>
          </w:tcPr>
          <w:p>
            <w:pPr>
              <w:jc w:val="right"/>
              <w:ind w:right="27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16,115</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Short-term lease expense was immaterial for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DERIVATIVE FINANCIAL INSTRUMENTS AND FAIR VALUE MEASUREMENTS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Commodity Swap Contracts</w:t>
      </w:r>
    </w:p>
    <w:p>
      <w:pPr>
        <w:spacing w:after="0" w:line="15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utilizes commodity swap contracts to hedge against the unfavorable price fluctuations in market prices of electricity and natural gas. The Company does not apply hedge accounting to these contracts. These contracts are considered to be Level 2 instruments in the fair value hierarchy.</w:t>
      </w:r>
    </w:p>
    <w:p>
      <w:pPr>
        <w:spacing w:after="0" w:line="15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 entered into an International Swaps and Derivatives Association (“ISDA”) agreement with NextEra, a related party in November 2022. Pursuant to the agreement, in December 2024 the Company entered in 15-month pay variable, receive fixed cash settled electricity commodity swap with NextEra. The Company will receive Fixed Price $56.15 per MWh and pay Floating Price. Total notional quantity of the contract is 10,919 MWh. The Company applies fair value accounting under ASC 815 for this transaction.</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F-30</w:t>
      </w:r>
    </w:p>
    <w:p>
      <w:pPr>
        <w:sectPr>
          <w:pgSz w:w="12240" w:h="15840" w:orient="portrait"/>
          <w:cols w:equalWidth="0" w:num="1">
            <w:col w:w="9360"/>
          </w:cols>
          <w:pgMar w:left="1440" w:top="941" w:right="1440" w:bottom="348"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8.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the Company entered into multiple ISDA agreements with various banks for pay-variable, receive-fixed, cash-settled natural gas commodity swaps with fixed prices ranging from $3.88 to $4.53 per MMBTU and total notional quantity of 7,200,000 MMBTUs. The Company applies fair value accounting under ASC 815 for these transactions.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effect of commodity swaps on the consolidated statements of operations for the years ended December 31, 2025 and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 (loss)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6"/>
          </w:tcPr>
          <w:p>
            <w:pPr>
              <w:jc w:val="right"/>
              <w:ind w:right="7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6"/>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recognized</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84"/>
              <w:spacing w:after="0" w:line="19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82"/>
              <w:spacing w:after="0" w:line="191"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60" w:type="dxa"/>
            <w:vAlign w:val="bottom"/>
          </w:tcPr>
          <w:p>
            <w:pPr>
              <w:spacing w:after="0"/>
              <w:rPr>
                <w:sz w:val="17"/>
                <w:szCs w:val="17"/>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Derivatives not designated as hedging</w:t>
            </w: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5"/>
        </w:trPr>
        <w:tc>
          <w:tcPr>
            <w:tcW w:w="40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instruments:</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swaps – realized (loss) gain . . . . . . .</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Revenues-Renewable Power</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60" w:type="dxa"/>
            <w:vAlign w:val="bottom"/>
          </w:tcPr>
          <w:p>
            <w:pPr>
              <w:spacing w:after="0"/>
              <w:rPr>
                <w:sz w:val="22"/>
                <w:szCs w:val="22"/>
                <w:color w:val="auto"/>
              </w:rPr>
            </w:pPr>
          </w:p>
        </w:tc>
      </w:tr>
      <w:tr>
        <w:trPr>
          <w:trHeight w:val="26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swaps – unrealized (loss) gain . . . . .</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Revenues-Renewable Power</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(704)</w:t>
            </w:r>
          </w:p>
        </w:tc>
      </w:tr>
      <w:tr>
        <w:trPr>
          <w:trHeight w:val="26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swaps – realized gain . . . . . . . . . . . .</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Revenues-RNG Fuel</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swaps – unrealized gain . . . . . . . . . .</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Revenues-RNG Fuel</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40"/>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Total realized and unrealized gain . . . . . . . . . . . .</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4,427</w:t>
            </w:r>
          </w:p>
        </w:tc>
        <w:tc>
          <w:tcPr>
            <w:tcW w:w="120" w:type="dxa"/>
            <w:vAlign w:val="bottom"/>
          </w:tcPr>
          <w:p>
            <w:pPr>
              <w:spacing w:after="0"/>
              <w:rPr>
                <w:sz w:val="20"/>
                <w:szCs w:val="20"/>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derivative assets and liabilities related to commodity swaps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193"/>
        </w:trPr>
        <w:tc>
          <w:tcPr>
            <w:tcW w:w="4160" w:type="dxa"/>
            <w:vAlign w:val="bottom"/>
          </w:tcPr>
          <w:p>
            <w:pPr>
              <w:spacing w:after="0"/>
              <w:rPr>
                <w:sz w:val="16"/>
                <w:szCs w:val="16"/>
                <w:color w:val="auto"/>
              </w:rPr>
            </w:pPr>
          </w:p>
        </w:tc>
        <w:tc>
          <w:tcPr>
            <w:tcW w:w="1240" w:type="dxa"/>
            <w:vAlign w:val="bottom"/>
            <w:gridSpan w:val="3"/>
          </w:tcPr>
          <w:p>
            <w:pPr>
              <w:jc w:val="right"/>
              <w:ind w:right="16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1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8"/>
              </w:rPr>
              <w:t>Location of Fair value</w:t>
            </w:r>
          </w:p>
        </w:tc>
      </w:tr>
      <w:tr>
        <w:trPr>
          <w:trHeight w:val="209"/>
        </w:trPr>
        <w:tc>
          <w:tcPr>
            <w:tcW w:w="4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recognized in Balance Sheet</w:t>
            </w:r>
          </w:p>
        </w:tc>
      </w:tr>
      <w:tr>
        <w:trPr>
          <w:trHeight w:val="243"/>
        </w:trPr>
        <w:tc>
          <w:tcPr>
            <w:tcW w:w="4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Derivatives not designated as hedging</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25"/>
        </w:trPr>
        <w:tc>
          <w:tcPr>
            <w:tcW w:w="416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instruments: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unrealized gain commodity</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Prepaid expense and other</w:t>
            </w:r>
          </w:p>
        </w:tc>
      </w:tr>
      <w:tr>
        <w:trPr>
          <w:trHeight w:val="223"/>
        </w:trPr>
        <w:tc>
          <w:tcPr>
            <w:tcW w:w="41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swaps . . . . . . . . . . . . . . . . . . . . . . . . . . . . . . . . .</w:t>
            </w:r>
          </w:p>
        </w:tc>
        <w:tc>
          <w:tcPr>
            <w:tcW w:w="240" w:type="dxa"/>
            <w:vAlign w:val="bottom"/>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1,933</w:t>
            </w:r>
          </w:p>
        </w:tc>
        <w:tc>
          <w:tcPr>
            <w:tcW w:w="120" w:type="dxa"/>
            <w:vAlign w:val="bottom"/>
          </w:tcPr>
          <w:p>
            <w:pPr>
              <w:spacing w:after="0"/>
              <w:rPr>
                <w:sz w:val="19"/>
                <w:szCs w:val="19"/>
                <w:color w:val="auto"/>
              </w:rPr>
            </w:pPr>
          </w:p>
        </w:tc>
        <w:tc>
          <w:tcPr>
            <w:tcW w:w="400" w:type="dxa"/>
            <w:vAlign w:val="bottom"/>
            <w:gridSpan w:val="2"/>
          </w:tcPr>
          <w:p>
            <w:pPr>
              <w:jc w:val="right"/>
              <w:ind w:right="1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current assets</w:t>
            </w: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unrealized loss commodity</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Accrued expenses and other</w:t>
            </w:r>
          </w:p>
        </w:tc>
      </w:tr>
      <w:tr>
        <w:trPr>
          <w:trHeight w:val="223"/>
        </w:trPr>
        <w:tc>
          <w:tcPr>
            <w:tcW w:w="41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swaps . . . . . . . . . . . . . . . . . . . . . . . . . . . . . . . . .</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(92)</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w:t>
            </w:r>
          </w:p>
        </w:tc>
        <w:tc>
          <w:tcPr>
            <w:tcW w:w="25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current liabilities</w:t>
            </w: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Non – current portion of unrealized gain</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23"/>
        </w:trPr>
        <w:tc>
          <w:tcPr>
            <w:tcW w:w="41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commodity swaps . . . . . . . . . . . . . . . . . . . . . . .</w:t>
            </w: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5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Other long-term assets</w:t>
            </w:r>
          </w:p>
        </w:tc>
      </w:tr>
      <w:tr>
        <w:trPr>
          <w:trHeight w:val="257"/>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Non – current portion of unrealized loss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25"/>
        </w:trPr>
        <w:tc>
          <w:tcPr>
            <w:tcW w:w="41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commodity swaps . . . . . . . . . . . . . . . . . . . . . . .</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2540" w:type="dxa"/>
            <w:vAlign w:val="bottom"/>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Other long-term liabilities</w:t>
            </w:r>
          </w:p>
        </w:tc>
      </w:tr>
      <w:tr>
        <w:trPr>
          <w:trHeight w:val="235"/>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Total commodity swaps – unrealized</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29"/>
        </w:trPr>
        <w:tc>
          <w:tcPr>
            <w:tcW w:w="416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gain (loss) . . . . . . . . . . . . . . . . . . . . . . . . . . . . .</w:t>
            </w:r>
          </w:p>
        </w:tc>
        <w:tc>
          <w:tcPr>
            <w:tcW w:w="240" w:type="dxa"/>
            <w:vAlign w:val="bottom"/>
          </w:tcPr>
          <w:p>
            <w:pPr>
              <w:jc w:val="right"/>
              <w:ind w:right="43"/>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1,990</w:t>
            </w:r>
          </w:p>
        </w:tc>
        <w:tc>
          <w:tcPr>
            <w:tcW w:w="120" w:type="dxa"/>
            <w:vAlign w:val="bottom"/>
          </w:tcPr>
          <w:p>
            <w:pPr>
              <w:spacing w:after="0"/>
              <w:rPr>
                <w:sz w:val="19"/>
                <w:szCs w:val="19"/>
                <w:color w:val="auto"/>
              </w:rPr>
            </w:pPr>
          </w:p>
        </w:tc>
        <w:tc>
          <w:tcPr>
            <w:tcW w:w="400" w:type="dxa"/>
            <w:vAlign w:val="bottom"/>
            <w:gridSpan w:val="2"/>
          </w:tcPr>
          <w:p>
            <w:pPr>
              <w:jc w:val="right"/>
              <w:ind w:right="1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There were no amounts offset in the consolidated balance sheets as of the period-end dates. In addition, there were no collateral balances with counterparties outstanding as of the period-end dates.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Convertible Note Receivable</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In July 2024, the Company purchased a $750 convertible note with a 12-month term, which is classified as available-for-sale and measured at fair value with changes recognized in earnings. The note was a Level 3 financial instrument, and its fair value was presented as a separate line item in the consolidated balance sheets. As of December 31, 2024, the note’s fair value was $760, with changes in fair value (including interest income) recorded in other income. In the third quarter of 2025, the investee underwent an exit event, the note has been paid and the Company received $1,377 in cash proceeds, with an additional $198 held in escrow and recorded in prepaid expenses and other current assets.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There were no transfers of assets between Level 1, Level 2, or Level 3 of the fair value hierarchy as of December 31, 2025 and 2024.</w:t>
      </w:r>
    </w:p>
    <w:p>
      <w:pPr>
        <w:sectPr>
          <w:pgSz w:w="12240" w:h="15840" w:orient="portrait"/>
          <w:cols w:equalWidth="0" w:num="1">
            <w:col w:w="9360"/>
          </w:cols>
          <w:pgMar w:left="1440" w:top="941" w:right="1440" w:bottom="353"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360"/>
          </w:cols>
          <w:pgMar w:left="1440" w:top="941" w:right="1440" w:bottom="353"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8. DERIVATIVE FINANCIAL INSTRUMENTS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Company’s assets and liabilities that are measured at fair value on a recurring basis include the following as of December 31, 2025 and 2024, set forth by level, within the fair value hierarchy: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Fair value as of December 31, 2025</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05"/>
        </w:trPr>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40"/>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6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60"/>
        </w:trPr>
        <w:tc>
          <w:tcPr>
            <w:tcW w:w="4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22,969</w:t>
            </w:r>
          </w:p>
        </w:tc>
      </w:tr>
      <w:tr>
        <w:trPr>
          <w:trHeight w:val="260"/>
        </w:trPr>
        <w:tc>
          <w:tcPr>
            <w:tcW w:w="4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Commodity swap contracts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w:t>
            </w:r>
          </w:p>
        </w:tc>
      </w:tr>
      <w:tr>
        <w:trPr>
          <w:trHeight w:val="459"/>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05"/>
        </w:trPr>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440"/>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6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60"/>
        </w:trPr>
        <w:tc>
          <w:tcPr>
            <w:tcW w:w="4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19,786</w:t>
            </w:r>
          </w:p>
        </w:tc>
      </w:tr>
      <w:tr>
        <w:trPr>
          <w:trHeight w:val="260"/>
        </w:trPr>
        <w:tc>
          <w:tcPr>
            <w:tcW w:w="4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Convertible note receivable . . . . . . . . . . . . . . . .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w:t>
            </w:r>
          </w:p>
        </w:tc>
      </w:tr>
      <w:tr>
        <w:trPr>
          <w:trHeight w:val="260"/>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0"/>
        </w:trPr>
        <w:tc>
          <w:tcPr>
            <w:tcW w:w="4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Commodity swap contracts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RELATED PARTIES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Related parties are represented by Fortistar LLC (“Fortistar”) and other affiliates, subsidiaries and entities under common control with Fortistar or NextEra.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Redeemable Preferred Non-controlling Interests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Upon completion of the transaction contemplated by the Business Combination Agreement dated December 2, 2021, by and among ArcLight, OPAL Fuels LLC, and OPAL HoldCo (“Business Combination”), the Company assumed Series A preferred units issued to Nextera. Series A preferred units became issued and outstanding at OPAL Fuels and were recorded as redeemable preferred non-controlling interests. The holder’s redemption option became exercisable on November 29, 2025, and NextEra provided written notice of its intent to exercise the redemption option during the fourth quarter of 2025. See </w:t>
      </w:r>
      <w:r>
        <w:rPr>
          <w:rFonts w:ascii="Times New Roman" w:cs="Times New Roman" w:eastAsia="Times New Roman" w:hAnsi="Times New Roman"/>
          <w:sz w:val="20"/>
          <w:szCs w:val="20"/>
          <w:i w:val="1"/>
          <w:iCs w:val="1"/>
          <w:color w:val="auto"/>
        </w:rPr>
        <w:t>Note 11. Redeemable Non-controlling Interest, Redeemable Preferred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Non-controlling Interest and Stockholders’ Deficit</w:t>
      </w:r>
      <w:r>
        <w:rPr>
          <w:rFonts w:ascii="Times New Roman" w:cs="Times New Roman" w:eastAsia="Times New Roman" w:hAnsi="Times New Roman"/>
          <w:sz w:val="20"/>
          <w:szCs w:val="20"/>
          <w:color w:val="auto"/>
        </w:rPr>
        <w:t>, for additional information.</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and 2024, there was no accrued preferred dividends payable.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Purchase and Sale Agreement for Environmental Attributes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is party to a purchase and sale agreement with NextEra under which it sells a minimum of 90% of environmental attributes generated by the RNG Fuels business. Proceeds are based on agreed pricing net of a specified discount, and certain quarterly volumes incur an additional fee per attribute.</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On March 26, 2025, the Company entered into a North American Energy Standards Board (“NAESB”) Base Contract with NextEra for the sale of RNG (“Green Gas Contract”). Transaction confirmations were executed in March, June, and September and December 2025.</w:t>
      </w:r>
    </w:p>
    <w:p>
      <w:pPr>
        <w:spacing w:after="0" w:line="17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Under this contract, the Company could enter into transaction confirmations on a periodic basis for the sale of RNG generated by the RNG Fuels business and NextEra could elect to utilize the Company to market such RNG to generate RINs for NextEra. The Company concluded that production and dispensing services represent separate performance obligations. Control over K-1 RINs transfers at the time of gas generation or upon delivery of the RINs. Revenue is recognized at the time control is transferred. The consideration associated with dispensing services is recognized into revenue by the Company when it satisfies its performance obligation by pairing the paperwork associated with the dispensing.</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360"/>
          </w:cols>
          <w:pgMar w:left="1440" w:top="941" w:right="1440" w:bottom="353"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RELATED PARTIES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Commodity Swap Contracts under ISDA and REC Sales Contracts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 xml:space="preserve">The Company entered into an ISDA agreement with NextEra in November 2019. Pursuant to the agreement, the Company entered into commodity swap contracts on a periodic basis. Please see </w:t>
      </w:r>
      <w:r>
        <w:rPr>
          <w:rFonts w:ascii="Times New Roman" w:cs="Times New Roman" w:eastAsia="Times New Roman" w:hAnsi="Times New Roman"/>
          <w:sz w:val="20"/>
          <w:szCs w:val="20"/>
          <w:i w:val="1"/>
          <w:iCs w:val="1"/>
          <w:color w:val="auto"/>
        </w:rPr>
        <w:t>Note 8. Derivative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Instruments and Fair Value Measurements </w:t>
      </w:r>
      <w:r>
        <w:rPr>
          <w:rFonts w:ascii="Times New Roman" w:cs="Times New Roman" w:eastAsia="Times New Roman" w:hAnsi="Times New Roman"/>
          <w:sz w:val="20"/>
          <w:szCs w:val="20"/>
          <w:color w:val="auto"/>
        </w:rPr>
        <w:t>for additional information. Additionally, the Company has contracts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sell RECs and capacity to NextEra on multiple Renewable Power facilities at market price. The Company records the realized and unrealized gain (loss) on these commodity swap contracts as well as RECs and capacity sales as part of renewable power revenues.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 Contracts with Equity Method Investment Entities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The Company’s wholly owned subsidiary, OPAL Fuel Station Services contracted with Pine Bend RNG LLC (“Pine Bend”), Noble Road RNG LLC (“Noble Road”), Emerald RNG LLC (“Emerald”), Sapphire RNG LLC (“Sapphire”), Atlantic RNG LLC (“Atlantic”) and GREP BTB Holdings LLC (“GREP”) to dispense RNG and to generate and market resulting RINs. The Company receives non-cash consideration in the form of RINs or LCFSs for providing these services and recognizes the RINs and LCFSs received in prepaid expenses and other current assets based on their estimated fair value at contract inception. Additionally, OPAL Fuel Station Services provides the same services to all wholly-owned subsidiaries of the Company. The revenues earned from the wholly-owned entities are fully eliminated in the consolidated financial statements. The term of these contracts each runs for a term of 10 years.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Service Agreements with Related Parties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has service arrangements with Fortistar LLC and its affiliate Costar Partners LLC (“Costar”), which are related parties due to common ownership and control.</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Fortistar provides services to the Company under a management, operations, and maintenance services agreement (“Administrative Services Agreement”). Fees are based on actual time incurred at contractually agreed rates and include a fixed annual payment of $580, adjusted annually for inflation. The Company also receives credits for any services provided by its employees to Fortistar.</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Costar provides information technology (“IT”) support services, software licensing, and infrastructure management. Fees are based on actual costs incurred and per-user licensing charges.</w:t>
      </w:r>
    </w:p>
    <w:p>
      <w:pPr>
        <w:spacing w:after="0" w:line="174"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2025, the Company amended its Administrative Services Agreement to provide operational and project support services to Wasatch RNG, an affiliate of Fortistar, in exchange for service fees and expense reimbursements.</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During the first quarter of 2025, the CFO of Fortistar, served as Interim CFO of the Company. Pursuant to the Interim Services Agreement, the Company paid Fortistar an agreed hourly rate, such that the monthly fee did not exceed $50, on a cumulative basis.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revenues recorded from related parties: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7"/>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r>
      <w:tr>
        <w:trPr>
          <w:trHeight w:val="196"/>
        </w:trPr>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7"/>
                <w:szCs w:val="17"/>
                <w:color w:val="auto"/>
              </w:rPr>
            </w:pPr>
          </w:p>
        </w:tc>
        <w:tc>
          <w:tcPr>
            <w:tcW w:w="9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Renewable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7"/>
                <w:szCs w:val="17"/>
                <w:color w:val="auto"/>
              </w:rPr>
            </w:pPr>
          </w:p>
        </w:tc>
        <w:tc>
          <w:tcPr>
            <w:tcW w:w="9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b w:val="1"/>
                <w:bCs w:val="1"/>
                <w:color w:val="auto"/>
              </w:rPr>
              <w:t>Renewable</w:t>
            </w:r>
          </w:p>
        </w:tc>
      </w:tr>
      <w:tr>
        <w:trPr>
          <w:trHeight w:val="210"/>
        </w:trPr>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line="201" w:lineRule="exact"/>
              <w:rPr>
                <w:sz w:val="20"/>
                <w:szCs w:val="20"/>
                <w:color w:val="auto"/>
              </w:rPr>
            </w:pPr>
            <w:r>
              <w:rPr>
                <w:rFonts w:ascii="Times New Roman" w:cs="Times New Roman" w:eastAsia="Times New Roman" w:hAnsi="Times New Roman"/>
                <w:sz w:val="18"/>
                <w:szCs w:val="18"/>
                <w:b w:val="1"/>
                <w:bCs w:val="1"/>
                <w:color w:val="auto"/>
                <w:w w:val="97"/>
              </w:rPr>
              <w:t>RNG fuel</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2"/>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2"/>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line="201" w:lineRule="exact"/>
              <w:rPr>
                <w:sz w:val="20"/>
                <w:szCs w:val="20"/>
                <w:color w:val="auto"/>
              </w:rPr>
            </w:pPr>
            <w:r>
              <w:rPr>
                <w:rFonts w:ascii="Times New Roman" w:cs="Times New Roman" w:eastAsia="Times New Roman" w:hAnsi="Times New Roman"/>
                <w:sz w:val="18"/>
                <w:szCs w:val="18"/>
                <w:b w:val="1"/>
                <w:bCs w:val="1"/>
                <w:color w:val="auto"/>
                <w:w w:val="97"/>
              </w:rPr>
              <w:t>RNG fuel</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2"/>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2"/>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r>
      <w:tr>
        <w:trPr>
          <w:trHeight w:val="284"/>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Environmental Attributes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67,643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68,416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27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Commodity swaps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w:t>
            </w:r>
          </w:p>
        </w:tc>
        <w:tc>
          <w:tcPr>
            <w:tcW w:w="100" w:type="dxa"/>
            <w:vAlign w:val="bottom"/>
          </w:tcPr>
          <w:p>
            <w:pPr>
              <w:spacing w:after="0"/>
              <w:rPr>
                <w:sz w:val="22"/>
                <w:szCs w:val="22"/>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6,822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6,912</w:t>
            </w:r>
          </w:p>
        </w:tc>
      </w:tr>
      <w:tr>
        <w:trPr>
          <w:trHeight w:val="260"/>
        </w:trPr>
        <w:tc>
          <w:tcPr>
            <w:tcW w:w="2700" w:type="dxa"/>
            <w:vAlign w:val="bottom"/>
            <w:gridSpan w:val="2"/>
          </w:tcPr>
          <w:p>
            <w:pPr>
              <w:spacing w:after="0" w:line="259" w:lineRule="exact"/>
              <w:rPr>
                <w:sz w:val="20"/>
                <w:szCs w:val="20"/>
                <w:color w:val="auto"/>
              </w:rPr>
            </w:pPr>
            <w:r>
              <w:rPr>
                <w:rFonts w:ascii="Times New Roman" w:cs="Times New Roman" w:eastAsia="Times New Roman" w:hAnsi="Times New Roman"/>
                <w:sz w:val="20"/>
                <w:szCs w:val="20"/>
                <w:color w:val="auto"/>
              </w:rPr>
              <w:t>Environmental processing</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w:t>
            </w:r>
          </w:p>
        </w:tc>
        <w:tc>
          <w:tcPr>
            <w:tcW w:w="100" w:type="dxa"/>
            <w:vAlign w:val="bottom"/>
          </w:tcPr>
          <w:p>
            <w:pPr>
              <w:spacing w:after="0"/>
              <w:rPr>
                <w:sz w:val="22"/>
                <w:szCs w:val="22"/>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8,805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9,677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25"/>
        </w:trPr>
        <w:tc>
          <w:tcPr>
            <w:tcW w:w="270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Service agreements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396</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39"/>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68,039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68,416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6,912</w:t>
            </w:r>
          </w:p>
        </w:tc>
      </w:tr>
      <w:tr>
        <w:trPr>
          <w:trHeight w:val="20"/>
        </w:trPr>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1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RIN and LCFS sales to NextEra. Includes revenues of $21,220 and $— recognized under the Green Gas Contract, which were recorded within RNG fuel revenues for the years ended December 31, 2025 and 2024, respectively.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360"/>
          </w:cols>
          <w:pgMar w:left="1440" w:top="941" w:right="1440" w:bottom="353"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 RELATED PARTIES </w:t>
      </w:r>
      <w:r>
        <w:rPr>
          <w:rFonts w:ascii="Times New Roman" w:cs="Times New Roman" w:eastAsia="Times New Roman" w:hAnsi="Times New Roman"/>
          <w:sz w:val="20"/>
          <w:szCs w:val="20"/>
          <w:color w:val="auto"/>
        </w:rPr>
        <w:t>(cont.)</w:t>
      </w:r>
    </w:p>
    <w:p>
      <w:pPr>
        <w:spacing w:after="0" w:line="173" w:lineRule="exact"/>
        <w:rPr>
          <w:sz w:val="20"/>
          <w:szCs w:val="20"/>
          <w:color w:val="auto"/>
        </w:rPr>
      </w:pPr>
    </w:p>
    <w:p>
      <w:pPr>
        <w:ind w:left="480" w:hanging="480"/>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revenue earned under ISDA, REC and capacity sales agreements with NextEra</w:t>
      </w:r>
    </w:p>
    <w:p>
      <w:pPr>
        <w:spacing w:after="0" w:line="21"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environmental processing fees earned under agreements with equity method investments, related to the generation and marketing of RINs and LCFS.</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management fees earned under an agreement with Fortistar.</w:t>
      </w:r>
    </w:p>
    <w:p>
      <w:pPr>
        <w:spacing w:after="0" w:line="18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various fees recorded under the agreements described above which are included in 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7"/>
                <w:szCs w:val="17"/>
                <w:color w:val="auto"/>
              </w:rPr>
            </w:pPr>
          </w:p>
        </w:tc>
      </w:tr>
      <w:tr>
        <w:trPr>
          <w:trHeight w:val="210"/>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Staffing and management services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2,050</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Rent – fixed compensation . . . . . . . . . . . . . . . . . . . . . . . . . . . . . . . . . . . . . .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IT services . . . . . . . . . . . . . . . . . . . . . . . . . . . . . . . . . . . . . . . . . . . . . . . . . . . . . . .</w:t>
            </w:r>
          </w:p>
        </w:tc>
        <w:tc>
          <w:tcPr>
            <w:tcW w:w="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4,133</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3,112</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6,903</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5,905</w:t>
            </w: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the various balances for related parties included in our consolidated balance sheets as of December 31, 2025 and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2940" w:type="dxa"/>
            <w:vAlign w:val="bottom"/>
            <w:tcBorders>
              <w:bottom w:val="single" w:sz="8" w:color="auto"/>
            </w:tcBorders>
          </w:tcPr>
          <w:p>
            <w:pPr>
              <w:ind w:left="480"/>
              <w:spacing w:after="0" w:line="201" w:lineRule="exact"/>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3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 of</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Trade AR – NextEra . . . . . . . . . . . . . . . . . . .</w:t>
            </w:r>
          </w:p>
        </w:tc>
        <w:tc>
          <w:tcPr>
            <w:tcW w:w="29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allowance</w:t>
            </w:r>
          </w:p>
        </w:tc>
        <w:tc>
          <w:tcPr>
            <w:tcW w:w="4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12,626</w:t>
            </w:r>
          </w:p>
        </w:tc>
        <w:tc>
          <w:tcPr>
            <w:tcW w:w="420" w:type="dxa"/>
            <w:vAlign w:val="bottom"/>
            <w:gridSpan w:val="2"/>
          </w:tcPr>
          <w:p>
            <w:pPr>
              <w:jc w:val="right"/>
              <w:ind w:right="5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14,522</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 of</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7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Other . . . . . . . . . . . . . . . . . . . . . . . . . . . . . . .</w:t>
            </w:r>
          </w:p>
        </w:tc>
        <w:tc>
          <w:tcPr>
            <w:tcW w:w="29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allowance</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692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Total receivables – related party . . . . . . . . . .</w:t>
            </w: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13,318</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14,522</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00" w:type="dxa"/>
            <w:vAlign w:val="bottom"/>
            <w:vMerge w:val="continue"/>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Payables to equity method investment</w:t>
            </w:r>
          </w:p>
        </w:tc>
        <w:tc>
          <w:tcPr>
            <w:tcW w:w="2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entities . . . . . . . . . . . . . . . . . . . . . . . . . . . .</w:t>
            </w:r>
          </w:p>
        </w:tc>
        <w:tc>
          <w:tcPr>
            <w:tcW w:w="29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Accounts payable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8,450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6,946</w:t>
            </w:r>
          </w:p>
        </w:tc>
        <w:tc>
          <w:tcPr>
            <w:tcW w:w="0" w:type="dxa"/>
            <w:vAlign w:val="bottom"/>
          </w:tcPr>
          <w:p>
            <w:pPr>
              <w:spacing w:after="0"/>
              <w:rPr>
                <w:sz w:val="1"/>
                <w:szCs w:val="1"/>
                <w:color w:val="auto"/>
              </w:rPr>
            </w:pPr>
          </w:p>
        </w:tc>
      </w:tr>
      <w:tr>
        <w:trPr>
          <w:trHeight w:val="261"/>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w:t>
            </w:r>
          </w:p>
        </w:tc>
        <w:tc>
          <w:tcPr>
            <w:tcW w:w="294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986</w:t>
            </w:r>
          </w:p>
        </w:tc>
        <w:tc>
          <w:tcPr>
            <w:tcW w:w="0" w:type="dxa"/>
            <w:vAlign w:val="bottom"/>
          </w:tcPr>
          <w:p>
            <w:pPr>
              <w:spacing w:after="0"/>
              <w:rPr>
                <w:sz w:val="1"/>
                <w:szCs w:val="1"/>
                <w:color w:val="auto"/>
              </w:rPr>
            </w:pPr>
          </w:p>
        </w:tc>
      </w:tr>
      <w:tr>
        <w:trPr>
          <w:trHeight w:val="24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 related party . . . . . . . . . . .</w:t>
            </w:r>
          </w:p>
        </w:tc>
        <w:tc>
          <w:tcPr>
            <w:tcW w:w="2940" w:type="dxa"/>
            <w:vAlign w:val="bottom"/>
          </w:tcPr>
          <w:p>
            <w:pPr>
              <w:spacing w:after="0"/>
              <w:rPr>
                <w:sz w:val="20"/>
                <w:szCs w:val="20"/>
                <w:color w:val="auto"/>
              </w:rPr>
            </w:pP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8,951</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REPORTABLE SEGMENTS AND GEOGRAPHIC INFORMATION</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Company is organized into three operating segments based on the characteristics of its renewable power generation, dispensing portfolio, production and sale of renewable gas, and nature of other products and services.</w:t>
      </w:r>
    </w:p>
    <w:p>
      <w:pPr>
        <w:spacing w:after="0" w:line="17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reportable segments disclosure is aligned with the information and internal reporting provided to our Chief Operating Decision Makers (“CODM”). Our Co-CEOs jointly fulfill the role of the CODM. The CODM evaluates performance based on segment net income. For all of the segments, the CODM uses segment net income in the annual budgeting and monthly forecasting process. The CODM considers budget-to-current forecast and prior forecast-to-current forecast variances for segment net income on a monthly basis for evaluating performance of each segment and making decisions about allocating capital and other resources to each segment.</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360"/>
          </w:cols>
          <w:pgMar w:left="1440" w:top="941" w:right="1440" w:bottom="353"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REPORTABLE SEGMENTS AND GEOGRAPHIC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three operating segments are RNG Fuel, Fuel Station Services and Renewable Power. The Company has determined that each of the three operating segments meets the characteristics of a reportable segment under U.S. GAAP.</w:t>
      </w:r>
    </w:p>
    <w:p>
      <w:pPr>
        <w:spacing w:after="0" w:line="171" w:lineRule="exact"/>
        <w:rPr>
          <w:sz w:val="20"/>
          <w:szCs w:val="20"/>
          <w:color w:val="auto"/>
        </w:rPr>
      </w:pPr>
    </w:p>
    <w:p>
      <w:pPr>
        <w:ind w:left="960" w:hanging="480"/>
        <w:spacing w:after="0" w:line="244"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RNG Fuel. </w:t>
      </w:r>
      <w:r>
        <w:rPr>
          <w:rFonts w:ascii="Times New Roman" w:cs="Times New Roman" w:eastAsia="Times New Roman" w:hAnsi="Times New Roman"/>
          <w:sz w:val="20"/>
          <w:szCs w:val="20"/>
          <w:color w:val="auto"/>
        </w:rPr>
        <w:t>The RNG Fuel segment relates to all RNG supply directly related to the generation and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brown gas and environmental credits, and consists of:</w:t>
      </w:r>
    </w:p>
    <w:p>
      <w:pPr>
        <w:spacing w:after="0" w:line="173"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supply operating facilities — This includes the generation, extraction, and sale of RNG — plus associated RINs and LCFSs from landfills.</w:t>
      </w:r>
    </w:p>
    <w:p>
      <w:pPr>
        <w:spacing w:after="0" w:line="174"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and construction — RNG facilities in which long term gas right contracts have been, or are in the process of being ratified and the construction of RNG generation facilities.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47"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Fuel Station Services</w:t>
      </w:r>
      <w:r>
        <w:rPr>
          <w:rFonts w:ascii="Times New Roman" w:cs="Times New Roman" w:eastAsia="Times New Roman" w:hAnsi="Times New Roman"/>
          <w:sz w:val="20"/>
          <w:szCs w:val="20"/>
          <w:color w:val="auto"/>
        </w:rPr>
        <w:t>. Through its Fuel Station Services segment, the Company provides construction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maintenance services to third-party owners of vehicle Fueling Stations and performs fuel dispensing activities including generation and minting of environmental credits. This segment includes:</w:t>
      </w:r>
    </w:p>
    <w:p>
      <w:pPr>
        <w:spacing w:after="0" w:line="171"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contracts for RNG/CNG fueling sites and a manufacturing division that builds Compact Fueling Systems and Defueling systems.</w:t>
      </w:r>
    </w:p>
    <w:p>
      <w:pPr>
        <w:spacing w:after="0" w:line="174" w:lineRule="exact"/>
        <w:rPr>
          <w:rFonts w:ascii="Times New Roman" w:cs="Times New Roman" w:eastAsia="Times New Roman" w:hAnsi="Times New Roman"/>
          <w:sz w:val="20"/>
          <w:szCs w:val="20"/>
          <w:color w:val="auto"/>
        </w:rPr>
      </w:pPr>
    </w:p>
    <w:p>
      <w:pPr>
        <w:jc w:val="both"/>
        <w:ind w:left="1440" w:hanging="480"/>
        <w:spacing w:after="0" w:line="246" w:lineRule="auto"/>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CNG construction of fueling stations — design/build and serve as general contractor for typically guaranteed maximum price or fixed priced contracts for customers usually lasting less than one year.</w:t>
      </w:r>
    </w:p>
    <w:p>
      <w:pPr>
        <w:spacing w:after="0" w:line="172" w:lineRule="exact"/>
        <w:rPr>
          <w:rFonts w:ascii="Times New Roman" w:cs="Times New Roman" w:eastAsia="Times New Roman" w:hAnsi="Times New Roman"/>
          <w:sz w:val="20"/>
          <w:szCs w:val="20"/>
          <w:color w:val="auto"/>
        </w:rPr>
      </w:pPr>
    </w:p>
    <w:p>
      <w:pPr>
        <w:jc w:val="both"/>
        <w:ind w:left="1440" w:hanging="480"/>
        <w:spacing w:after="0" w:line="248" w:lineRule="auto"/>
        <w:tabs>
          <w:tab w:leader="none" w:pos="14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RNG and CNG fuel dispensing stations for vehicle fleets — This includes both the dispensing and sale of brown gas and the environmental credit generation and monetization. The Company operates Fueling Stations that dispense gas for vehicles. This also includes the development and construction of these facilities.</w:t>
      </w:r>
    </w:p>
    <w:p>
      <w:pPr>
        <w:spacing w:after="0" w:line="168" w:lineRule="exact"/>
        <w:rPr>
          <w:rFonts w:ascii="Times New Roman" w:cs="Times New Roman" w:eastAsia="Times New Roman" w:hAnsi="Times New Roman"/>
          <w:sz w:val="20"/>
          <w:szCs w:val="20"/>
          <w:color w:val="auto"/>
        </w:rPr>
      </w:pPr>
    </w:p>
    <w:p>
      <w:pPr>
        <w:jc w:val="both"/>
        <w:ind w:left="960" w:hanging="480"/>
        <w:spacing w:after="0" w:line="247"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Renewable Power</w:t>
      </w:r>
      <w:r>
        <w:rPr>
          <w:rFonts w:ascii="Times New Roman" w:cs="Times New Roman" w:eastAsia="Times New Roman" w:hAnsi="Times New Roman"/>
          <w:sz w:val="20"/>
          <w:szCs w:val="20"/>
          <w:color w:val="auto"/>
        </w:rPr>
        <w:t>. The Renewable Power segment generates renewable power and associated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environmental credits through methane-rich landfills which is then sold to public utilities throughout the United States. The Renewable Power portfolio operates primarily in Southern California.</w:t>
      </w:r>
    </w:p>
    <w:p>
      <w:pPr>
        <w:spacing w:after="0" w:line="169" w:lineRule="exact"/>
        <w:rPr>
          <w:rFonts w:ascii="Times New Roman" w:cs="Times New Roman" w:eastAsia="Times New Roman" w:hAnsi="Times New Roman"/>
          <w:sz w:val="20"/>
          <w:szCs w:val="20"/>
          <w:color w:val="auto"/>
        </w:rPr>
      </w:pPr>
    </w:p>
    <w:p>
      <w:pPr>
        <w:jc w:val="both"/>
        <w:ind w:left="960" w:hanging="480"/>
        <w:spacing w:after="0" w:line="249"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Corporate. </w:t>
      </w:r>
      <w:r>
        <w:rPr>
          <w:rFonts w:ascii="Times New Roman" w:cs="Times New Roman" w:eastAsia="Times New Roman" w:hAnsi="Times New Roman"/>
          <w:sz w:val="20"/>
          <w:szCs w:val="20"/>
          <w:color w:val="auto"/>
        </w:rPr>
        <w:t>Corporate consists of activities managed and maintained at the Company’s corporate level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are not attributable to, nor allocated among, the Company’s reportable segments. These costs primarily consist of executive, accounting, finance, and sales support activities, as well as stock-based compensation. Corporate expenses are presented separately as they do not reflect the operating performance of the Company’s reportable segments.</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fourth quarter of 2025, the Company changed the presentation of information reviewed by the CODM to allocate certain Corporate general and administrative costs, including consulting, insurance, and payroll expenses, to the related reportable segments. Segment information has been retrospectively revised to reflect this change. For the year ended December 31, 2024, amounts reallocated from Corporate to RNG Fuel, Fuel Station Services, and Renewable Power were $10,737, $1,831, and $4,165, respectively.</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2024, substantially all of the Company’s assets and revenue-generating activities were domiciled in the United States, except for ISCC Carbon Credit agreements. All of the Company’s ISCC Carbon Credit agreements were terminated during 2024. During the year ended December 31, 2025, Fuel Station Services entered into a sales-type lease in Canada (see Note 7. Leases for additional details). All other assets and revenue-generating activities were domiciled in the United States for the year ended December 31, 2025.</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360"/>
          </w:cols>
          <w:pgMar w:left="1440" w:top="941" w:right="1440" w:bottom="353"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REPORTABLE SEGMENTS AND GEOGRAPHIC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Transactions between reportable segments are accounted for using market-based pricing. Intersegment revenues and expenses are eliminated in consolidation.</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reflects the financial data used to calculate each reportable segment’s income (loss) and includes reconciliations to Opal’s consolidated revenue and consolidated net income for the year ended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7"/>
                <w:szCs w:val="17"/>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gridSpan w:val="3"/>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140" w:type="dxa"/>
            <w:vAlign w:val="bottom"/>
          </w:tcPr>
          <w:p>
            <w:pPr>
              <w:spacing w:after="0"/>
              <w:rPr>
                <w:sz w:val="18"/>
                <w:szCs w:val="18"/>
                <w:color w:val="auto"/>
              </w:rPr>
            </w:pPr>
          </w:p>
        </w:tc>
        <w:tc>
          <w:tcPr>
            <w:tcW w:w="820" w:type="dxa"/>
            <w:vAlign w:val="bottom"/>
          </w:tcPr>
          <w:p>
            <w:pPr>
              <w:jc w:val="right"/>
              <w:ind w:right="61"/>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Segments</w:t>
            </w:r>
          </w:p>
        </w:tc>
        <w:tc>
          <w:tcPr>
            <w:tcW w:w="60" w:type="dxa"/>
            <w:vAlign w:val="bottom"/>
          </w:tcPr>
          <w:p>
            <w:pPr>
              <w:spacing w:after="0"/>
              <w:rPr>
                <w:sz w:val="18"/>
                <w:szCs w:val="18"/>
                <w:color w:val="auto"/>
              </w:rPr>
            </w:pPr>
          </w:p>
        </w:tc>
        <w:tc>
          <w:tcPr>
            <w:tcW w:w="1340" w:type="dxa"/>
            <w:vAlign w:val="bottom"/>
            <w:gridSpan w:val="4"/>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82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 from external</w:t>
            </w:r>
          </w:p>
        </w:tc>
        <w:tc>
          <w:tcPr>
            <w:tcW w:w="2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5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customers . . . . . . . . . . . . . .</w:t>
            </w:r>
          </w:p>
        </w:tc>
        <w:tc>
          <w:tcPr>
            <w:tcW w:w="200" w:type="dxa"/>
            <w:vAlign w:val="bottom"/>
          </w:tcPr>
          <w:p>
            <w:pPr>
              <w:jc w:val="right"/>
              <w:ind w:right="5"/>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101,656</w:t>
            </w:r>
          </w:p>
        </w:tc>
        <w:tc>
          <w:tcPr>
            <w:tcW w:w="180" w:type="dxa"/>
            <w:vAlign w:val="bottom"/>
          </w:tcPr>
          <w:p>
            <w:pPr>
              <w:spacing w:after="0"/>
              <w:rPr>
                <w:sz w:val="19"/>
                <w:szCs w:val="19"/>
                <w:color w:val="auto"/>
              </w:rPr>
            </w:pPr>
          </w:p>
        </w:tc>
        <w:tc>
          <w:tcPr>
            <w:tcW w:w="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214,551</w:t>
            </w:r>
          </w:p>
        </w:tc>
        <w:tc>
          <w:tcPr>
            <w:tcW w:w="3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32,768</w:t>
            </w:r>
          </w:p>
        </w:tc>
        <w:tc>
          <w:tcPr>
            <w:tcW w:w="120" w:type="dxa"/>
            <w:vAlign w:val="bottom"/>
          </w:tcPr>
          <w:p>
            <w:pPr>
              <w:spacing w:after="0"/>
              <w:rPr>
                <w:sz w:val="19"/>
                <w:szCs w:val="19"/>
                <w:color w:val="auto"/>
              </w:rPr>
            </w:pPr>
          </w:p>
        </w:tc>
        <w:tc>
          <w:tcPr>
            <w:tcW w:w="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348,975</w:t>
            </w:r>
          </w:p>
        </w:tc>
        <w:tc>
          <w:tcPr>
            <w:tcW w:w="120" w:type="dxa"/>
            <w:vAlign w:val="bottom"/>
          </w:tcPr>
          <w:p>
            <w:pPr>
              <w:spacing w:after="0"/>
              <w:rPr>
                <w:sz w:val="19"/>
                <w:szCs w:val="19"/>
                <w:color w:val="auto"/>
              </w:rPr>
            </w:pPr>
          </w:p>
        </w:tc>
        <w:tc>
          <w:tcPr>
            <w:tcW w:w="280" w:type="dxa"/>
            <w:vAlign w:val="bottom"/>
            <w:gridSpan w:val="2"/>
          </w:tcPr>
          <w:p>
            <w:pPr>
              <w:jc w:val="right"/>
              <w:ind w:right="3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  $</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348,975</w:t>
            </w:r>
          </w:p>
        </w:tc>
        <w:tc>
          <w:tcPr>
            <w:tcW w:w="60" w:type="dxa"/>
            <w:vAlign w:val="bottom"/>
          </w:tcPr>
          <w:p>
            <w:pPr>
              <w:spacing w:after="0"/>
              <w:rPr>
                <w:sz w:val="19"/>
                <w:szCs w:val="19"/>
                <w:color w:val="auto"/>
              </w:rPr>
            </w:pPr>
          </w:p>
        </w:tc>
      </w:tr>
      <w:tr>
        <w:trPr>
          <w:trHeight w:val="261"/>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Intersegment revenues . . . . . . .</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20,220</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20,773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20,773</w:t>
            </w:r>
          </w:p>
        </w:tc>
        <w:tc>
          <w:tcPr>
            <w:tcW w:w="60" w:type="dxa"/>
            <w:vAlign w:val="bottom"/>
          </w:tcPr>
          <w:p>
            <w:pPr>
              <w:spacing w:after="0"/>
              <w:rPr>
                <w:sz w:val="22"/>
                <w:szCs w:val="22"/>
                <w:color w:val="auto"/>
              </w:rPr>
            </w:pPr>
          </w:p>
        </w:tc>
      </w:tr>
      <w:tr>
        <w:trPr>
          <w:trHeight w:val="239"/>
        </w:trPr>
        <w:tc>
          <w:tcPr>
            <w:tcW w:w="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234,771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369,748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369,748</w:t>
            </w:r>
          </w:p>
        </w:tc>
        <w:tc>
          <w:tcPr>
            <w:tcW w:w="60" w:type="dxa"/>
            <w:vAlign w:val="bottom"/>
          </w:tcPr>
          <w:p>
            <w:pPr>
              <w:spacing w:after="0"/>
              <w:rPr>
                <w:sz w:val="20"/>
                <w:szCs w:val="20"/>
                <w:color w:val="auto"/>
              </w:rPr>
            </w:pPr>
          </w:p>
        </w:tc>
      </w:tr>
      <w:tr>
        <w:trPr>
          <w:trHeight w:val="240"/>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Reconciliation of Revenue</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Elimination of intersegment</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5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revenues . . . . . . . . . . . . . . .</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(20,773)</w:t>
            </w:r>
          </w:p>
        </w:tc>
      </w:tr>
      <w:tr>
        <w:trPr>
          <w:trHeight w:val="240"/>
        </w:trPr>
        <w:tc>
          <w:tcPr>
            <w:tcW w:w="25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 . . . . . . . . . .Totalrevenues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101,656</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214,551</w:t>
            </w: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348,975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348,975</w:t>
            </w:r>
          </w:p>
        </w:tc>
        <w:tc>
          <w:tcPr>
            <w:tcW w:w="60" w:type="dxa"/>
            <w:vAlign w:val="bottom"/>
          </w:tcPr>
          <w:p>
            <w:pPr>
              <w:spacing w:after="0"/>
              <w:rPr>
                <w:sz w:val="20"/>
                <w:szCs w:val="20"/>
                <w:color w:val="auto"/>
              </w:rPr>
            </w:pPr>
          </w:p>
        </w:tc>
      </w:tr>
      <w:tr>
        <w:trPr>
          <w:trHeight w:val="379"/>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Segment and Corporate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1"/>
        </w:trPr>
        <w:tc>
          <w:tcPr>
            <w:tcW w:w="258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0"/>
                <w:szCs w:val="20"/>
                <w:i w:val="1"/>
                <w:iCs w:val="1"/>
                <w:color w:val="auto"/>
              </w:rPr>
              <w:t>Expenses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3"/>
                <w:szCs w:val="23"/>
                <w:i w:val="1"/>
                <w:iCs w:val="1"/>
                <w:color w:val="auto"/>
                <w:vertAlign w:val="superscript"/>
              </w:rPr>
              <w:t>(1)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5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Cost of sales . . . . . . . . . . . . . .</w:t>
            </w:r>
          </w:p>
        </w:tc>
        <w:tc>
          <w:tcPr>
            <w:tcW w:w="200" w:type="dxa"/>
            <w:vAlign w:val="bottom"/>
          </w:tcPr>
          <w:p>
            <w:pPr>
              <w:spacing w:after="0"/>
              <w:rPr>
                <w:sz w:val="19"/>
                <w:szCs w:val="19"/>
                <w:color w:val="auto"/>
              </w:rPr>
            </w:pP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49,282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166,778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26,734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242,794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242,794</w:t>
            </w:r>
          </w:p>
        </w:tc>
        <w:tc>
          <w:tcPr>
            <w:tcW w:w="60" w:type="dxa"/>
            <w:vAlign w:val="bottom"/>
          </w:tcPr>
          <w:p>
            <w:pPr>
              <w:spacing w:after="0"/>
              <w:rPr>
                <w:sz w:val="19"/>
                <w:szCs w:val="19"/>
                <w:color w:val="auto"/>
              </w:rPr>
            </w:pPr>
          </w:p>
        </w:tc>
      </w:tr>
      <w:tr>
        <w:trPr>
          <w:trHeight w:val="257"/>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from equity method</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5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investments . . . . . . . . . . . . .</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(2,627)</w:t>
            </w: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(2,627)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(2,627)</w:t>
            </w:r>
          </w:p>
        </w:tc>
      </w:tr>
      <w:tr>
        <w:trPr>
          <w:trHeight w:val="257"/>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and financing</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5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expense, net . . . . . . . . . . . . .</w:t>
            </w:r>
          </w:p>
        </w:tc>
        <w:tc>
          <w:tcPr>
            <w:tcW w:w="200" w:type="dxa"/>
            <w:vAlign w:val="bottom"/>
          </w:tcPr>
          <w:p>
            <w:pPr>
              <w:spacing w:after="0"/>
              <w:rPr>
                <w:sz w:val="19"/>
                <w:szCs w:val="19"/>
                <w:color w:val="auto"/>
              </w:rPr>
            </w:pP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26,316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26,274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26,274</w:t>
            </w:r>
          </w:p>
        </w:tc>
        <w:tc>
          <w:tcPr>
            <w:tcW w:w="60" w:type="dxa"/>
            <w:vAlign w:val="bottom"/>
          </w:tcPr>
          <w:p>
            <w:pPr>
              <w:spacing w:after="0"/>
              <w:rPr>
                <w:sz w:val="19"/>
                <w:szCs w:val="19"/>
                <w:color w:val="auto"/>
              </w:rPr>
            </w:pPr>
          </w:p>
        </w:tc>
      </w:tr>
      <w:tr>
        <w:trPr>
          <w:trHeight w:val="257"/>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Project development and</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5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startup costs . . . . . . . . . . . . .</w:t>
            </w:r>
          </w:p>
        </w:tc>
        <w:tc>
          <w:tcPr>
            <w:tcW w:w="200" w:type="dxa"/>
            <w:vAlign w:val="bottom"/>
          </w:tcPr>
          <w:p>
            <w:pPr>
              <w:spacing w:after="0"/>
              <w:rPr>
                <w:sz w:val="19"/>
                <w:szCs w:val="19"/>
                <w:color w:val="auto"/>
              </w:rPr>
            </w:pP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14,942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14,942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14,942</w:t>
            </w:r>
          </w:p>
        </w:tc>
        <w:tc>
          <w:tcPr>
            <w:tcW w:w="60" w:type="dxa"/>
            <w:vAlign w:val="bottom"/>
          </w:tcPr>
          <w:p>
            <w:pPr>
              <w:spacing w:after="0"/>
              <w:rPr>
                <w:sz w:val="19"/>
                <w:szCs w:val="19"/>
                <w:color w:val="auto"/>
              </w:rPr>
            </w:pPr>
          </w:p>
        </w:tc>
      </w:tr>
      <w:tr>
        <w:trPr>
          <w:trHeight w:val="257"/>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amortization,</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58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and accretion . . . . . . . . . . . .</w:t>
            </w:r>
          </w:p>
        </w:tc>
        <w:tc>
          <w:tcPr>
            <w:tcW w:w="200" w:type="dxa"/>
            <w:vAlign w:val="bottom"/>
          </w:tcPr>
          <w:p>
            <w:pPr>
              <w:spacing w:after="0"/>
              <w:rPr>
                <w:sz w:val="19"/>
                <w:szCs w:val="19"/>
                <w:color w:val="auto"/>
              </w:rPr>
            </w:pP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12,062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6,407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4,001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22,470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22,470</w:t>
            </w:r>
          </w:p>
        </w:tc>
        <w:tc>
          <w:tcPr>
            <w:tcW w:w="60" w:type="dxa"/>
            <w:vAlign w:val="bottom"/>
          </w:tcPr>
          <w:p>
            <w:pPr>
              <w:spacing w:after="0"/>
              <w:rPr>
                <w:sz w:val="19"/>
                <w:szCs w:val="19"/>
                <w:color w:val="auto"/>
              </w:rPr>
            </w:pPr>
          </w:p>
        </w:tc>
      </w:tr>
      <w:tr>
        <w:trPr>
          <w:trHeight w:val="260"/>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corporate expenses . . . .</w:t>
            </w:r>
          </w:p>
        </w:tc>
        <w:tc>
          <w:tcPr>
            <w:tcW w:w="20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38,226</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38,226</w:t>
            </w:r>
          </w:p>
        </w:tc>
        <w:tc>
          <w:tcPr>
            <w:tcW w:w="60" w:type="dxa"/>
            <w:vAlign w:val="bottom"/>
          </w:tcPr>
          <w:p>
            <w:pPr>
              <w:spacing w:after="0"/>
              <w:rPr>
                <w:sz w:val="22"/>
                <w:szCs w:val="22"/>
                <w:color w:val="auto"/>
              </w:rPr>
            </w:pPr>
          </w:p>
        </w:tc>
      </w:tr>
      <w:tr>
        <w:trPr>
          <w:trHeight w:val="260"/>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Stock-based compensation . . .</w:t>
            </w:r>
          </w:p>
        </w:tc>
        <w:tc>
          <w:tcPr>
            <w:tcW w:w="20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6,499</w:t>
            </w:r>
          </w:p>
        </w:tc>
        <w:tc>
          <w:tcPr>
            <w:tcW w:w="60" w:type="dxa"/>
            <w:vAlign w:val="bottom"/>
          </w:tcPr>
          <w:p>
            <w:pPr>
              <w:spacing w:after="0"/>
              <w:rPr>
                <w:sz w:val="22"/>
                <w:szCs w:val="22"/>
                <w:color w:val="auto"/>
              </w:rPr>
            </w:pPr>
          </w:p>
        </w:tc>
      </w:tr>
      <w:tr>
        <w:trPr>
          <w:trHeight w:val="262"/>
        </w:trPr>
        <w:tc>
          <w:tcPr>
            <w:tcW w:w="2580" w:type="dxa"/>
            <w:vAlign w:val="bottom"/>
            <w:gridSpan w:val="2"/>
          </w:tcPr>
          <w:p>
            <w:pPr>
              <w:spacing w:after="0" w:line="262" w:lineRule="exact"/>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10,233</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3,033</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16,732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16,732</w:t>
            </w:r>
          </w:p>
        </w:tc>
        <w:tc>
          <w:tcPr>
            <w:tcW w:w="60" w:type="dxa"/>
            <w:vAlign w:val="bottom"/>
          </w:tcPr>
          <w:p>
            <w:pPr>
              <w:spacing w:after="0"/>
              <w:rPr>
                <w:sz w:val="22"/>
                <w:szCs w:val="22"/>
                <w:color w:val="auto"/>
              </w:rPr>
            </w:pPr>
          </w:p>
        </w:tc>
      </w:tr>
      <w:tr>
        <w:trPr>
          <w:trHeight w:val="238"/>
        </w:trPr>
        <w:tc>
          <w:tcPr>
            <w:tcW w:w="25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Segment (loss) income . . . .</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(8,552)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38,297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28,390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(44,725)</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(16,335)</w:t>
            </w:r>
          </w:p>
        </w:tc>
      </w:tr>
      <w:tr>
        <w:trPr>
          <w:trHeight w:val="379"/>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Reconciliation of profit or loss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1"/>
        </w:trPr>
        <w:tc>
          <w:tcPr>
            <w:tcW w:w="258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0"/>
                <w:szCs w:val="20"/>
                <w:i w:val="1"/>
                <w:iCs w:val="1"/>
                <w:color w:val="auto"/>
              </w:rPr>
              <w:t>(segment income/(loss))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1"/>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benefit . . . . . . . . .</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52,746</w:t>
            </w:r>
          </w:p>
        </w:tc>
        <w:tc>
          <w:tcPr>
            <w:tcW w:w="60" w:type="dxa"/>
            <w:vAlign w:val="bottom"/>
          </w:tcPr>
          <w:p>
            <w:pPr>
              <w:spacing w:after="0"/>
              <w:rPr>
                <w:sz w:val="22"/>
                <w:szCs w:val="22"/>
                <w:color w:val="auto"/>
              </w:rPr>
            </w:pPr>
          </w:p>
        </w:tc>
      </w:tr>
      <w:tr>
        <w:trPr>
          <w:trHeight w:val="240"/>
        </w:trPr>
        <w:tc>
          <w:tcPr>
            <w:tcW w:w="25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income . . . . . . . . . . . . .</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36,411</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83" w:lineRule="exact"/>
        <w:rPr>
          <w:sz w:val="20"/>
          <w:szCs w:val="20"/>
          <w:color w:val="auto"/>
        </w:rPr>
      </w:pPr>
    </w:p>
    <w:p>
      <w:pPr>
        <w:jc w:val="both"/>
        <w:ind w:left="480" w:hanging="480"/>
        <w:spacing w:after="0" w:line="250" w:lineRule="auto"/>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 Intersegment expenses are included within the amounts shown in the line Cost of sales and no intersegment profit was recognized</w:t>
      </w:r>
    </w:p>
    <w:p>
      <w:pPr>
        <w:spacing w:after="0" w:line="4"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for each reportable segment include:</w:t>
      </w:r>
    </w:p>
    <w:p>
      <w:pPr>
        <w:ind w:left="960" w:hanging="480"/>
        <w:spacing w:after="0" w:line="229" w:lineRule="auto"/>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RNG — payroll, consulting, insurance and other expenses</w:t>
      </w:r>
    </w:p>
    <w:p>
      <w:pPr>
        <w:spacing w:after="0" w:line="6" w:lineRule="exact"/>
        <w:rPr>
          <w:rFonts w:ascii="Times New Roman" w:cs="Times New Roman" w:eastAsia="Times New Roman" w:hAnsi="Times New Roman"/>
          <w:sz w:val="20"/>
          <w:szCs w:val="20"/>
          <w:color w:val="auto"/>
        </w:rPr>
      </w:pPr>
    </w:p>
    <w:p>
      <w:pPr>
        <w:ind w:left="960" w:hanging="480"/>
        <w:spacing w:after="0" w:line="223" w:lineRule="auto"/>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Fuel Station Services — gain on RNG dispensing and payroll</w:t>
      </w:r>
    </w:p>
    <w:p>
      <w:pPr>
        <w:spacing w:after="0" w:line="6" w:lineRule="exact"/>
        <w:rPr>
          <w:rFonts w:ascii="Times New Roman" w:cs="Times New Roman" w:eastAsia="Times New Roman" w:hAnsi="Times New Roman"/>
          <w:sz w:val="20"/>
          <w:szCs w:val="20"/>
          <w:color w:val="auto"/>
        </w:rPr>
      </w:pPr>
    </w:p>
    <w:p>
      <w:pPr>
        <w:ind w:left="960" w:hanging="480"/>
        <w:spacing w:after="0" w:line="223" w:lineRule="auto"/>
        <w:tabs>
          <w:tab w:leader="none" w:pos="96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Renewable Power — payroll, consulting, insurance and other expenses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360"/>
          </w:cols>
          <w:pgMar w:left="1440" w:top="941" w:right="1440" w:bottom="353"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 REPORTABLE SEGMENTS AND GEOGRAPHIC INFORMATION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reflects certain other financial data for the reportable segments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58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3"/>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3"/>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Segments</w:t>
            </w:r>
          </w:p>
        </w:tc>
        <w:tc>
          <w:tcPr>
            <w:tcW w:w="18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0"/>
        </w:trPr>
        <w:tc>
          <w:tcPr>
            <w:tcW w:w="25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Other segment disclosures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4"/>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other entities . . .</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231,223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231,223</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231,223</w:t>
            </w:r>
          </w:p>
        </w:tc>
      </w:tr>
      <w:tr>
        <w:trPr>
          <w:trHeight w:val="244"/>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Segment assets . . . . . . . . . . . .</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675,988</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196,853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901,581</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57,888</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959,469</w:t>
            </w:r>
          </w:p>
        </w:tc>
      </w:tr>
    </w:tbl>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For the year ended December 31, 2025, the Company made the following cash payments for capital expenditures: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7"/>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0"/>
        </w:trPr>
        <w:tc>
          <w:tcPr>
            <w:tcW w:w="258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5"/>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85"/>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Power</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Segments</w:t>
            </w:r>
          </w:p>
        </w:tc>
        <w:tc>
          <w:tcPr>
            <w:tcW w:w="180" w:type="dxa"/>
            <w:vAlign w:val="bottom"/>
          </w:tcPr>
          <w:p>
            <w:pPr>
              <w:spacing w:after="0"/>
              <w:rPr>
                <w:sz w:val="18"/>
                <w:szCs w:val="18"/>
                <w:color w:val="auto"/>
              </w:rPr>
            </w:pPr>
          </w:p>
        </w:tc>
        <w:tc>
          <w:tcPr>
            <w:tcW w:w="960" w:type="dxa"/>
            <w:vAlign w:val="bottom"/>
            <w:tcBorders>
              <w:bottom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85"/>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2840" w:type="dxa"/>
            <w:vAlign w:val="bottom"/>
            <w:gridSpan w:val="2"/>
          </w:tcPr>
          <w:p>
            <w:pPr>
              <w:jc w:val="right"/>
              <w:ind w:right="830"/>
              <w:spacing w:after="0"/>
              <w:rPr>
                <w:sz w:val="20"/>
                <w:szCs w:val="20"/>
                <w:color w:val="auto"/>
              </w:rPr>
            </w:pPr>
            <w:r>
              <w:rPr>
                <w:rFonts w:ascii="Times New Roman" w:cs="Times New Roman" w:eastAsia="Times New Roman" w:hAnsi="Times New Roman"/>
                <w:sz w:val="20"/>
                <w:szCs w:val="20"/>
                <w:color w:val="auto"/>
                <w:w w:val="99"/>
              </w:rPr>
              <w:t>Cash paid for purchases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0"/>
        </w:trPr>
        <w:tc>
          <w:tcPr>
            <w:tcW w:w="2840" w:type="dxa"/>
            <w:vAlign w:val="bottom"/>
            <w:gridSpan w:val="2"/>
          </w:tcPr>
          <w:p>
            <w:pPr>
              <w:jc w:val="right"/>
              <w:ind w:right="830"/>
              <w:spacing w:after="0" w:line="220" w:lineRule="exact"/>
              <w:rPr>
                <w:sz w:val="20"/>
                <w:szCs w:val="20"/>
                <w:color w:val="auto"/>
              </w:rPr>
            </w:pPr>
            <w:r>
              <w:rPr>
                <w:rFonts w:ascii="Times New Roman" w:cs="Times New Roman" w:eastAsia="Times New Roman" w:hAnsi="Times New Roman"/>
                <w:sz w:val="20"/>
                <w:szCs w:val="20"/>
                <w:color w:val="auto"/>
              </w:rPr>
              <w:t>of property, plant and</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3"/>
        </w:trPr>
        <w:tc>
          <w:tcPr>
            <w:tcW w:w="28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equipment . . . . . . . . . . . . . .  $</w:t>
            </w:r>
          </w:p>
        </w:tc>
        <w:tc>
          <w:tcPr>
            <w:tcW w:w="7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42,991</w:t>
            </w:r>
          </w:p>
        </w:tc>
        <w:tc>
          <w:tcPr>
            <w:tcW w:w="3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26,656</w:t>
            </w:r>
          </w:p>
        </w:tc>
        <w:tc>
          <w:tcPr>
            <w:tcW w:w="3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1,092</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70,739</w:t>
            </w:r>
          </w:p>
        </w:tc>
        <w:tc>
          <w:tcPr>
            <w:tcW w:w="600" w:type="dxa"/>
            <w:vAlign w:val="bottom"/>
            <w:gridSpan w:val="2"/>
          </w:tcPr>
          <w:p>
            <w:pPr>
              <w:jc w:val="right"/>
              <w:ind w:right="23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ind w:left="340"/>
              <w:spacing w:after="0" w:line="223" w:lineRule="exact"/>
              <w:rPr>
                <w:sz w:val="20"/>
                <w:szCs w:val="20"/>
                <w:color w:val="auto"/>
              </w:rPr>
            </w:pPr>
            <w:r>
              <w:rPr>
                <w:rFonts w:ascii="Times New Roman" w:cs="Times New Roman" w:eastAsia="Times New Roman" w:hAnsi="Times New Roman"/>
                <w:sz w:val="20"/>
                <w:szCs w:val="20"/>
                <w:color w:val="auto"/>
              </w:rPr>
              <w:t>—  $</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70,739</w:t>
            </w:r>
          </w:p>
        </w:tc>
      </w:tr>
    </w:tbl>
    <w:p>
      <w:pPr>
        <w:spacing w:after="0" w:line="12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reflects the financial data used to calculate each reportable segment’s income (loss) and includes reconciliations to Opal’s consolidated revenue and consolidated net income for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gridSpan w:val="3"/>
          </w:tcPr>
          <w:p>
            <w:pPr>
              <w:jc w:val="right"/>
              <w:ind w:right="260"/>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140" w:type="dxa"/>
            <w:vAlign w:val="bottom"/>
          </w:tcPr>
          <w:p>
            <w:pPr>
              <w:spacing w:after="0"/>
              <w:rPr>
                <w:sz w:val="18"/>
                <w:szCs w:val="18"/>
                <w:color w:val="auto"/>
              </w:rPr>
            </w:pPr>
          </w:p>
        </w:tc>
        <w:tc>
          <w:tcPr>
            <w:tcW w:w="820" w:type="dxa"/>
            <w:vAlign w:val="bottom"/>
          </w:tcPr>
          <w:p>
            <w:pPr>
              <w:jc w:val="right"/>
              <w:ind w:right="61"/>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Segments</w:t>
            </w:r>
          </w:p>
        </w:tc>
        <w:tc>
          <w:tcPr>
            <w:tcW w:w="60" w:type="dxa"/>
            <w:vAlign w:val="bottom"/>
          </w:tcPr>
          <w:p>
            <w:pPr>
              <w:spacing w:after="0"/>
              <w:rPr>
                <w:sz w:val="18"/>
                <w:szCs w:val="18"/>
                <w:color w:val="auto"/>
              </w:rPr>
            </w:pPr>
          </w:p>
        </w:tc>
        <w:tc>
          <w:tcPr>
            <w:tcW w:w="1340" w:type="dxa"/>
            <w:vAlign w:val="bottom"/>
            <w:gridSpan w:val="4"/>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82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 from external</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customers . . . . . . . . . . . . . .</w:t>
            </w:r>
          </w:p>
        </w:tc>
        <w:tc>
          <w:tcPr>
            <w:tcW w:w="220" w:type="dxa"/>
            <w:vAlign w:val="bottom"/>
          </w:tcPr>
          <w:p>
            <w:pPr>
              <w:jc w:val="right"/>
              <w:ind w:right="25"/>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88,420</w:t>
            </w:r>
          </w:p>
        </w:tc>
        <w:tc>
          <w:tcPr>
            <w:tcW w:w="180" w:type="dxa"/>
            <w:vAlign w:val="bottom"/>
          </w:tcPr>
          <w:p>
            <w:pPr>
              <w:spacing w:after="0"/>
              <w:rPr>
                <w:sz w:val="19"/>
                <w:szCs w:val="19"/>
                <w:color w:val="auto"/>
              </w:rPr>
            </w:pPr>
          </w:p>
        </w:tc>
        <w:tc>
          <w:tcPr>
            <w:tcW w:w="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166,875</w:t>
            </w:r>
          </w:p>
        </w:tc>
        <w:tc>
          <w:tcPr>
            <w:tcW w:w="3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44,677</w:t>
            </w:r>
          </w:p>
        </w:tc>
        <w:tc>
          <w:tcPr>
            <w:tcW w:w="120" w:type="dxa"/>
            <w:vAlign w:val="bottom"/>
          </w:tcPr>
          <w:p>
            <w:pPr>
              <w:spacing w:after="0"/>
              <w:rPr>
                <w:sz w:val="19"/>
                <w:szCs w:val="19"/>
                <w:color w:val="auto"/>
              </w:rPr>
            </w:pPr>
          </w:p>
        </w:tc>
        <w:tc>
          <w:tcPr>
            <w:tcW w:w="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299,972</w:t>
            </w:r>
          </w:p>
        </w:tc>
        <w:tc>
          <w:tcPr>
            <w:tcW w:w="120" w:type="dxa"/>
            <w:vAlign w:val="bottom"/>
          </w:tcPr>
          <w:p>
            <w:pPr>
              <w:spacing w:after="0"/>
              <w:rPr>
                <w:sz w:val="19"/>
                <w:szCs w:val="19"/>
                <w:color w:val="auto"/>
              </w:rPr>
            </w:pPr>
          </w:p>
        </w:tc>
        <w:tc>
          <w:tcPr>
            <w:tcW w:w="280" w:type="dxa"/>
            <w:vAlign w:val="bottom"/>
            <w:gridSpan w:val="2"/>
          </w:tcPr>
          <w:p>
            <w:pPr>
              <w:jc w:val="right"/>
              <w:ind w:right="3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  $</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299,972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7"/>
              </w:rPr>
              <w:t>Intersegment revenues . . . . . . .</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18,948</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19,466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88,938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185,823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44,677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319,438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319,438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8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i w:val="1"/>
                <w:iCs w:val="1"/>
                <w:color w:val="auto"/>
              </w:rPr>
              <w:t>Reconciliation of Revenue</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Elimination of intersegment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(19,466)</w:t>
            </w:r>
          </w:p>
        </w:tc>
        <w:tc>
          <w:tcPr>
            <w:tcW w:w="0" w:type="dxa"/>
            <w:vAlign w:val="bottom"/>
          </w:tcPr>
          <w:p>
            <w:pPr>
              <w:spacing w:after="0"/>
              <w:rPr>
                <w:sz w:val="1"/>
                <w:szCs w:val="1"/>
                <w:color w:val="auto"/>
              </w:rPr>
            </w:pPr>
          </w:p>
        </w:tc>
      </w:tr>
      <w:tr>
        <w:trPr>
          <w:trHeight w:val="224"/>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revenues . . . . . . . . . . . . . . .</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Total revenues . . . . . . . . . . .</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88,420</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166,875</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44,677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299,972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299,972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Segment and Corporate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0"/>
                <w:szCs w:val="20"/>
                <w:i w:val="1"/>
                <w:iCs w:val="1"/>
                <w:color w:val="auto"/>
              </w:rPr>
              <w:t>Expenses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3"/>
                <w:szCs w:val="23"/>
                <w:i w:val="1"/>
                <w:iCs w:val="1"/>
                <w:color w:val="auto"/>
                <w:vertAlign w:val="superscript"/>
              </w:rPr>
              <w:t>(1)</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Cost of sales . . . . . . . . . . . . . .</w:t>
            </w:r>
          </w:p>
        </w:tc>
        <w:tc>
          <w:tcPr>
            <w:tcW w:w="2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38,552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128,804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32,495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199,851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199,851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from equity method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investments . . . . . . . . . . . . .</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(13,235)</w:t>
            </w: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(13,235)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(13,235)</w:t>
            </w:r>
          </w:p>
        </w:tc>
        <w:tc>
          <w:tcPr>
            <w:tcW w:w="0" w:type="dxa"/>
            <w:vAlign w:val="bottom"/>
          </w:tcPr>
          <w:p>
            <w:pPr>
              <w:spacing w:after="0"/>
              <w:rPr>
                <w:sz w:val="1"/>
                <w:szCs w:val="1"/>
                <w:color w:val="auto"/>
              </w:rPr>
            </w:pPr>
          </w:p>
        </w:tc>
      </w:tr>
      <w:tr>
        <w:trPr>
          <w:trHeight w:val="241"/>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and financing</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expense, net . . . . . . . . . . . . .</w:t>
            </w:r>
          </w:p>
        </w:tc>
        <w:tc>
          <w:tcPr>
            <w:tcW w:w="2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19,574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19,610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Project development and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start up costs . . . . . . . . . . . .</w:t>
            </w:r>
          </w:p>
        </w:tc>
        <w:tc>
          <w:tcPr>
            <w:tcW w:w="2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19,109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19,109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19,109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amortization</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and accretion . . . . . . . . . . . .</w:t>
            </w:r>
          </w:p>
        </w:tc>
        <w:tc>
          <w:tcPr>
            <w:tcW w:w="22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8,252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17,885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3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17,885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Other corporate expenses . . . .</w:t>
            </w:r>
          </w:p>
        </w:tc>
        <w:tc>
          <w:tcPr>
            <w:tcW w:w="2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Stock-based compensation . . .</w:t>
            </w:r>
          </w:p>
        </w:tc>
        <w:tc>
          <w:tcPr>
            <w:tcW w:w="2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580" w:type="dxa"/>
            <w:vAlign w:val="bottom"/>
            <w:gridSpan w:val="2"/>
          </w:tcPr>
          <w:p>
            <w:pPr>
              <w:jc w:val="right"/>
              <w:ind w:right="120"/>
              <w:spacing w:after="0" w:line="246" w:lineRule="exact"/>
              <w:rPr>
                <w:sz w:val="20"/>
                <w:szCs w:val="20"/>
                <w:color w:val="auto"/>
              </w:rPr>
            </w:pPr>
            <w:r>
              <w:rPr>
                <w:rFonts w:ascii="Times New Roman" w:cs="Times New Roman" w:eastAsia="Times New Roman" w:hAnsi="Times New Roman"/>
                <w:sz w:val="20"/>
                <w:szCs w:val="20"/>
                <w:color w:val="auto"/>
                <w:w w:val="96"/>
              </w:rPr>
              <w:t>Other segment items</w:t>
            </w:r>
            <w:r>
              <w:rPr>
                <w:rFonts w:ascii="Times New Roman" w:cs="Times New Roman" w:eastAsia="Times New Roman" w:hAnsi="Times New Roman"/>
                <w:sz w:val="23"/>
                <w:szCs w:val="23"/>
                <w:color w:val="auto"/>
                <w:w w:val="96"/>
                <w:vertAlign w:val="superscript"/>
              </w:rPr>
              <w:t>(2)</w:t>
            </w:r>
            <w:r>
              <w:rPr>
                <w:rFonts w:ascii="Times New Roman" w:cs="Times New Roman" w:eastAsia="Times New Roman" w:hAnsi="Times New Roman"/>
                <w:sz w:val="20"/>
                <w:szCs w:val="20"/>
                <w:color w:val="auto"/>
                <w:w w:val="96"/>
              </w:rPr>
              <w:t xml:space="preserve"> . . . . . . .</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10,737</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16,744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580" w:type="dxa"/>
            <w:vAlign w:val="bottom"/>
            <w:gridSpan w:val="2"/>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rPr>
              <w:t>Segment income (loss) . . . .</w:t>
            </w:r>
          </w:p>
        </w:tc>
        <w:tc>
          <w:tcPr>
            <w:tcW w:w="22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5,431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31,677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2,900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40,008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Times New Roman" w:cs="Times New Roman" w:eastAsia="Times New Roman" w:hAnsi="Times New Roman"/>
                <w:sz w:val="20"/>
                <w:szCs w:val="20"/>
                <w:color w:val="auto"/>
              </w:rPr>
              <w:t>(34,589)</w:t>
            </w:r>
          </w:p>
        </w:tc>
        <w:tc>
          <w:tcPr>
            <w:tcW w:w="200" w:type="dxa"/>
            <w:vAlign w:val="bottom"/>
          </w:tcPr>
          <w:p>
            <w:pPr>
              <w:spacing w:after="0"/>
              <w:rPr>
                <w:sz w:val="19"/>
                <w:szCs w:val="19"/>
                <w:color w:val="auto"/>
              </w:rPr>
            </w:pPr>
          </w:p>
        </w:tc>
        <w:tc>
          <w:tcPr>
            <w:tcW w:w="76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5,419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i w:val="1"/>
                <w:iCs w:val="1"/>
                <w:color w:val="auto"/>
                <w:w w:val="99"/>
              </w:rPr>
              <w:t>Reconciliation of profit or loss</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0"/>
                <w:szCs w:val="20"/>
                <w:i w:val="1"/>
                <w:iCs w:val="1"/>
                <w:color w:val="auto"/>
              </w:rPr>
              <w:t>(segment income/(loss))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5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Income tax benefit . . . . . . . . .</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58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Net income . . . . . . . . . . . . .</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8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480" w:hanging="480"/>
        <w:spacing w:after="0" w:line="250"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 Intersegment expenses are included within the amounts shown in line Cost of sales and no intersegment profit was recognized</w:t>
      </w:r>
    </w:p>
    <w:p>
      <w:pPr>
        <w:sectPr>
          <w:pgSz w:w="12240" w:h="15840" w:orient="portrait"/>
          <w:cols w:equalWidth="0" w:num="1">
            <w:col w:w="9360"/>
          </w:cols>
          <w:pgMar w:left="1440" w:top="941" w:right="1440" w:bottom="353"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9360"/>
          </w:cols>
          <w:pgMar w:left="1440" w:top="941" w:right="1440" w:bottom="353"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300" w:hanging="300"/>
        <w:spacing w:after="0"/>
        <w:tabs>
          <w:tab w:leader="none" w:pos="300" w:val="left"/>
        </w:tabs>
        <w:numPr>
          <w:ilvl w:val="1"/>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REPORTABLE SEGMENTS AND GEOGRAPHIC INFORMATION </w:t>
      </w:r>
      <w:r>
        <w:rPr>
          <w:rFonts w:ascii="Times New Roman" w:cs="Times New Roman" w:eastAsia="Times New Roman" w:hAnsi="Times New Roman"/>
          <w:sz w:val="20"/>
          <w:szCs w:val="20"/>
          <w:color w:val="auto"/>
        </w:rPr>
        <w:t>(cont.)</w:t>
      </w:r>
    </w:p>
    <w:p>
      <w:pPr>
        <w:spacing w:after="0" w:line="173" w:lineRule="exact"/>
        <w:rPr>
          <w:rFonts w:ascii="Times New Roman" w:cs="Times New Roman" w:eastAsia="Times New Roman" w:hAnsi="Times New Roman"/>
          <w:sz w:val="20"/>
          <w:szCs w:val="20"/>
          <w:b w:val="1"/>
          <w:bCs w:val="1"/>
          <w:color w:val="auto"/>
        </w:rPr>
      </w:pPr>
    </w:p>
    <w:p>
      <w:pPr>
        <w:ind w:left="480" w:hanging="480"/>
        <w:spacing w:after="0"/>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for each reportable segment include:</w:t>
      </w:r>
    </w:p>
    <w:p>
      <w:pPr>
        <w:ind w:left="960" w:hanging="480"/>
        <w:spacing w:after="0" w:line="229" w:lineRule="auto"/>
        <w:tabs>
          <w:tab w:leader="none" w:pos="96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RNG — payroll, consulting, insurance and other expenses</w:t>
      </w:r>
    </w:p>
    <w:p>
      <w:pPr>
        <w:spacing w:after="0" w:line="6" w:lineRule="exact"/>
        <w:rPr>
          <w:rFonts w:ascii="Times New Roman" w:cs="Times New Roman" w:eastAsia="Times New Roman" w:hAnsi="Times New Roman"/>
          <w:sz w:val="20"/>
          <w:szCs w:val="20"/>
          <w:color w:val="auto"/>
        </w:rPr>
      </w:pPr>
    </w:p>
    <w:p>
      <w:pPr>
        <w:ind w:left="960" w:hanging="480"/>
        <w:spacing w:after="0" w:line="223" w:lineRule="auto"/>
        <w:tabs>
          <w:tab w:leader="none" w:pos="96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Fuel Station Services — payroll expenses, gain on RNG dispensing and asset impairment</w:t>
      </w:r>
    </w:p>
    <w:p>
      <w:pPr>
        <w:spacing w:after="0" w:line="6" w:lineRule="exact"/>
        <w:rPr>
          <w:rFonts w:ascii="Times New Roman" w:cs="Times New Roman" w:eastAsia="Times New Roman" w:hAnsi="Times New Roman"/>
          <w:sz w:val="20"/>
          <w:szCs w:val="20"/>
          <w:color w:val="auto"/>
        </w:rPr>
      </w:pPr>
    </w:p>
    <w:p>
      <w:pPr>
        <w:ind w:left="960" w:hanging="480"/>
        <w:spacing w:after="0" w:line="223" w:lineRule="auto"/>
        <w:tabs>
          <w:tab w:leader="none" w:pos="960" w:val="left"/>
        </w:tabs>
        <w:numPr>
          <w:ilvl w:val="2"/>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Renewable Power — payroll, consulting, insurance and other expenses, and asset impairment</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reflects certain other financial data for the reportable segments for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58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3"/>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3"/>
              <w:spacing w:after="0" w:line="201" w:lineRule="exact"/>
              <w:rPr>
                <w:sz w:val="20"/>
                <w:szCs w:val="20"/>
                <w:color w:val="auto"/>
              </w:rPr>
            </w:pPr>
            <w:r>
              <w:rPr>
                <w:rFonts w:ascii="Times New Roman" w:cs="Times New Roman" w:eastAsia="Times New Roman" w:hAnsi="Times New Roman"/>
                <w:sz w:val="18"/>
                <w:szCs w:val="18"/>
                <w:b w:val="1"/>
                <w:bCs w:val="1"/>
                <w:color w:val="auto"/>
              </w:rPr>
              <w:t>Power</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Segments</w:t>
            </w:r>
          </w:p>
        </w:tc>
        <w:tc>
          <w:tcPr>
            <w:tcW w:w="18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8"/>
        </w:trPr>
        <w:tc>
          <w:tcPr>
            <w:tcW w:w="25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Other segment disclosures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60"/>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other entities . . .</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223,594</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223,594</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223,594</w:t>
            </w:r>
          </w:p>
        </w:tc>
      </w:tr>
      <w:tr>
        <w:trPr>
          <w:trHeight w:val="260"/>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Segment assets . . . . . . . . . . . .</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635,927</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179,304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845,748</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35,329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881,077</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year ended December 31, 2024, the Company made the following cash payments for capital expenditures: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0"/>
        </w:trPr>
        <w:tc>
          <w:tcPr>
            <w:tcW w:w="2580" w:type="dxa"/>
            <w:vAlign w:val="bottom"/>
          </w:tcPr>
          <w:p>
            <w:pPr>
              <w:spacing w:after="0"/>
              <w:rPr>
                <w:sz w:val="18"/>
                <w:szCs w:val="18"/>
                <w:color w:val="auto"/>
              </w:rPr>
            </w:pPr>
          </w:p>
        </w:tc>
        <w:tc>
          <w:tcPr>
            <w:tcW w:w="960" w:type="dxa"/>
            <w:vAlign w:val="bottom"/>
            <w:tcBorders>
              <w:bottom w:val="single" w:sz="8" w:color="auto"/>
            </w:tcBorders>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5"/>
              <w:spacing w:after="0" w:line="201" w:lineRule="exact"/>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85"/>
              <w:spacing w:after="0" w:line="201" w:lineRule="exact"/>
              <w:rPr>
                <w:sz w:val="20"/>
                <w:szCs w:val="20"/>
                <w:color w:val="auto"/>
              </w:rPr>
            </w:pPr>
            <w:r>
              <w:rPr>
                <w:rFonts w:ascii="Times New Roman" w:cs="Times New Roman" w:eastAsia="Times New Roman" w:hAnsi="Times New Roman"/>
                <w:sz w:val="18"/>
                <w:szCs w:val="18"/>
                <w:b w:val="1"/>
                <w:bCs w:val="1"/>
                <w:color w:val="auto"/>
                <w:w w:val="97"/>
              </w:rPr>
              <w:t>Power</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Segments</w:t>
            </w:r>
          </w:p>
        </w:tc>
        <w:tc>
          <w:tcPr>
            <w:tcW w:w="180" w:type="dxa"/>
            <w:vAlign w:val="bottom"/>
          </w:tcPr>
          <w:p>
            <w:pPr>
              <w:spacing w:after="0"/>
              <w:rPr>
                <w:sz w:val="18"/>
                <w:szCs w:val="18"/>
                <w:color w:val="auto"/>
              </w:rPr>
            </w:pPr>
          </w:p>
        </w:tc>
        <w:tc>
          <w:tcPr>
            <w:tcW w:w="960" w:type="dxa"/>
            <w:vAlign w:val="bottom"/>
            <w:tcBorders>
              <w:bottom w:val="single" w:sz="8" w:color="auto"/>
            </w:tcBorders>
            <w:gridSpan w:val="2"/>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85"/>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3540" w:type="dxa"/>
            <w:vAlign w:val="bottom"/>
            <w:gridSpan w:val="2"/>
          </w:tcPr>
          <w:p>
            <w:pPr>
              <w:jc w:val="right"/>
              <w:ind w:right="1530"/>
              <w:spacing w:after="0"/>
              <w:rPr>
                <w:sz w:val="20"/>
                <w:szCs w:val="20"/>
                <w:color w:val="auto"/>
              </w:rPr>
            </w:pPr>
            <w:r>
              <w:rPr>
                <w:rFonts w:ascii="Times New Roman" w:cs="Times New Roman" w:eastAsia="Times New Roman" w:hAnsi="Times New Roman"/>
                <w:sz w:val="20"/>
                <w:szCs w:val="20"/>
                <w:color w:val="auto"/>
                <w:w w:val="99"/>
              </w:rPr>
              <w:t>Cash paid for purchases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0"/>
        </w:trPr>
        <w:tc>
          <w:tcPr>
            <w:tcW w:w="3540" w:type="dxa"/>
            <w:vAlign w:val="bottom"/>
            <w:gridSpan w:val="2"/>
          </w:tcPr>
          <w:p>
            <w:pPr>
              <w:jc w:val="right"/>
              <w:ind w:right="1530"/>
              <w:spacing w:after="0" w:line="220" w:lineRule="exact"/>
              <w:rPr>
                <w:sz w:val="20"/>
                <w:szCs w:val="20"/>
                <w:color w:val="auto"/>
              </w:rPr>
            </w:pPr>
            <w:r>
              <w:rPr>
                <w:rFonts w:ascii="Times New Roman" w:cs="Times New Roman" w:eastAsia="Times New Roman" w:hAnsi="Times New Roman"/>
                <w:sz w:val="20"/>
                <w:szCs w:val="20"/>
                <w:color w:val="auto"/>
              </w:rPr>
              <w:t>of property, plant and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3"/>
        </w:trPr>
        <w:tc>
          <w:tcPr>
            <w:tcW w:w="354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rPr>
              <w:t>equipment . . . . . . . . . . . . . .  $  108,825</w:t>
            </w:r>
          </w:p>
        </w:tc>
        <w:tc>
          <w:tcPr>
            <w:tcW w:w="3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18,414</w:t>
            </w:r>
          </w:p>
        </w:tc>
        <w:tc>
          <w:tcPr>
            <w:tcW w:w="3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ind w:left="580"/>
              <w:spacing w:after="0" w:line="223" w:lineRule="exact"/>
              <w:rPr>
                <w:sz w:val="20"/>
                <w:szCs w:val="20"/>
                <w:color w:val="auto"/>
              </w:rPr>
            </w:pPr>
            <w:r>
              <w:rPr>
                <w:rFonts w:ascii="Times New Roman" w:cs="Times New Roman" w:eastAsia="Times New Roman" w:hAnsi="Times New Roman"/>
                <w:sz w:val="20"/>
                <w:szCs w:val="20"/>
                <w:color w:val="auto"/>
                <w:w w:val="89"/>
              </w:rPr>
              <w:t>—</w:t>
            </w:r>
          </w:p>
        </w:tc>
        <w:tc>
          <w:tcPr>
            <w:tcW w:w="1140" w:type="dxa"/>
            <w:vAlign w:val="bottom"/>
            <w:gridSpan w:val="2"/>
          </w:tcPr>
          <w:p>
            <w:pPr>
              <w:jc w:val="center"/>
              <w:ind w:left="80"/>
              <w:spacing w:after="0" w:line="223" w:lineRule="exact"/>
              <w:rPr>
                <w:sz w:val="20"/>
                <w:szCs w:val="20"/>
                <w:color w:val="auto"/>
              </w:rPr>
            </w:pPr>
            <w:r>
              <w:rPr>
                <w:rFonts w:ascii="Times New Roman" w:cs="Times New Roman" w:eastAsia="Times New Roman" w:hAnsi="Times New Roman"/>
                <w:sz w:val="20"/>
                <w:szCs w:val="20"/>
                <w:color w:val="auto"/>
              </w:rPr>
              <w:t>$  127,239</w:t>
            </w:r>
          </w:p>
        </w:tc>
        <w:tc>
          <w:tcPr>
            <w:tcW w:w="600" w:type="dxa"/>
            <w:vAlign w:val="bottom"/>
            <w:gridSpan w:val="2"/>
          </w:tcPr>
          <w:p>
            <w:pPr>
              <w:jc w:val="right"/>
              <w:ind w:right="23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ind w:left="340"/>
              <w:spacing w:after="0" w:line="223" w:lineRule="exact"/>
              <w:rPr>
                <w:sz w:val="20"/>
                <w:szCs w:val="20"/>
                <w:color w:val="auto"/>
              </w:rPr>
            </w:pPr>
            <w:r>
              <w:rPr>
                <w:rFonts w:ascii="Times New Roman" w:cs="Times New Roman" w:eastAsia="Times New Roman" w:hAnsi="Times New Roman"/>
                <w:sz w:val="20"/>
                <w:szCs w:val="20"/>
                <w:color w:val="auto"/>
              </w:rPr>
              <w:t>—  $</w:t>
            </w:r>
          </w:p>
        </w:tc>
        <w:tc>
          <w:tcPr>
            <w:tcW w:w="7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127,239</w:t>
            </w:r>
          </w:p>
        </w:tc>
      </w:tr>
    </w:tbl>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reflects revenues from external customers by type for the reportable segments: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44"/>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RNG Fuel</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Brown gas sales . . . . . . . . . . . . . . . . . . . . . . . . . . . . . . . . . . . . . . . . . . . . . . . . .</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13,652</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4,745</w:t>
            </w:r>
          </w:p>
        </w:tc>
        <w:tc>
          <w:tcPr>
            <w:tcW w:w="0" w:type="dxa"/>
            <w:vAlign w:val="bottom"/>
          </w:tcPr>
          <w:p>
            <w:pPr>
              <w:spacing w:after="0"/>
              <w:rPr>
                <w:sz w:val="1"/>
                <w:szCs w:val="1"/>
                <w:color w:val="auto"/>
              </w:rPr>
            </w:pPr>
          </w:p>
        </w:tc>
      </w:tr>
      <w:tr>
        <w:trPr>
          <w:trHeight w:val="252"/>
        </w:trPr>
        <w:tc>
          <w:tcPr>
            <w:tcW w:w="6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Environmental attributes . . . . . . . . . . . . . . . . . . . . . . . . . . . . . . . . . . . . . . . . .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82,317</w:t>
            </w:r>
          </w:p>
        </w:tc>
        <w:tc>
          <w:tcPr>
            <w:tcW w:w="0" w:type="dxa"/>
            <w:vAlign w:val="bottom"/>
          </w:tcPr>
          <w:p>
            <w:pPr>
              <w:spacing w:after="0"/>
              <w:rPr>
                <w:sz w:val="1"/>
                <w:szCs w:val="1"/>
                <w:color w:val="auto"/>
              </w:rPr>
            </w:pPr>
          </w:p>
        </w:tc>
      </w:tr>
      <w:tr>
        <w:trPr>
          <w:trHeight w:val="253"/>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w:t>
            </w: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1,358</w:t>
            </w:r>
          </w:p>
        </w:tc>
        <w:tc>
          <w:tcPr>
            <w:tcW w:w="0" w:type="dxa"/>
            <w:vAlign w:val="bottom"/>
          </w:tcPr>
          <w:p>
            <w:pPr>
              <w:spacing w:after="0"/>
              <w:rPr>
                <w:sz w:val="1"/>
                <w:szCs w:val="1"/>
                <w:color w:val="auto"/>
              </w:rPr>
            </w:pPr>
          </w:p>
        </w:tc>
      </w:tr>
      <w:tr>
        <w:trPr>
          <w:trHeight w:val="23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Total RNG Fuel . . . . . . . . . . . . . . . . . . . . . . . . . . . . . . . . . . . . . . . . . . . . .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101,656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88,420</w:t>
            </w:r>
          </w:p>
        </w:tc>
        <w:tc>
          <w:tcPr>
            <w:tcW w:w="0" w:type="dxa"/>
            <w:vAlign w:val="bottom"/>
          </w:tcPr>
          <w:p>
            <w:pPr>
              <w:spacing w:after="0"/>
              <w:rPr>
                <w:sz w:val="1"/>
                <w:szCs w:val="1"/>
                <w:color w:val="auto"/>
              </w:rPr>
            </w:pPr>
          </w:p>
        </w:tc>
      </w:tr>
      <w:tr>
        <w:trPr>
          <w:trHeight w:val="232"/>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Fuel Station Services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OPAL owned stations . . . . . . . . . . . . . . . . . . . . . . . . . . . . . . . . . . . . . . . . . . .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20,957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17,659</w:t>
            </w:r>
          </w:p>
        </w:tc>
        <w:tc>
          <w:tcPr>
            <w:tcW w:w="0" w:type="dxa"/>
            <w:vAlign w:val="bottom"/>
          </w:tcPr>
          <w:p>
            <w:pPr>
              <w:spacing w:after="0"/>
              <w:rPr>
                <w:sz w:val="1"/>
                <w:szCs w:val="1"/>
                <w:color w:val="auto"/>
              </w:rPr>
            </w:pPr>
          </w:p>
        </w:tc>
      </w:tr>
      <w:tr>
        <w:trPr>
          <w:trHeight w:val="252"/>
        </w:trPr>
        <w:tc>
          <w:tcPr>
            <w:tcW w:w="65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Environmental attributes . . . . . . . . . . . . . . . . . . . . . . . . . . . . . . . . . . . . . . . . .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41,726</w:t>
            </w:r>
          </w:p>
        </w:tc>
        <w:tc>
          <w:tcPr>
            <w:tcW w:w="0" w:type="dxa"/>
            <w:vAlign w:val="bottom"/>
          </w:tcPr>
          <w:p>
            <w:pPr>
              <w:spacing w:after="0"/>
              <w:rPr>
                <w:sz w:val="1"/>
                <w:szCs w:val="1"/>
                <w:color w:val="auto"/>
              </w:rPr>
            </w:pPr>
          </w:p>
        </w:tc>
      </w:tr>
      <w:tr>
        <w:trPr>
          <w:trHeight w:val="28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RNG marketing</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 . . . . . . . . . . . . . . . . . . . . . . .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43,947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34,593</w:t>
            </w:r>
          </w:p>
        </w:tc>
        <w:tc>
          <w:tcPr>
            <w:tcW w:w="0" w:type="dxa"/>
            <w:vAlign w:val="bottom"/>
          </w:tcPr>
          <w:p>
            <w:pPr>
              <w:spacing w:after="0"/>
              <w:rPr>
                <w:sz w:val="1"/>
                <w:szCs w:val="1"/>
                <w:color w:val="auto"/>
              </w:rPr>
            </w:pPr>
          </w:p>
        </w:tc>
      </w:tr>
      <w:tr>
        <w:trPr>
          <w:trHeight w:val="223"/>
        </w:trPr>
        <w:tc>
          <w:tcPr>
            <w:tcW w:w="65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Third party station service and maintenance . . . . . . . . . . . . . . . . . . . .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27,976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24,984</w:t>
            </w:r>
          </w:p>
        </w:tc>
        <w:tc>
          <w:tcPr>
            <w:tcW w:w="0" w:type="dxa"/>
            <w:vAlign w:val="bottom"/>
          </w:tcPr>
          <w:p>
            <w:pPr>
              <w:spacing w:after="0"/>
              <w:rPr>
                <w:sz w:val="1"/>
                <w:szCs w:val="1"/>
                <w:color w:val="auto"/>
              </w:rPr>
            </w:pPr>
          </w:p>
        </w:tc>
      </w:tr>
      <w:tr>
        <w:trPr>
          <w:trHeight w:val="252"/>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Construction . . . . . . . . . . . . . . . . . . . . . . . . . . . . . . . . . . . . . . . . . . . . . . . . . .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49,040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39,767</w:t>
            </w:r>
          </w:p>
        </w:tc>
        <w:tc>
          <w:tcPr>
            <w:tcW w:w="0" w:type="dxa"/>
            <w:vAlign w:val="bottom"/>
          </w:tcPr>
          <w:p>
            <w:pPr>
              <w:spacing w:after="0"/>
              <w:rPr>
                <w:sz w:val="1"/>
                <w:szCs w:val="1"/>
                <w:color w:val="auto"/>
              </w:rPr>
            </w:pPr>
          </w:p>
        </w:tc>
      </w:tr>
      <w:tr>
        <w:trPr>
          <w:trHeight w:val="254"/>
        </w:trPr>
        <w:tc>
          <w:tcPr>
            <w:tcW w:w="6540" w:type="dxa"/>
            <w:vAlign w:val="bottom"/>
            <w:gridSpan w:val="2"/>
          </w:tcPr>
          <w:p>
            <w:pPr>
              <w:jc w:val="right"/>
              <w:ind w:right="180"/>
              <w:spacing w:after="0" w:line="254" w:lineRule="exact"/>
              <w:rPr>
                <w:sz w:val="20"/>
                <w:szCs w:val="20"/>
                <w:color w:val="auto"/>
              </w:rPr>
            </w:pPr>
            <w:r>
              <w:rPr>
                <w:rFonts w:ascii="Times New Roman" w:cs="Times New Roman" w:eastAsia="Times New Roman" w:hAnsi="Times New Roman"/>
                <w:sz w:val="20"/>
                <w:szCs w:val="20"/>
                <w:color w:val="auto"/>
              </w:rPr>
              <w:t>Lease revenues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xml:space="preserve"> . . . . . . . . . . . . . . . . . . . . . . . . . . . . . . . . . . . . . . . . . . . . . . . .</w:t>
            </w: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21,326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8,146</w:t>
            </w:r>
          </w:p>
        </w:tc>
        <w:tc>
          <w:tcPr>
            <w:tcW w:w="0" w:type="dxa"/>
            <w:vAlign w:val="bottom"/>
          </w:tcPr>
          <w:p>
            <w:pPr>
              <w:spacing w:after="0"/>
              <w:rPr>
                <w:sz w:val="1"/>
                <w:szCs w:val="1"/>
                <w:color w:val="auto"/>
              </w:rPr>
            </w:pPr>
          </w:p>
        </w:tc>
      </w:tr>
      <w:tr>
        <w:trPr>
          <w:trHeight w:val="23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Total Fuel Station Services . . . . . . . . . . . . . . . . . . . . . . . . . . . . . . . . . . . .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214,551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166,875</w:t>
            </w:r>
          </w:p>
        </w:tc>
        <w:tc>
          <w:tcPr>
            <w:tcW w:w="0" w:type="dxa"/>
            <w:vAlign w:val="bottom"/>
          </w:tcPr>
          <w:p>
            <w:pPr>
              <w:spacing w:after="0"/>
              <w:rPr>
                <w:sz w:val="1"/>
                <w:szCs w:val="1"/>
                <w:color w:val="auto"/>
              </w:rPr>
            </w:pPr>
          </w:p>
        </w:tc>
      </w:tr>
      <w:tr>
        <w:trPr>
          <w:trHeight w:val="232"/>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Renewable Power</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Electricity sales . . . . . . . . . . . . . . . . . . . . . . . . . . . . . . . . . . . . . . . . . . . . . . . .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22,713</w:t>
            </w:r>
          </w:p>
        </w:tc>
        <w:tc>
          <w:tcPr>
            <w:tcW w:w="0" w:type="dxa"/>
            <w:vAlign w:val="bottom"/>
          </w:tcPr>
          <w:p>
            <w:pPr>
              <w:spacing w:after="0"/>
              <w:rPr>
                <w:sz w:val="1"/>
                <w:szCs w:val="1"/>
                <w:color w:val="auto"/>
              </w:rPr>
            </w:pPr>
          </w:p>
        </w:tc>
      </w:tr>
      <w:tr>
        <w:trPr>
          <w:trHeight w:val="28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Environmental attributes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20"/>
                <w:szCs w:val="20"/>
                <w:color w:val="auto"/>
              </w:rPr>
              <w:t xml:space="preserve">  . . . . . . . . . . . . . . . . . . . . . . . . . . . . . . . . . . . . . . .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17,484</w:t>
            </w:r>
          </w:p>
        </w:tc>
        <w:tc>
          <w:tcPr>
            <w:tcW w:w="0" w:type="dxa"/>
            <w:vAlign w:val="bottom"/>
          </w:tcPr>
          <w:p>
            <w:pPr>
              <w:spacing w:after="0"/>
              <w:rPr>
                <w:sz w:val="1"/>
                <w:szCs w:val="1"/>
                <w:color w:val="auto"/>
              </w:rPr>
            </w:pPr>
          </w:p>
        </w:tc>
      </w:tr>
      <w:tr>
        <w:trPr>
          <w:trHeight w:val="223"/>
        </w:trPr>
        <w:tc>
          <w:tcPr>
            <w:tcW w:w="654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Capacity . . . . . . . . . . . . . . . . . . . . . . . . . . . . . . . . . . . . . . . . . . . . . . . .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3,109</w:t>
            </w:r>
          </w:p>
        </w:tc>
        <w:tc>
          <w:tcPr>
            <w:tcW w:w="0" w:type="dxa"/>
            <w:vAlign w:val="bottom"/>
          </w:tcPr>
          <w:p>
            <w:pPr>
              <w:spacing w:after="0"/>
              <w:rPr>
                <w:sz w:val="1"/>
                <w:szCs w:val="1"/>
                <w:color w:val="auto"/>
              </w:rPr>
            </w:pPr>
          </w:p>
        </w:tc>
      </w:tr>
      <w:tr>
        <w:trPr>
          <w:trHeight w:val="28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Lease revenues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 . . . . . . . . . . . . . . . . . . . . . . . . . . . . . . . . . . . . . . . . . . . . . . .</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0" w:type="dxa"/>
            <w:vAlign w:val="bottom"/>
          </w:tcPr>
          <w:p>
            <w:pPr>
              <w:spacing w:after="0"/>
              <w:rPr>
                <w:sz w:val="1"/>
                <w:szCs w:val="1"/>
                <w:color w:val="auto"/>
              </w:rPr>
            </w:pPr>
          </w:p>
        </w:tc>
      </w:tr>
      <w:tr>
        <w:trPr>
          <w:trHeight w:val="225"/>
        </w:trPr>
        <w:tc>
          <w:tcPr>
            <w:tcW w:w="6540" w:type="dxa"/>
            <w:vAlign w:val="bottom"/>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20"/>
                <w:szCs w:val="20"/>
                <w:color w:val="auto"/>
              </w:rPr>
              <w:t xml:space="preserve"> . . . . . . . . . . . . . . . . . . . . . . . . . . . . . . . . . . . . . . . . . . . . . . . . . . . . . . . .</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401</w:t>
            </w:r>
          </w:p>
        </w:tc>
        <w:tc>
          <w:tcPr>
            <w:tcW w:w="0" w:type="dxa"/>
            <w:vAlign w:val="bottom"/>
          </w:tcPr>
          <w:p>
            <w:pPr>
              <w:spacing w:after="0"/>
              <w:rPr>
                <w:sz w:val="1"/>
                <w:szCs w:val="1"/>
                <w:color w:val="auto"/>
              </w:rPr>
            </w:pPr>
          </w:p>
        </w:tc>
      </w:tr>
      <w:tr>
        <w:trPr>
          <w:trHeight w:val="230"/>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8"/>
              </w:rPr>
              <w:t>Total Renewable Power . . . . . . . . . . . . . . . . . . . . . . . . . . . . . . . . . . . . . . .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32,768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44,677</w:t>
            </w:r>
          </w:p>
        </w:tc>
        <w:tc>
          <w:tcPr>
            <w:tcW w:w="0" w:type="dxa"/>
            <w:vAlign w:val="bottom"/>
          </w:tcPr>
          <w:p>
            <w:pPr>
              <w:spacing w:after="0"/>
              <w:rPr>
                <w:sz w:val="1"/>
                <w:szCs w:val="1"/>
                <w:color w:val="auto"/>
              </w:rPr>
            </w:pPr>
          </w:p>
        </w:tc>
      </w:tr>
      <w:tr>
        <w:trPr>
          <w:trHeight w:val="232"/>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 . . . . . . . . . . . . . . . . . . . . . . . . . . . . . . . . . . . . . . . . . . . . . . . . . .Totalrevenues</w:t>
            </w:r>
          </w:p>
        </w:tc>
        <w:tc>
          <w:tcPr>
            <w:tcW w:w="28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348,975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299,972</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Revenue from contracts with customers</w:t>
            </w: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540" w:type="dxa"/>
            <w:vAlign w:val="bottom"/>
            <w:gridSpan w:val="2"/>
            <w:vMerge w:val="continue"/>
          </w:tcPr>
          <w:p>
            <w:pPr>
              <w:jc w:val="right"/>
              <w:ind w:right="180"/>
              <w:spacing w:after="0" w:line="144" w:lineRule="exact"/>
              <w:rPr>
                <w:sz w:val="20"/>
                <w:szCs w:val="20"/>
                <w:color w:val="auto"/>
              </w:rPr>
            </w:pPr>
            <w:r>
              <w:rPr>
                <w:rFonts w:ascii="Times New Roman" w:cs="Times New Roman" w:eastAsia="Times New Roman" w:hAnsi="Times New Roman"/>
                <w:sz w:val="16"/>
                <w:szCs w:val="16"/>
                <w:color w:val="auto"/>
              </w:rPr>
              <w:t>. . . . . . . . . . . . . . . . . . . . . . . . . . . . . . . .</w:t>
            </w:r>
          </w:p>
        </w:tc>
        <w:tc>
          <w:tcPr>
            <w:tcW w:w="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95"/>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326,717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40"/>
              <w:spacing w:after="0" w:line="194"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20"/>
                <w:szCs w:val="20"/>
                <w:color w:val="auto"/>
              </w:rPr>
              <w:t>290,856</w:t>
            </w:r>
          </w:p>
        </w:tc>
        <w:tc>
          <w:tcPr>
            <w:tcW w:w="0" w:type="dxa"/>
            <w:vAlign w:val="bottom"/>
          </w:tcPr>
          <w:p>
            <w:pPr>
              <w:spacing w:after="0"/>
              <w:rPr>
                <w:sz w:val="1"/>
                <w:szCs w:val="1"/>
                <w:color w:val="auto"/>
              </w:rPr>
            </w:pPr>
          </w:p>
        </w:tc>
      </w:tr>
      <w:tr>
        <w:trPr>
          <w:trHeight w:val="231"/>
        </w:trPr>
        <w:tc>
          <w:tcPr>
            <w:tcW w:w="65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Revenue from lease arrangements . . . . . . . . . . . . . . . . . . . . . . . . . . . . . . . . . . . .</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22,258</w:t>
            </w:r>
          </w:p>
        </w:tc>
        <w:tc>
          <w:tcPr>
            <w:tcW w:w="1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9,116</w:t>
            </w:r>
          </w:p>
        </w:tc>
        <w:tc>
          <w:tcPr>
            <w:tcW w:w="0" w:type="dxa"/>
            <w:vAlign w:val="bottom"/>
          </w:tcPr>
          <w:p>
            <w:pPr>
              <w:spacing w:after="0"/>
              <w:rPr>
                <w:sz w:val="1"/>
                <w:szCs w:val="1"/>
                <w:color w:val="auto"/>
              </w:rPr>
            </w:pPr>
          </w:p>
        </w:tc>
      </w:tr>
      <w:tr>
        <w:trPr>
          <w:trHeight w:val="77"/>
        </w:trPr>
        <w:tc>
          <w:tcPr>
            <w:tcW w:w="880" w:type="dxa"/>
            <w:vAlign w:val="bottom"/>
            <w:tcBorders>
              <w:bottom w:val="single" w:sz="8" w:color="auto"/>
            </w:tcBorders>
          </w:tcPr>
          <w:p>
            <w:pPr>
              <w:spacing w:after="0"/>
              <w:rPr>
                <w:sz w:val="6"/>
                <w:szCs w:val="6"/>
                <w:color w:val="auto"/>
              </w:rPr>
            </w:pPr>
          </w:p>
        </w:tc>
        <w:tc>
          <w:tcPr>
            <w:tcW w:w="56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80" w:hanging="480"/>
        <w:spacing w:after="0" w:line="245" w:lineRule="auto"/>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RNG marketing in the Fuel Station Services segment relate to revenues earned from Environmental Attribute generation and monetization services.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9360"/>
          </w:cols>
          <w:pgMar w:left="1440" w:top="941" w:right="1440" w:bottom="353"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ind w:left="300" w:hanging="300"/>
        <w:spacing w:after="0"/>
        <w:tabs>
          <w:tab w:leader="none" w:pos="300" w:val="left"/>
        </w:tabs>
        <w:numPr>
          <w:ilvl w:val="1"/>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REPORTABLE SEGMENTS AND GEOGRAPHIC INFORMATION </w:t>
      </w:r>
      <w:r>
        <w:rPr>
          <w:rFonts w:ascii="Times New Roman" w:cs="Times New Roman" w:eastAsia="Times New Roman" w:hAnsi="Times New Roman"/>
          <w:sz w:val="20"/>
          <w:szCs w:val="20"/>
          <w:color w:val="auto"/>
        </w:rPr>
        <w:t>(cont.)</w:t>
      </w:r>
    </w:p>
    <w:p>
      <w:pPr>
        <w:spacing w:after="0" w:line="181" w:lineRule="exact"/>
        <w:rPr>
          <w:rFonts w:ascii="Times New Roman" w:cs="Times New Roman" w:eastAsia="Times New Roman" w:hAnsi="Times New Roman"/>
          <w:sz w:val="20"/>
          <w:szCs w:val="20"/>
          <w:b w:val="1"/>
          <w:bCs w:val="1"/>
          <w:color w:val="auto"/>
        </w:rPr>
      </w:pPr>
    </w:p>
    <w:p>
      <w:pPr>
        <w:jc w:val="both"/>
        <w:ind w:left="480" w:hanging="480"/>
        <w:spacing w:after="0" w:line="251"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Station Services lease revenue relates to revenue from fuel purchasing agreements where we determined that we transferred the right to control the use of the station to the purchaser. Includes sales-type lease revenues of $7,734 and $— respectively, for the years ended December 31, 2025 and 2024, from customers domiciled outside of United States. All remaining lease revenue relates to operating leases.</w:t>
      </w:r>
    </w:p>
    <w:p>
      <w:pPr>
        <w:spacing w:after="0" w:line="13"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of $— and $16,286 respectively, for the years ended December 31, 2025 and 2024, from customers domiciled outside of United States.</w:t>
      </w:r>
    </w:p>
    <w:p>
      <w:pPr>
        <w:spacing w:after="0" w:line="17" w:lineRule="exact"/>
        <w:rPr>
          <w:rFonts w:ascii="Times New Roman" w:cs="Times New Roman" w:eastAsia="Times New Roman" w:hAnsi="Times New Roman"/>
          <w:sz w:val="18"/>
          <w:szCs w:val="18"/>
          <w:color w:val="auto"/>
        </w:rPr>
      </w:pPr>
    </w:p>
    <w:p>
      <w:pPr>
        <w:ind w:left="480" w:hanging="480"/>
        <w:spacing w:after="0" w:line="245" w:lineRule="auto"/>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Power operating lease revenue relates to revenue from power purchase agreements where we determined that we transferred the right to control the use of the power plant to the purchaser.</w:t>
      </w:r>
    </w:p>
    <w:p>
      <w:pPr>
        <w:spacing w:after="0" w:line="9"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fee revenues earned from management of operations of equity method entities</w:t>
      </w:r>
    </w:p>
    <w:p>
      <w:pPr>
        <w:spacing w:after="0" w:line="183"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tables below outline the revenue from customers that comprise 10% or more of our consolidated revenue, along with their respective percentages of revenue by each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8"/>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07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07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94"/>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r>
      <w:tr>
        <w:trPr>
          <w:trHeight w:val="210"/>
        </w:trPr>
        <w:tc>
          <w:tcPr>
            <w:tcW w:w="34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Customer A</w:t>
            </w:r>
          </w:p>
        </w:tc>
        <w:tc>
          <w:tcPr>
            <w:tcW w:w="180" w:type="dxa"/>
            <w:vAlign w:val="bottom"/>
          </w:tcPr>
          <w:p>
            <w:pPr>
              <w:spacing w:after="0"/>
              <w:rPr>
                <w:sz w:val="18"/>
                <w:szCs w:val="18"/>
                <w:color w:val="auto"/>
              </w:rPr>
            </w:pPr>
          </w:p>
        </w:tc>
        <w:tc>
          <w:tcPr>
            <w:tcW w:w="1060" w:type="dxa"/>
            <w:vAlign w:val="bottom"/>
            <w:tcBorders>
              <w:bottom w:val="single" w:sz="8" w:color="auto"/>
            </w:tcBorders>
          </w:tcPr>
          <w:p>
            <w:pPr>
              <w:ind w:left="300"/>
              <w:spacing w:after="0" w:line="20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Pr>
          <w:p>
            <w:pPr>
              <w:spacing w:after="0"/>
              <w:rPr>
                <w:sz w:val="18"/>
                <w:szCs w:val="18"/>
                <w:color w:val="auto"/>
              </w:rPr>
            </w:pPr>
          </w:p>
        </w:tc>
        <w:tc>
          <w:tcPr>
            <w:tcW w:w="1060" w:type="dxa"/>
            <w:vAlign w:val="bottom"/>
            <w:tcBorders>
              <w:bottom w:val="single" w:sz="8" w:color="auto"/>
            </w:tcBorders>
          </w:tcPr>
          <w:p>
            <w:pPr>
              <w:ind w:left="300"/>
              <w:spacing w:after="0" w:line="20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total revenue</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RNG Fuel . . . . . . . . . . . . . . . . . . . . . . . . . .</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67,643</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19.4%</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0" w:type="dxa"/>
            <w:vAlign w:val="bottom"/>
          </w:tcPr>
          <w:p>
            <w:pPr>
              <w:spacing w:after="0"/>
              <w:rPr>
                <w:sz w:val="1"/>
                <w:szCs w:val="1"/>
                <w:color w:val="auto"/>
              </w:rPr>
            </w:pPr>
          </w:p>
        </w:tc>
      </w:tr>
      <w:tr>
        <w:trPr>
          <w:trHeight w:val="26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Fuel Station Services . . . . . . . . . . . . . . . . .</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42,874</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12.3%</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36,131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260"/>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Renewable Power . . . . . . . . . . . . . . . . . . . .</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6,822</w:t>
            </w:r>
          </w:p>
        </w:tc>
        <w:tc>
          <w:tcPr>
            <w:tcW w:w="180" w:type="dxa"/>
            <w:vAlign w:val="bottom"/>
          </w:tcPr>
          <w:p>
            <w:pPr>
              <w:spacing w:after="0"/>
              <w:rPr>
                <w:sz w:val="22"/>
                <w:szCs w:val="22"/>
                <w:color w:val="auto"/>
              </w:rPr>
            </w:pP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 . . . . . . . . . . . . . . . . . . . . . . . . . . . . .</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60" w:type="dxa"/>
            <w:vAlign w:val="bottom"/>
            <w:gridSpan w:val="2"/>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117,339</w:t>
            </w:r>
          </w:p>
        </w:tc>
        <w:tc>
          <w:tcPr>
            <w:tcW w:w="180" w:type="dxa"/>
            <w:vAlign w:val="bottom"/>
          </w:tcPr>
          <w:p>
            <w:pPr>
              <w:spacing w:after="0"/>
              <w:rPr>
                <w:sz w:val="20"/>
                <w:szCs w:val="20"/>
                <w:color w:val="auto"/>
              </w:rPr>
            </w:pP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33.7%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1025"/>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Percentages of</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Customer B</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3"/>
              <w:spacing w:after="0" w:line="20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18"/>
                <w:szCs w:val="18"/>
                <w:color w:val="auto"/>
              </w:rPr>
            </w:pPr>
          </w:p>
        </w:tc>
        <w:tc>
          <w:tcPr>
            <w:tcW w:w="1280" w:type="dxa"/>
            <w:vAlign w:val="bottom"/>
            <w:tcBorders>
              <w:bottom w:val="single" w:sz="8" w:color="auto"/>
            </w:tcBorders>
            <w:gridSpan w:val="3"/>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 revenue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3"/>
              <w:spacing w:after="0" w:line="201"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Fuel Station Services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640" w:type="dxa"/>
            <w:vAlign w:val="bottom"/>
            <w:gridSpan w:val="6"/>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42,028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740"/>
        <w:spacing w:after="0" w:line="244" w:lineRule="auto"/>
        <w:tabs>
          <w:tab w:leader="none" w:pos="294"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REDEEMABLE NON-CONTROLLING INTEREST, REDEEMABLE PREFERRED NON-CONTROLLING INTEREST AND STOCKHOLDERS’ DEFICIT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As of December 31, 2025, the Company is authorized to issue 340,000,000 shares of Class A common stock, 160,000,000 shares of Class B common stock, 160,000,000 shares of Class C common stock, and 160,000,000 shares of Class D common stock.</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Shares of Class B and Class D common stock do not have any economic value except voting rights as described below.</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April 23, 2025, our ultimate controlling stockholder, Fortistar, through its subsidiary OPAL Holdco LLC, exchanged 50,000,000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had no effect on the economic interest in the Company held by Fortistar.</w:t>
      </w:r>
    </w:p>
    <w:p>
      <w:pPr>
        <w:spacing w:after="0" w:line="172"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 March 12, 2024, Fortistar, through its subsidiary OPAL Holdco LLC, converted 71,500,000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LLC. Fortistar converted such shares in order that the Company’s Class A common stock would become eligible for inclusion in certain stock market indices, on which many broad-based mutual funds and exchange-traded index funds are based.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9360"/>
          </w:cols>
          <w:pgMar w:left="1440" w:top="941" w:right="1440" w:bottom="353"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right="1740"/>
        <w:spacing w:after="0" w:line="270" w:lineRule="auto"/>
        <w:tabs>
          <w:tab w:leader="none" w:pos="294"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REDEEMABLE NON-CONTROLLING INTEREST, REDEEMABLE PREFERRED NON-CONTROLLING INTEREST AND STOCKHOLDERS’ DEFICIT </w:t>
      </w:r>
      <w:r>
        <w:rPr>
          <w:rFonts w:ascii="Times New Roman" w:cs="Times New Roman" w:eastAsia="Times New Roman" w:hAnsi="Times New Roman"/>
          <w:sz w:val="19"/>
          <w:szCs w:val="19"/>
          <w:color w:val="auto"/>
        </w:rPr>
        <w:t>(cont.)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Redeemable Preferred Non-controlling Interests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Upon completion of the Business Combination, the Company effectively assumed the Series A-1 and Series A preferred units previously issued by OPAL Fuels LLC to Hillman and NextEra, respectively. Following the transaction, these preferred units were presented as redeemable preferred non-controlling interests in the Company’s consolidated financial statements.</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changes in the redeemable preferred non-controlling interests which represent Series A and Series A-1 preferred units outstanding at OPAL Fuels level from December 31, 2024 to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72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Series A-1</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620" w:type="dxa"/>
            <w:vAlign w:val="bottom"/>
          </w:tcPr>
          <w:p>
            <w:pPr>
              <w:spacing w:after="0"/>
              <w:rPr>
                <w:sz w:val="18"/>
                <w:szCs w:val="18"/>
                <w:color w:val="auto"/>
              </w:rPr>
            </w:pPr>
          </w:p>
        </w:tc>
        <w:tc>
          <w:tcPr>
            <w:tcW w:w="272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preferred units</w:t>
            </w:r>
          </w:p>
        </w:tc>
        <w:tc>
          <w:tcPr>
            <w:tcW w:w="2660" w:type="dxa"/>
            <w:vAlign w:val="bottom"/>
            <w:gridSpan w:val="5"/>
          </w:tcPr>
          <w:p>
            <w:pPr>
              <w:jc w:val="right"/>
              <w:ind w:right="820"/>
              <w:spacing w:after="0" w:line="201" w:lineRule="exact"/>
              <w:rPr>
                <w:sz w:val="20"/>
                <w:szCs w:val="20"/>
                <w:color w:val="auto"/>
              </w:rPr>
            </w:pPr>
            <w:r>
              <w:rPr>
                <w:rFonts w:ascii="Times New Roman" w:cs="Times New Roman" w:eastAsia="Times New Roman" w:hAnsi="Times New Roman"/>
                <w:sz w:val="18"/>
                <w:szCs w:val="18"/>
                <w:b w:val="1"/>
                <w:bCs w:val="1"/>
                <w:color w:val="auto"/>
              </w:rPr>
              <w:t>preferred units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620" w:type="dxa"/>
            <w:vAlign w:val="bottom"/>
          </w:tcPr>
          <w:p>
            <w:pPr>
              <w:spacing w:after="0"/>
              <w:rPr>
                <w:sz w:val="17"/>
                <w:szCs w:val="17"/>
                <w:color w:val="auto"/>
              </w:rPr>
            </w:pPr>
          </w:p>
        </w:tc>
        <w:tc>
          <w:tcPr>
            <w:tcW w:w="1180" w:type="dxa"/>
            <w:vAlign w:val="bottom"/>
            <w:tcBorders>
              <w:top w:val="single" w:sz="8" w:color="auto"/>
            </w:tcBorders>
          </w:tcPr>
          <w:p>
            <w:pPr>
              <w:jc w:val="right"/>
              <w:ind w:right="284"/>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8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Borders>
              <w:top w:val="single" w:sz="8" w:color="auto"/>
            </w:tcBorders>
          </w:tcPr>
          <w:p>
            <w:pPr>
              <w:jc w:val="right"/>
              <w:ind w:right="284"/>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82"/>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w:t>
            </w:r>
          </w:p>
        </w:tc>
        <w:tc>
          <w:tcPr>
            <w:tcW w:w="1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2024. . . . . . . . . . . . . . . . . . .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300,000</w:t>
            </w:r>
          </w:p>
        </w:tc>
        <w:tc>
          <w:tcPr>
            <w:tcW w:w="3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1,000,000</w:t>
            </w:r>
          </w:p>
        </w:tc>
        <w:tc>
          <w:tcPr>
            <w:tcW w:w="44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100,000</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130,000</w:t>
            </w:r>
          </w:p>
        </w:tc>
        <w:tc>
          <w:tcPr>
            <w:tcW w:w="60" w:type="dxa"/>
            <w:vAlign w:val="bottom"/>
          </w:tcPr>
          <w:p>
            <w:pPr>
              <w:spacing w:after="0"/>
              <w:rPr>
                <w:sz w:val="19"/>
                <w:szCs w:val="19"/>
                <w:color w:val="auto"/>
              </w:rPr>
            </w:pP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Preferred dividends</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26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attributable to redeemable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non-controlling interest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6,706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8,718</w:t>
            </w:r>
          </w:p>
        </w:tc>
        <w:tc>
          <w:tcPr>
            <w:tcW w:w="60" w:type="dxa"/>
            <w:vAlign w:val="bottom"/>
          </w:tcPr>
          <w:p>
            <w:pPr>
              <w:spacing w:after="0"/>
              <w:rPr>
                <w:sz w:val="19"/>
                <w:szCs w:val="19"/>
                <w:color w:val="auto"/>
              </w:rPr>
            </w:pP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Preferred dividends</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26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attributable to Class A</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common stockholders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1,751</w:t>
            </w:r>
          </w:p>
        </w:tc>
        <w:tc>
          <w:tcPr>
            <w:tcW w:w="60" w:type="dxa"/>
            <w:vAlign w:val="bottom"/>
          </w:tcPr>
          <w:p>
            <w:pPr>
              <w:spacing w:after="0"/>
              <w:rPr>
                <w:sz w:val="19"/>
                <w:szCs w:val="19"/>
                <w:color w:val="auto"/>
              </w:rPr>
            </w:pP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Payment of preferred</w:t>
            </w: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dividends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(2,416)</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(8,053)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(10,469)</w:t>
            </w:r>
          </w:p>
        </w:tc>
      </w:tr>
      <w:tr>
        <w:trPr>
          <w:trHeight w:val="237"/>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w:t>
            </w:r>
          </w:p>
        </w:tc>
        <w:tc>
          <w:tcPr>
            <w:tcW w:w="1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4"/>
        </w:trPr>
        <w:tc>
          <w:tcPr>
            <w:tcW w:w="2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2025. . . . . . . . . . . . . . . . . . .</w:t>
            </w: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300,000</w:t>
            </w:r>
          </w:p>
        </w:tc>
        <w:tc>
          <w:tcPr>
            <w:tcW w:w="360" w:type="dxa"/>
            <w:vAlign w:val="bottom"/>
            <w:gridSpan w:val="2"/>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30,000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1,000,000</w:t>
            </w:r>
          </w:p>
        </w:tc>
        <w:tc>
          <w:tcPr>
            <w:tcW w:w="440" w:type="dxa"/>
            <w:vAlign w:val="bottom"/>
            <w:gridSpan w:val="2"/>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100,000</w:t>
            </w:r>
          </w:p>
        </w:tc>
        <w:tc>
          <w:tcPr>
            <w:tcW w:w="120" w:type="dxa"/>
            <w:vAlign w:val="bottom"/>
          </w:tcPr>
          <w:p>
            <w:pPr>
              <w:spacing w:after="0"/>
              <w:rPr>
                <w:sz w:val="19"/>
                <w:szCs w:val="19"/>
                <w:color w:val="auto"/>
              </w:rPr>
            </w:pPr>
          </w:p>
        </w:tc>
        <w:tc>
          <w:tcPr>
            <w:tcW w:w="30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130,000</w:t>
            </w:r>
          </w:p>
        </w:tc>
        <w:tc>
          <w:tcPr>
            <w:tcW w:w="6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Terms of Redeemable Preferred Units</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Series A and Series A-1 preferred units (together the “Preferred Units”) have substantially the same terms and features which are listed below:</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Voting: The Series A-1 preferred units to Hillman do not have any voting rights. The Series A preferred units issued to NextEra have limited rights to prevent the Opal Fuels LLC from taking certain actions including (i) major issuances of new debt or equity (ii) executing transactions with affiliates which are not on an arm’s-length basis (iii) major dispositions of assets and (iv) major acquisitions of assets outside of the primary business.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Liquidation preference: In the event of liquidation of the Company, each holder of Series A units and Series A-1 units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169" w:lineRule="exact"/>
        <w:rPr>
          <w:sz w:val="20"/>
          <w:szCs w:val="20"/>
          <w:color w:val="auto"/>
        </w:rPr>
      </w:pPr>
    </w:p>
    <w:p>
      <w:pPr>
        <w:jc w:val="both"/>
        <w:ind w:firstLine="480"/>
        <w:spacing w:after="0" w:line="266" w:lineRule="auto"/>
        <w:rPr>
          <w:sz w:val="20"/>
          <w:szCs w:val="20"/>
          <w:color w:val="auto"/>
        </w:rPr>
      </w:pPr>
      <w:r>
        <w:rPr>
          <w:rFonts w:ascii="Times New Roman" w:cs="Times New Roman" w:eastAsia="Times New Roman" w:hAnsi="Times New Roman"/>
          <w:sz w:val="19"/>
          <w:szCs w:val="19"/>
          <w:color w:val="auto"/>
        </w:rPr>
        <w:t>Redemption and conversion: At any time after issuance, the Company may redeem the Preferred Units for a price equal to original issue price of $100 per unit plus any accrued and unpaid dividends. Holders of the Preferred Units may redeem for an amount equal to original issue price of $100 per unit plus any accrued and unpaid dividends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9360"/>
          </w:cols>
          <w:pgMar w:left="1440" w:top="942" w:right="1440" w:bottom="353" w:gutter="0" w:footer="0" w:header="0"/>
          <w:type w:val="continuous"/>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5" w:lineRule="exact"/>
        <w:rPr>
          <w:sz w:val="20"/>
          <w:szCs w:val="20"/>
          <w:color w:val="auto"/>
        </w:rPr>
      </w:pPr>
    </w:p>
    <w:p>
      <w:pPr>
        <w:ind w:right="1760"/>
        <w:spacing w:after="0" w:line="270" w:lineRule="auto"/>
        <w:tabs>
          <w:tab w:leader="none" w:pos="294" w:val="left"/>
        </w:tabs>
        <w:numPr>
          <w:ilvl w:val="0"/>
          <w:numId w:val="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REDEEMABLE NON-CONTROLLING INTEREST, REDEEMABLE PREFERRED NON-CONTROLLING INTEREST AND STOCKHOLDERS’ DEFICIT </w:t>
      </w:r>
      <w:r>
        <w:rPr>
          <w:rFonts w:ascii="Times New Roman" w:cs="Times New Roman" w:eastAsia="Times New Roman" w:hAnsi="Times New Roman"/>
          <w:sz w:val="19"/>
          <w:szCs w:val="19"/>
          <w:color w:val="auto"/>
        </w:rPr>
        <w:t>(cont.)</w:t>
      </w:r>
    </w:p>
    <w:p>
      <w:pPr>
        <w:spacing w:after="0" w:line="126"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upon (i) occurrence of certain change in control event (ii) at the end of four years from the date of issuance, except that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was November 29, 2025. NextEra provided such written notice during the fourth quarter of 2025, and the Company has 90 days from the date of notice to respond in accordance with the terms of the Series A preferred units. The Company must also redeem all NextEra Series A preferred units on which the redemption option has been exercised prior to redeeming any Hillman Series A-1 preferred units.</w:t>
      </w:r>
    </w:p>
    <w:p>
      <w:pPr>
        <w:spacing w:after="0" w:line="171"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0"/>
          <w:szCs w:val="20"/>
          <w:color w:val="auto"/>
        </w:rPr>
        <w:t>In the event the Company does not redeem the Series A preferred units when requested, Nextera will have the following rights and remedies: (1) NextEra’s affiliate may extend the RNG Marketing Agreement by 12 months; or</w:t>
      </w:r>
    </w:p>
    <w:p>
      <w:pPr>
        <w:spacing w:after="0" w:line="14" w:lineRule="exact"/>
        <w:rPr>
          <w:sz w:val="20"/>
          <w:szCs w:val="20"/>
          <w:color w:val="auto"/>
        </w:rPr>
      </w:pPr>
    </w:p>
    <w:p>
      <w:pPr>
        <w:jc w:val="both"/>
        <w:ind w:right="20"/>
        <w:spacing w:after="0" w:line="249" w:lineRule="auto"/>
        <w:tabs>
          <w:tab w:leader="none" w:pos="28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dividend rate would increase depending on the length of time the Series A preferred units remain unredeemed to up to 20% per annum, and if more than $25,000 preferred equity is outstanding for more than six months after November 29, 2025, NextEra may appoint a director to our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spacing w:after="0" w:line="168" w:lineRule="exact"/>
        <w:rPr>
          <w:sz w:val="20"/>
          <w:szCs w:val="20"/>
          <w:color w:val="auto"/>
        </w:rPr>
      </w:pPr>
    </w:p>
    <w:p>
      <w:pPr>
        <w:jc w:val="both"/>
        <w:ind w:right="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Subsequent to December 31, 2025, the Company redeemed the Series A preferred units in connection with the sale of Series A preferred units to Preferred Fuels LLC. See </w:t>
      </w:r>
      <w:r>
        <w:rPr>
          <w:rFonts w:ascii="Times New Roman" w:cs="Times New Roman" w:eastAsia="Times New Roman" w:hAnsi="Times New Roman"/>
          <w:sz w:val="20"/>
          <w:szCs w:val="20"/>
          <w:i w:val="1"/>
          <w:iCs w:val="1"/>
          <w:color w:val="auto"/>
        </w:rPr>
        <w:t>Note 16. Subsequent Events</w:t>
      </w:r>
      <w:r>
        <w:rPr>
          <w:rFonts w:ascii="Times New Roman" w:cs="Times New Roman" w:eastAsia="Times New Roman" w:hAnsi="Times New Roman"/>
          <w:sz w:val="20"/>
          <w:szCs w:val="20"/>
          <w:color w:val="auto"/>
        </w:rPr>
        <w:t xml:space="preserve"> for additional details regarding these transactions. In connection with these transactions, on March 6, 2026, OPAL Fuels LLC approved and adopted an Amended and Restated Certificate of Designations of Series A Preferred Units (the “Amended Series A Certificate of Designations”). Among other things, the Amended Series A Certificate of Designations increased the dividend rates to 12% per annum (compounding quarterly) with a partial payment-in-kind option, revised the mandatory redemption provisions (including the addition of redemption triggers upon certain events or after the fifth anniversary of the issuance date), added enhanced protective covenants and transfer restrictions, and updated certain other terms and definitions to reflect the current transaction structure. Additionally, Preferred Fuels LLC has the right, but not the obligation, to appoint a single director to the Board of the Company if OPAL Fuels LLC fails to redeem any Series A preferred units within 90 days of the date on which Preferred Fuels LLC requests mandatory redemption of such Series A preferred units.</w:t>
      </w:r>
    </w:p>
    <w:p>
      <w:pPr>
        <w:spacing w:after="0" w:line="177" w:lineRule="exact"/>
        <w:rPr>
          <w:sz w:val="20"/>
          <w:szCs w:val="20"/>
          <w:color w:val="auto"/>
        </w:rPr>
      </w:pPr>
    </w:p>
    <w:p>
      <w:pPr>
        <w:jc w:val="both"/>
        <w:ind w:right="20" w:firstLine="480"/>
        <w:spacing w:after="0" w:line="246" w:lineRule="auto"/>
        <w:rPr>
          <w:sz w:val="20"/>
          <w:szCs w:val="20"/>
          <w:color w:val="auto"/>
        </w:rPr>
      </w:pPr>
      <w:r>
        <w:rPr>
          <w:rFonts w:ascii="Times New Roman" w:cs="Times New Roman" w:eastAsia="Times New Roman" w:hAnsi="Times New Roman"/>
          <w:sz w:val="20"/>
          <w:szCs w:val="20"/>
          <w:color w:val="auto"/>
        </w:rPr>
        <w:t>Redeemable preferred non-controlling interests have been presented as mezzanine equity in the consolidated statements of changes in redeemable non-controlling interest, redeemable preferred non-controlling interest and stockholders’ deficit. The conversion feature does not represent a derivative.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177" w:lineRule="exact"/>
        <w:rPr>
          <w:sz w:val="20"/>
          <w:szCs w:val="20"/>
          <w:color w:val="auto"/>
        </w:rPr>
      </w:pPr>
    </w:p>
    <w:p>
      <w:pPr>
        <w:jc w:val="both"/>
        <w:ind w:right="20" w:firstLine="480"/>
        <w:spacing w:after="0" w:line="264" w:lineRule="auto"/>
        <w:rPr>
          <w:sz w:val="20"/>
          <w:szCs w:val="20"/>
          <w:color w:val="auto"/>
        </w:rPr>
      </w:pPr>
      <w:r>
        <w:rPr>
          <w:rFonts w:ascii="Times New Roman" w:cs="Times New Roman" w:eastAsia="Times New Roman" w:hAnsi="Times New Roman"/>
          <w:sz w:val="19"/>
          <w:szCs w:val="19"/>
          <w:color w:val="auto"/>
        </w:rPr>
        <w:t>Upon consummation of the Business Combination, OPAL Fuels and its members caused the existing limited liability company agreement to be amended and restated. In connection therewith, all of the common units of OPAL Fuels LLC issued and outstanding immediately prior to the Business Combination were re-classified into 144,399,037 Class B Units. Each Class B Unit is paired with a single share of Class B or Class D of common stock issued by the Company. Each share of Class B common stock is exchangeable for one share of Class A common stock and each share of Class D common stock is exchangeable for one share of Class C common stock. Upon an exchange for Class A or Class C common stock, the Company has the option to redeem shares for cash at their market value.</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Redeemable non-controlling interests have been presented as mezzanine equity in the consolidated statements of changes in redeemable non-controlling interest, redeemable preferred non-controlling interest and stockholders’ deficit. As of December 31, 2025, the Company recorded $130,718 to adjust the carrying value to their redemption value based on a five-day VWAP of $2.62 per share.</w:t>
      </w:r>
    </w:p>
    <w:p>
      <w:pPr>
        <w:sectPr>
          <w:pgSz w:w="12240" w:h="15840" w:orient="portrait"/>
          <w:cols w:equalWidth="0" w:num="1">
            <w:col w:w="9380"/>
          </w:cols>
          <w:pgMar w:left="1440" w:top="942" w:right="142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9380"/>
          </w:cols>
          <w:pgMar w:left="1440" w:top="942" w:right="1420" w:bottom="353"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INCOME PER SHARE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calculation of basic and diluted net income per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72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6"/>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Class A common stockholders basic and diluted . . .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0" w:type="dxa"/>
            <w:vAlign w:val="bottom"/>
          </w:tcPr>
          <w:p>
            <w:pPr>
              <w:spacing w:after="0"/>
              <w:rPr>
                <w:sz w:val="1"/>
                <w:szCs w:val="1"/>
                <w:color w:val="auto"/>
              </w:rPr>
            </w:pPr>
          </w:p>
        </w:tc>
      </w:tr>
      <w:tr>
        <w:trPr>
          <w:trHeight w:val="37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of Class A common stock – basic . . . . . . . .</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28,138,140</w:t>
            </w:r>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27,617,335</w:t>
            </w:r>
          </w:p>
        </w:tc>
        <w:tc>
          <w:tcPr>
            <w:tcW w:w="0" w:type="dxa"/>
            <w:vAlign w:val="bottom"/>
          </w:tcPr>
          <w:p>
            <w:pPr>
              <w:spacing w:after="0"/>
              <w:rPr>
                <w:sz w:val="1"/>
                <w:szCs w:val="1"/>
                <w:color w:val="auto"/>
              </w:rPr>
            </w:pP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Effect of dilutive RSUs and options . . . . . . . . . . . . . . . . . . . . . . . . . . . . . . . . . .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1,114,190</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77,315</w:t>
            </w:r>
          </w:p>
        </w:tc>
        <w:tc>
          <w:tcPr>
            <w:tcW w:w="0" w:type="dxa"/>
            <w:vAlign w:val="bottom"/>
          </w:tcPr>
          <w:p>
            <w:pPr>
              <w:spacing w:after="0"/>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of Class A common stock – diluted . . . . .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29,252,330</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27,694,650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per share of Class A common stock</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Basic . . . . . . . . . . . . . . . . . . . . . . . . . . . . . . . . . . . . . . . . . . . . . . . . . . . . . . . . . .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Diluted. . . . . . . . . . . . . . . . . . . . . . . . . . . . . . . . . . . . . . . . . . . . . . . . . . . . . . . . .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basic income per share for the year ended December 31, 2025 does not include 1,635,783 shares in treasury and 716,650 shares that are issued and outstanding but are contingent on achieving earnout targets.</w:t>
      </w:r>
    </w:p>
    <w:p>
      <w:pPr>
        <w:spacing w:after="0" w:line="174"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Additionally, the diluted income per share of Class A common stock for the years ended December 31, 2025 and 2024 does not include Redeemable preferred non-controlling interests because the substantive contingency for conversion has not been met as of December 31, 2025. It also excludes redeemable non-controlling interests for the years ended December 31, 2025 and 2024.</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For the periods in which EPS is presented, the following securities were excluded from the computation of diluted EPS since their impact would have been antidilutive: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62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80" w:type="dxa"/>
            <w:vAlign w:val="bottom"/>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722"/>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483,502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498,661</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PSUs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1,936,307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716,650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RSUs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1,046,342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1,761,558</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OPAL Fuels Class B Units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144,399,037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144,399,037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Opal Fuels Inc.’s investment in Opal Fuels LLC are offset by a full valuation allowance. Prior to the Business Combinations, Opal Fuels LLC and its subsidiaries were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9360"/>
          </w:cols>
          <w:pgMar w:left="1440" w:top="941" w:right="1440" w:bottom="353"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income before income taxes are as follows:</w:t>
      </w:r>
    </w:p>
    <w:p>
      <w:pPr>
        <w:spacing w:after="0" w:line="183"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Domestic (loss) income before income taxes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(16,335)</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5,419</w:t>
            </w:r>
          </w:p>
        </w:tc>
        <w:tc>
          <w:tcPr>
            <w:tcW w:w="60" w:type="dxa"/>
            <w:vAlign w:val="bottom"/>
          </w:tcPr>
          <w:p>
            <w:pPr>
              <w:spacing w:after="0"/>
              <w:rPr>
                <w:sz w:val="21"/>
                <w:szCs w:val="21"/>
                <w:color w:val="auto"/>
              </w:rPr>
            </w:pPr>
          </w:p>
        </w:tc>
      </w:tr>
      <w:tr>
        <w:trPr>
          <w:trHeight w:val="380"/>
        </w:trPr>
        <w:tc>
          <w:tcPr>
            <w:tcW w:w="64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The provision for income taxes consisted of the following: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9"/>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6"/>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7"/>
                <w:szCs w:val="17"/>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 benefit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(36,290)</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(8,906)</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 expense (benefit)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(16,456)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bl>
    <w:p>
      <w:pPr>
        <w:spacing w:after="0" w:line="15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year-to-date effective tax rate for the year ended December 31, 2025 and 2024 was 323% and (164)%, respectively. The Company recognized the tax benefit associated with the sales of investment tax credits to a counterparty. Per ASC 740-10-25-46, the Company uses the flow-through method to account for transferrable tax credits. Under the flow-through method, an entity immediately recognizes the cost savings from the tax credit. The transferrable tax credits are accounted for as a reduction in income tax expense in the year the asset is generated. Therefore, the Company recognized a total income tax benefit of $52,746 during the year ended December 31, 2025 and $8,906 for the year ended December 31, 2024.</w:t>
      </w:r>
    </w:p>
    <w:p>
      <w:pPr>
        <w:spacing w:after="0" w:line="170"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shows the principal reasons for the difference between the effective income tax rate and the statutory federal income tax rate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2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7"/>
              </w:rPr>
              <w:t>Tax at federal statutory rate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(3,430)</w:t>
            </w:r>
          </w:p>
        </w:tc>
        <w:tc>
          <w:tcPr>
            <w:tcW w:w="22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21%</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21%</w:t>
            </w:r>
          </w:p>
        </w:tc>
      </w:tr>
      <w:tr>
        <w:trPr>
          <w:trHeight w:val="40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Non-controlling interest . . . . . . . . . . . . . . .</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(1,373)</w:t>
            </w:r>
          </w:p>
        </w:tc>
        <w:tc>
          <w:tcPr>
            <w:tcW w:w="4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Tax credits . . . . . . . . . . . . . . . . . . . . . . . . . .</w:t>
            </w:r>
          </w:p>
        </w:tc>
        <w:tc>
          <w:tcPr>
            <w:tcW w:w="3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(52,746)</w:t>
            </w:r>
          </w:p>
        </w:tc>
        <w:tc>
          <w:tcPr>
            <w:tcW w:w="220" w:type="dxa"/>
            <w:vAlign w:val="bottom"/>
          </w:tcPr>
          <w:p>
            <w:pPr>
              <w:spacing w:after="0"/>
              <w:rPr>
                <w:sz w:val="22"/>
                <w:szCs w:val="22"/>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323%</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(8,906)</w:t>
            </w:r>
          </w:p>
        </w:tc>
        <w:tc>
          <w:tcPr>
            <w:tcW w:w="44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Changes in valuation allowances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8"/>
              </w:rPr>
              <w:t>Nontaxable or nondeductible items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Compensation expense . . . . . . . . . . . . . .</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Other . . . . . . . . . . . . . . . . . . . . . . . . . . . . . .</w:t>
            </w:r>
          </w:p>
        </w:tc>
        <w:tc>
          <w:tcPr>
            <w:tcW w:w="3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(163)</w:t>
            </w:r>
          </w:p>
        </w:tc>
        <w:tc>
          <w:tcPr>
            <w:tcW w:w="220" w:type="dxa"/>
            <w:vAlign w:val="bottom"/>
          </w:tcPr>
          <w:p>
            <w:pPr>
              <w:spacing w:after="0"/>
              <w:rPr>
                <w:sz w:val="22"/>
                <w:szCs w:val="22"/>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gridSpan w:val="3"/>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Provision to return . . . . . . . . . . . . . . . . . .</w:t>
            </w:r>
          </w:p>
        </w:tc>
        <w:tc>
          <w:tcPr>
            <w:tcW w:w="3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(163)</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gridSpan w:val="3"/>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Total tax benefit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(52,746)</w:t>
            </w:r>
          </w:p>
        </w:tc>
        <w:tc>
          <w:tcPr>
            <w:tcW w:w="22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323%</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(8,906)</w:t>
            </w:r>
          </w:p>
        </w:tc>
        <w:tc>
          <w:tcPr>
            <w:tcW w:w="4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(164)%</w:t>
            </w:r>
          </w:p>
        </w:tc>
      </w:tr>
      <w:tr>
        <w:trPr>
          <w:trHeight w:val="20"/>
        </w:trPr>
        <w:tc>
          <w:tcPr>
            <w:tcW w:w="3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9360"/>
          </w:cols>
          <w:pgMar w:left="1440" w:top="941" w:right="1440" w:bottom="353"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13.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the deferred tax assets and liabilities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7"/>
                <w:szCs w:val="17"/>
                <w:color w:val="auto"/>
              </w:rPr>
            </w:pPr>
          </w:p>
        </w:tc>
      </w:tr>
      <w:tr>
        <w:trPr>
          <w:trHeight w:val="248"/>
        </w:trPr>
        <w:tc>
          <w:tcPr>
            <w:tcW w:w="6440" w:type="dxa"/>
            <w:vAlign w:val="bottom"/>
          </w:tcPr>
          <w:p>
            <w:pPr>
              <w:jc w:val="right"/>
              <w:ind w:right="4760"/>
              <w:spacing w:after="0"/>
              <w:rPr>
                <w:sz w:val="20"/>
                <w:szCs w:val="20"/>
                <w:color w:val="auto"/>
              </w:rPr>
            </w:pPr>
            <w:r>
              <w:rPr>
                <w:rFonts w:ascii="Times New Roman" w:cs="Times New Roman" w:eastAsia="Times New Roman" w:hAnsi="Times New Roman"/>
                <w:sz w:val="20"/>
                <w:szCs w:val="20"/>
                <w:color w:val="auto"/>
                <w:w w:val="98"/>
              </w:rPr>
              <w:t>Deferred tax assets: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Investment in partnership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17,670</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19,828</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163j interest limitation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Federal NOL carryforward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4,388</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State NOL carryforward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45z . . . . .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ITC . . . .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deferred tax assets . . . . . . . . . . . . . . . . . . . . . . . . . . . . . . . . . . . . . . . . . . .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43,235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26,980</w:t>
            </w:r>
          </w:p>
        </w:tc>
        <w:tc>
          <w:tcPr>
            <w:tcW w:w="60" w:type="dxa"/>
            <w:vAlign w:val="bottom"/>
          </w:tcPr>
          <w:p>
            <w:pPr>
              <w:spacing w:after="0"/>
              <w:rPr>
                <w:sz w:val="20"/>
                <w:szCs w:val="20"/>
                <w:color w:val="auto"/>
              </w:rPr>
            </w:pPr>
          </w:p>
        </w:tc>
      </w:tr>
      <w:tr>
        <w:trPr>
          <w:trHeight w:val="40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Valuation allowance for deferred tax assets . . . . . . . . . . . . . . . . . . . . . . . . . . . .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(26,779)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(26,980)</w:t>
            </w: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.Deferredtaxassets,netofvaluationallowance</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16,456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deferred income tax asset or liability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16,456</w:t>
            </w:r>
          </w:p>
        </w:tc>
        <w:tc>
          <w:tcPr>
            <w:tcW w:w="12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As of December 31, 2025, Opal Fuels, Inc. is in a net deferred tax asset position. Based on all available positive and negative evidence, including projections of future taxable income, the Company believes it is more likely than not that the deferred tax assets related to its investment in partnership, 163(j) interest limitation, and NOLs carryforwards will not be realized. As such, a full valuation allowance was recorded against these net deferred tax asset positions for federal and state purposes as of December 31, 2025. For purposes of determining pre-tax income/(loss) for the pre-IPO period, the Company relied on the historical financial statements of Opal Fuels, LLC as this is the best information to represent the historic pre-tax income/(loss) of Opal Fuels Inc. As of December 31, 2025, Opal Fuels, Inc. is in a three-year cumulative loss position, of approximately $13,706.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spacing w:after="0" w:line="156"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has gross state net operating loss carryforwards aggregating $54,398 as of December 31, 2025 representing state tax benefits, net of federal taxes, of approximately $2,250. These loss carryforwards are subject to ten, fifteen, twenty-year, or indefinite carryforward periods, with $30,919 expiring between 2032-2045, and $23,478 with no expiration. The Company has provided valuation allowances of $2,250 and $1,436 as of December 31, 2025 and 2024, respectively, against the state tax loss carryforwards, representing the portion of carryforward losses that the Company believes are not likely to be realized.</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had no material cash taxes paid.</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July 4, 2025, the OBBBA was signed into law in the U.S. and, among other provisions, reinstated the prior treatment of domestic research and experimental expenditures through newly enacted IRC §174A, permanently restored 100 percent bonus depreciation for qualifying assets placed in service after January 19, 2025, favorably modified the business interest limitation under IRC §163(j), and accelerated the timeline for certain renewable energy credits. However, the OBBBA does not have a material effect on our Consolidated financial statements.</w:t>
      </w:r>
    </w:p>
    <w:p>
      <w:pPr>
        <w:spacing w:after="0" w:line="17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For Federal income tax purposes, the 2021 through 2024 tax years remain open for examination. For state tax purposes, the 2021 through 2024 tax years remain open for examination. There is no liability for unrecognized tax benefits.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9360"/>
          </w:cols>
          <w:pgMar w:left="1440" w:top="941" w:right="1440" w:bottom="353"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STOCK-BASED COMPENSATION</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Company adopted 2022 Omnibus Equity Incentive Plan (the “2022 Plan”) in 2022 which was approved by our stockholders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Stock options generally vest over three years and expire ten years from the date of grant.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stock options granted in 2025 was estimated at $1.44 per option using the Black-Scholes model. The valuation was based on the following assumptions: share price of $2.04, exercise price of $1.53, expiration of 10 years, annual risk-free interest rate of 3.90% and expected volatility of 50%.</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fair value of the stock options granted in 2024 was estimated at $3.40 per option using the Black-Scholes model. The valuation was based on the following assumptions: share price of $4.96, exercise price of $5.02, expiration of 10 years, annual risk-free interest rate of 3.96%, and expected volatility of 55%.</w:t>
      </w:r>
    </w:p>
    <w:p>
      <w:pPr>
        <w:spacing w:after="0" w:line="173"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Stock option activity during the year ended December 31, 2025, consisted of the following (in thousands, except for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10"/>
        </w:trPr>
        <w:tc>
          <w:tcPr>
            <w:tcW w:w="5100" w:type="dxa"/>
            <w:vAlign w:val="bottom"/>
          </w:tcPr>
          <w:p>
            <w:pPr>
              <w:spacing w:after="0"/>
              <w:rPr>
                <w:sz w:val="18"/>
                <w:szCs w:val="18"/>
                <w:color w:val="auto"/>
              </w:rPr>
            </w:pPr>
          </w:p>
        </w:tc>
        <w:tc>
          <w:tcPr>
            <w:tcW w:w="1260" w:type="dxa"/>
            <w:vAlign w:val="bottom"/>
            <w:tcBorders>
              <w:bottom w:val="single" w:sz="8" w:color="auto"/>
            </w:tcBorders>
          </w:tcPr>
          <w:p>
            <w:pPr>
              <w:jc w:val="right"/>
              <w:ind w:right="21"/>
              <w:spacing w:after="0" w:line="201" w:lineRule="exact"/>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Term (Years)</w:t>
            </w:r>
          </w:p>
        </w:tc>
      </w:tr>
      <w:tr>
        <w:trPr>
          <w:trHeight w:val="24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2024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498,661</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8.92</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1,166,670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(63,771)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Expired .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(10,907)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2025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1,590,653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1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8.86</w:t>
            </w:r>
          </w:p>
        </w:tc>
      </w:tr>
      <w:tr>
        <w:trPr>
          <w:trHeight w:val="24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Vested and exercisable as of December 31, 2025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209,180</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7.75</w:t>
            </w:r>
          </w:p>
        </w:tc>
      </w:tr>
      <w:tr>
        <w:trPr>
          <w:trHeight w:val="20"/>
        </w:trPr>
        <w:tc>
          <w:tcPr>
            <w:tcW w:w="5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weighted-average grant date fair value of stock options granted during the years ended December 31, 2025 and 2024 was $1.44 and $3.40 per share, respectively.</w:t>
      </w:r>
    </w:p>
    <w:p>
      <w:pPr>
        <w:spacing w:after="0" w:line="17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aggregate intrinsic value of the outstanding stock options is $922 and zero as of December 31, 2025 and 2024, respectively. The aggregate intrinsic value of the vested and exercisable stock options is zero as of December 31, 2025 and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Units</w:t>
      </w:r>
    </w:p>
    <w:p>
      <w:pPr>
        <w:spacing w:after="0" w:line="177"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Performance units are contingent upon the Company achieving specified Adjusted EBITDA and production targets. The grant date fair value of these awards was estimated based on the volume-weighted average price of the Company’s Class A common stock on the date of grant. Compensation expense related to these awards is recognized over the performance period based on the estimated probability of achieving the performance conditions as of the reporting date.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9360"/>
          </w:cols>
          <w:pgMar w:left="1440" w:top="941" w:right="1440" w:bottom="353"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 STOCK-BASED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applicable performance period for the units granted in 2025 is from January 1, 2025 to December 31, 2027, with all such units scheduled to vest on March 31, 2028, subject to the achievement of certain performance criteria. The applicable performance period for the units granted in 2024 is from January 1, 2024 to December 31, 2026, with all such units scheduled to vest on March 31, 2027, subject to the achievement of certain performance criteria.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00"/>
        </w:trPr>
        <w:tc>
          <w:tcPr>
            <w:tcW w:w="654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323"/>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5"/>
              </w:rPr>
              <w:t>Date Fair Value</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2024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643,591</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1,477,107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(4,398)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(179,993)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2025 . . . . . . . . . . . . . . . . .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1,936,307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w:t>
            </w:r>
          </w:p>
        </w:tc>
      </w:tr>
      <w:tr>
        <w:trPr>
          <w:trHeight w:val="20"/>
        </w:trPr>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Company’s RSU based payment awards provide recipients with the right to receive shares of Class A common stock upon achievement of vesting conditions. At issuance, the value of the RSU is equal to the value of the per share Class A common stock value. These awards typically include time-based vesting conditions and generally vest over the service period of one to three years.</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 summary of the unvested shares as of December 31, 2025, and changes during the year ended December 31, 2025, is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00"/>
        </w:trPr>
        <w:tc>
          <w:tcPr>
            <w:tcW w:w="654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26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323"/>
              <w:spacing w:after="0" w:line="201" w:lineRule="exact"/>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5"/>
              </w:rPr>
              <w:t>Date Fair Value</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2024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1,886,825</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3,643,711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(546,399)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Withheld for settlement of taxes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(197,358)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(483,937)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w:t>
            </w: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as of December 31, 2025 . . . . . . . . . . . . . . . . .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4,302,842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w:t>
            </w:r>
          </w:p>
        </w:tc>
      </w:tr>
      <w:tr>
        <w:trPr>
          <w:trHeight w:val="20"/>
        </w:trPr>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total fair value of shares vested during the years ended December 31, 2025 and 2024, was $4,241 and $3,095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Parent Equity Awards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were no new residual equity interest grants during the years ended December 31, 2025 and 2024.</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all of the Profit Interests issued vested. As of December 31, 2024, 96% of the Profit Interests issued vested.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2240" w:h="15840" w:orient="portrait"/>
          <w:cols w:equalWidth="0" w:num="1">
            <w:col w:w="9360"/>
          </w:cols>
          <w:pgMar w:left="1440" w:top="941" w:right="1440" w:bottom="353"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14. STOCK-BASED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were no forfeitures during the years ended December 31, 2025 and 2024.</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stock-based compensation expense for the above stock awards under the 2022 Plan as well as Parent Equity Awards is included in 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7"/>
                <w:szCs w:val="17"/>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2022 Plan . . . . . . . . . . . . . . . . . . . . . . . . . . . . . . . . . . . . . . . . . . . . . . . . . . . . . . .</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6,370</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6,128</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Parent equity awards . . . . . . . . . . .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w:t>
            </w:r>
          </w:p>
        </w:tc>
      </w:tr>
      <w:tr>
        <w:trPr>
          <w:trHeight w:val="240"/>
        </w:trPr>
        <w:tc>
          <w:tcPr>
            <w:tcW w:w="6440" w:type="dxa"/>
            <w:vAlign w:val="bottom"/>
          </w:tcPr>
          <w:p>
            <w:pPr>
              <w:spacing w:after="0"/>
              <w:rPr>
                <w:sz w:val="20"/>
                <w:szCs w:val="20"/>
                <w:color w:val="auto"/>
              </w:rPr>
            </w:pP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6,499</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6,452</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Stock-based compensation expense related to unvested awards yet to be recognized as of December 31, 2025 totaled $10,287 and is expected to be recognized, on a weighted average basis, over 1.79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2025 and 2024, the Company was required to maintain standby letters of credit totaling $15,504 and $15,120,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Guaranty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Paragon</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September 13, 2024, OPAL Paragon entered into a tax credit purchasing agreement with Apollo Management Holdings, L.P., (“Buyer”), pursuant to which OPAL Paragon sold $11,096 investment tax credits to the buyer for net proceeds of $8,906. If the tax credits are disallowed or recaptured from the Buyer, OPAL Paragon will be required to return the purchase price and pay any taxes, interest or penalties incurred.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March 28, 2025, OPAL Paragon entered into a tax credit purchase agreement with the Buyer, pursuant to which OPAL Paragon sold $9,801 of investment tax credits to the Buyer for net proceeds of $8,037. If the tax credits are disallowed or recaptured from the Buyer, OPAL Paragon will be required to return the purchase price and pay any taxes, interest or penalties incurred.</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above transaction, all of the obligations of OPAL Paragon under such tax credit purchase agreement are guaranteed by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Opal Fuels LLC</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June 20, 2025, OPAL Fuels LLC entered into tax credit purchase agreements with the Buyer and EagleBank, pursuant to which OPAL Fuels LLC sold $16,740 of investment tax credits for net proceeds of $13,686. If the tax credits are disallowed or recaptured from the Buyer, OPAL Fuels LLC will be required to return the purchase price and pay any taxes, interest or penalties incurred.</w:t>
      </w:r>
    </w:p>
    <w:p>
      <w:pPr>
        <w:spacing w:after="0" w:line="169"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On September 12, 2025, OPAL Fuels LLC entered into tax credit purchase agreements with the Buyer and Athene Annuity and Life Company, pursuant to which OPAL Fuels LLC sold $17,369 of investment tax credits for net proceeds of $14,567. If the tax credits are disallowed or recaptured from the Buyer, OPAL Fuels LLC will be required to return the purchase price and pay any taxes, interest or penalties incurred.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F-47</w:t>
      </w:r>
    </w:p>
    <w:p>
      <w:pPr>
        <w:sectPr>
          <w:pgSz w:w="12240" w:h="15840" w:orient="portrait"/>
          <w:cols w:equalWidth="0" w:num="1">
            <w:col w:w="9360"/>
          </w:cols>
          <w:pgMar w:left="1440" w:top="941" w:right="1440" w:bottom="353"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 COMMITMENTS AND CONTINGENCIES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In connection with the above transaction, all of the obligations of OPAL Fuels LLC under such tax credit purchase agreements are guaranteed by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173"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Set forth below is information related to the Company’s material pending legal proceedings as of the date of this report, other than ordinary routine litigation incidental to the business. There have been no material changes to such legal proceedings.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Central Valley Project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Direct Contractor Claims</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w:t>
      </w:r>
    </w:p>
    <w:p>
      <w:pPr>
        <w:spacing w:after="0" w:line="170"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CEI has submitted a series of change order requests seeking to increase the EPC Contract Price by approximately $14,000,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spacing w:after="0" w:line="169"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American Arbitration Association (“AAA”) Case No. 01-24-0000-0775. The Superior Court Action has been stayed, pending the conclusion of the arbitration. In the meantime, the AAA has empaneled three experienced arbitrators and has set the hearing date for the matter, currently scheduled in May 2026.</w:t>
      </w:r>
    </w:p>
    <w:p>
      <w:pPr>
        <w:spacing w:after="0" w:line="16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EPC Agreement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notified CEI’s performance bond surety, Atlantic Specialty Insurance Company of the termination and demanded that it perform under the bond. Atlantic has denied the claim.</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Similarly, 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bond. The surety has denied the claim.</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a result of CEI’s default and Atlantic’s denial of the claims, MD and VS have amended their claims in the</w:t>
      </w:r>
    </w:p>
    <w:p>
      <w:pPr>
        <w:spacing w:after="0" w:line="17" w:lineRule="exact"/>
        <w:rPr>
          <w:sz w:val="20"/>
          <w:szCs w:val="20"/>
          <w:color w:val="auto"/>
        </w:rPr>
      </w:pPr>
    </w:p>
    <w:p>
      <w:pPr>
        <w:spacing w:after="0" w:line="243" w:lineRule="auto"/>
        <w:tabs>
          <w:tab w:leader="none" w:pos="50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arbitration to include breach of contract claims against CEI and breach of performance bond claims against Atlantic (who was formally joined into the arbitration on November 20, 2024) in the AAA Arbitration with CEI.</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F-48</w:t>
      </w:r>
    </w:p>
    <w:p>
      <w:pPr>
        <w:sectPr>
          <w:pgSz w:w="12240" w:h="15840" w:orient="portrait"/>
          <w:cols w:equalWidth="0" w:num="1">
            <w:col w:w="9360"/>
          </w:cols>
          <w:pgMar w:left="1440" w:top="941" w:right="1440" w:bottom="353"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15. COMMITMENTS AND CONTINGENCIES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CEI has since recorded mechanic’s liens against each of the projects for $4,948 (MD) and $1,984 (VS), and recently filed actions with the Stanislaus and San Joaquin County Superior Courts, respectively, to enforce their liens. It is expected that these claims will be stayed and consolidated with the pending arbitration proceeding.</w:t>
      </w:r>
    </w:p>
    <w:p>
      <w:pPr>
        <w:spacing w:after="0" w:line="173"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AAA proceeding is scheduled for evidentiary hearing from May 4 through May 22, 2026. Based upon the deposition testimony and the expert reports that were exchanged on February 23, 2026, the Company reasonably believes that it will demonstrate that the terminations were justified and for cause. Issues related to damages, i.e., the cost to complete the projects, are evolving and it is premature to offer an opinion on the strength of this component of the case.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Subcontractor Lien Claims</w:t>
      </w:r>
    </w:p>
    <w:p>
      <w:pPr>
        <w:spacing w:after="0" w:line="177"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In addition to the above-referenced action and arbitration, several of CEI’s subcontractors have recorded mechanic’s liens against the MD and VS projects for $3,141, which the Company is obligated to defend and indemnify the dairy owners from and against. Several of liens were untimely and have been released voluntarily by the claimants, others were released through the recording of release bonds by Company.</w:t>
      </w:r>
    </w:p>
    <w:p>
      <w:pPr>
        <w:spacing w:after="0" w:line="169" w:lineRule="exact"/>
        <w:rPr>
          <w:sz w:val="20"/>
          <w:szCs w:val="20"/>
          <w:color w:val="auto"/>
        </w:rPr>
      </w:pPr>
    </w:p>
    <w:p>
      <w:pPr>
        <w:jc w:val="both"/>
        <w:ind w:firstLine="480"/>
        <w:spacing w:after="0" w:line="243" w:lineRule="auto"/>
        <w:rPr>
          <w:sz w:val="20"/>
          <w:szCs w:val="20"/>
          <w:color w:val="auto"/>
        </w:rPr>
      </w:pPr>
      <w:r>
        <w:rPr>
          <w:rFonts w:ascii="Times New Roman" w:cs="Times New Roman" w:eastAsia="Times New Roman" w:hAnsi="Times New Roman"/>
          <w:sz w:val="20"/>
          <w:szCs w:val="20"/>
          <w:color w:val="auto"/>
        </w:rPr>
        <w:t>The NWP Industries, L.P. (“NWP”) and Argo Sales (“Argo”) claims have been settled and will be dismissed as to MD and VS when the settlement payments have been fully funded.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Former Development Partner/construction Manager</w:t>
      </w:r>
    </w:p>
    <w:p>
      <w:pPr>
        <w:spacing w:after="0" w:line="17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defendants have recently filed an answer and certain cross claims, to which the Company has demurred. Discovery in the case is now underway.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SUBSEQUENT EVENTS</w:t>
      </w:r>
    </w:p>
    <w:p>
      <w:pPr>
        <w:spacing w:after="0" w:line="177" w:lineRule="exact"/>
        <w:rPr>
          <w:sz w:val="20"/>
          <w:szCs w:val="20"/>
          <w:color w:val="auto"/>
        </w:rPr>
      </w:pPr>
    </w:p>
    <w:p>
      <w:pPr>
        <w:jc w:val="both"/>
        <w:ind w:firstLine="480"/>
        <w:spacing w:after="0" w:line="264" w:lineRule="auto"/>
        <w:rPr>
          <w:sz w:val="20"/>
          <w:szCs w:val="20"/>
          <w:color w:val="auto"/>
        </w:rPr>
      </w:pPr>
      <w:r>
        <w:rPr>
          <w:rFonts w:ascii="Times New Roman" w:cs="Times New Roman" w:eastAsia="Times New Roman" w:hAnsi="Times New Roman"/>
          <w:sz w:val="19"/>
          <w:szCs w:val="19"/>
          <w:color w:val="auto"/>
        </w:rPr>
        <w:t>On March 6, 2026, OPAL Fuels LLC entered into a subscription agreement with Preferred Fuels LLC, (“Preferred Fuels”), an affiliate of Fortistar, pursuant to which Preferred Fuels committed to purchase up to $180,000 of Series A preferred units in multiple closings. At the initial closing on March 6, 2026, the investor purchased 1.2 million preferred units for aggregate proceeds of $120,000. OPAL Fuels may, in its sole discretion, require the investor to fund up to an additional $60,000 within one year of the initial closing, subject to the terms of the subscription agreement.</w:t>
      </w:r>
    </w:p>
    <w:p>
      <w:pPr>
        <w:spacing w:after="0" w:line="158"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The Series A preferred units are entitled to preferred quarterly distributions at a rate of 12% per annum, compounding quarterly, and rank senior to all other classes of equity interests of OPAL Fuels LLC, except for certain existing preferred units to which they are pari passu. In connection with the initial closing, the Company also issued a warrant to the investor to purchase up to 3.0 million shares of the Company’s Class A common stock, subject to vesting, forfeiture, and other terms and conditions.</w:t>
      </w:r>
    </w:p>
    <w:p>
      <w:pPr>
        <w:spacing w:after="0" w:line="172" w:lineRule="exact"/>
        <w:rPr>
          <w:sz w:val="20"/>
          <w:szCs w:val="20"/>
          <w:color w:val="auto"/>
        </w:rPr>
      </w:pPr>
    </w:p>
    <w:p>
      <w:pPr>
        <w:jc w:val="both"/>
        <w:ind w:firstLine="480"/>
        <w:spacing w:after="0" w:line="248" w:lineRule="auto"/>
        <w:rPr>
          <w:sz w:val="20"/>
          <w:szCs w:val="20"/>
          <w:color w:val="auto"/>
        </w:rPr>
      </w:pPr>
      <w:r>
        <w:rPr>
          <w:rFonts w:ascii="Times New Roman" w:cs="Times New Roman" w:eastAsia="Times New Roman" w:hAnsi="Times New Roman"/>
          <w:sz w:val="20"/>
          <w:szCs w:val="20"/>
          <w:color w:val="auto"/>
        </w:rPr>
        <w:t>During the fourth quarter of 2025, Nextera provided notice of its right to require redemption of all outstanding Series A preferred units. The redemption period, originally scheduled to expire on March 3, 2026 was extended through March 31, 2026. On March 6, 2026, OPAL Fuels LLC redeemed all such preferred units for an aggregate redemption price of $100,000, funded with proceeds from the initial preferred unit issuance described above.</w:t>
      </w:r>
    </w:p>
    <w:p>
      <w:pPr>
        <w:spacing w:after="0" w:line="169"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addition, subsequent to December 31, 2025, the Company drew approximately $128,400 under its term loan facility pursuant to its existing credit agreement. A portion of the proceeds from the borrowing was used to repay approximately $20,000 outstanding under the revolving loan facility.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F-49</w:t>
      </w:r>
    </w:p>
    <w:p>
      <w:pPr>
        <w:sectPr>
          <w:pgSz w:w="12240" w:h="15840" w:orient="portrait"/>
          <w:cols w:equalWidth="0" w:num="1">
            <w:col w:w="9360"/>
          </w:cols>
          <w:pgMar w:left="1440" w:top="941" w:right="1440" w:bottom="353" w:gutter="0" w:footer="0" w:header="0"/>
          <w:type w:val="continuous"/>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2240" w:h="15840" w:orient="portrait"/>
          <w:cols w:equalWidth="0" w:num="1">
            <w:col w:w="9360"/>
          </w:cols>
          <w:pgMar w:left="1440" w:top="1440" w:right="1440"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9076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extLst>
                    </a:blip>
                    <a:srcRect/>
                    <a:stretch>
                      <a:fillRect/>
                    </a:stretch>
                  </pic:blipFill>
                  <pic:spPr bwMode="auto">
                    <a:xfrm>
                      <a:off x="0" y="0"/>
                      <a:ext cx="7772400" cy="907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North Lexington Avenue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-52705</wp:posOffset>
            </wp:positionV>
            <wp:extent cx="1731010" cy="244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extLst>
                    </a:blip>
                    <a:srcRect/>
                    <a:stretch>
                      <a:fillRect/>
                    </a:stretch>
                  </pic:blipFill>
                  <pic:spPr bwMode="auto">
                    <a:xfrm>
                      <a:off x="0" y="0"/>
                      <a:ext cx="1731010" cy="244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White Plains, NY 10601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 705-4000</w:t>
      </w:r>
    </w:p>
    <w:sectPr>
      <w:pgSz w:w="12240" w:h="15840" w:orient="portrait"/>
      <w:cols w:equalWidth="0" w:num="1">
        <w:col w:w="10080"/>
      </w:cols>
      <w:pgMar w:left="720" w:top="1440" w:right="1440" w:bottom="2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"/>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lowerRoman"/>
      <w:start w:val="2"/>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lowerRoman"/>
      <w:start w:val="3"/>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lowerRoman"/>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upperLetter"/>
      <w:start w:val="53"/>
    </w:lvl>
  </w:abstractNum>
  <w:abstractNum w:abstractNumId="26">
    <w:nsid w:val="38437FDB"/>
    <w:multiLevelType w:val="hybridMultilevel"/>
    <w:lvl w:ilvl="0">
      <w:lvlJc w:val="left"/>
      <w:lvlText w:val="•"/>
      <w:numFmt w:val="bullet"/>
      <w:start w:val="1"/>
    </w:lvl>
    <w:lvl w:ilvl="1">
      <w:lvlJc w:val="left"/>
      <w:lvlText w:val="•"/>
      <w:numFmt w:val="bullet"/>
      <w:start w:val="1"/>
    </w:lvl>
  </w:abstractNum>
  <w:abstractNum w:abstractNumId="27">
    <w:nsid w:val="7644A45C"/>
    <w:multiLevelType w:val="hybridMultilevel"/>
    <w:lvl w:ilvl="0">
      <w:lvlJc w:val="left"/>
      <w:lvlText w:val="•"/>
      <w:numFmt w:val="bullet"/>
      <w:start w:val="1"/>
    </w:lvl>
    <w:lvl w:ilvl="1">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2"/>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lowerLetter"/>
      <w:start w:val="1"/>
    </w:lvl>
    <w:lvl w:ilvl="1">
      <w:lvlJc w:val="left"/>
      <w:lvlText w:val="%2."/>
      <w:numFmt w:val="decimal"/>
      <w:start w:val="1"/>
    </w:lvl>
  </w:abstractNum>
  <w:abstractNum w:abstractNumId="36">
    <w:nsid w:val="12E685FB"/>
    <w:multiLevelType w:val="hybridMultilevel"/>
    <w:lvl w:ilvl="0">
      <w:lvlJc w:val="left"/>
      <w:lvlText w:val="*"/>
      <w:numFmt w:val="bullet"/>
      <w:start w:val="1"/>
    </w:lvl>
    <w:lvl w:ilvl="1">
      <w:lvlJc w:val="left"/>
      <w:lvlText w:val="%2"/>
      <w:numFmt w:val="decimal"/>
      <w:start w:val="104"/>
    </w:lvl>
  </w:abstractNum>
  <w:abstractNum w:abstractNumId="37">
    <w:nsid w:val="70C6A529"/>
    <w:multiLevelType w:val="hybridMultilevel"/>
    <w:lvl w:ilvl="0">
      <w:lvlJc w:val="left"/>
      <w:lvlText w:val="**"/>
      <w:numFmt w:val="bullet"/>
      <w:start w:val="1"/>
    </w:lvl>
    <w:lvl w:ilvl="1">
      <w:lvlJc w:val="left"/>
      <w:lvlText w:val="%2"/>
      <w:numFmt w:val="decimal"/>
      <w:start w:val="1"/>
    </w:lvl>
  </w:abstractNum>
  <w:abstractNum w:abstractNumId="38">
    <w:nsid w:val="520EEDD1"/>
    <w:multiLevelType w:val="hybridMultilevel"/>
    <w:lvl w:ilvl="0">
      <w:lvlJc w:val="left"/>
      <w:lvlText w:val="\rdblquote"/>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2"/>
    </w:lvl>
  </w:abstractNum>
  <w:abstractNum w:abstractNumId="46">
    <w:nsid w:val="180115BE"/>
    <w:multiLevelType w:val="hybridMultilevel"/>
    <w:lvl w:ilvl="0">
      <w:lvlJc w:val="left"/>
      <w:lvlText w:val="%1."/>
      <w:numFmt w:val="decimal"/>
      <w:start w:val="3"/>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6"/>
    </w:lvl>
  </w:abstractNum>
  <w:abstractNum w:abstractNumId="49">
    <w:nsid w:val="354FE9F9"/>
    <w:multiLevelType w:val="hybridMultilevel"/>
    <w:lvl w:ilvl="0">
      <w:lvlJc w:val="left"/>
      <w:lvlText w:val="%1."/>
      <w:numFmt w:val="decimal"/>
      <w:start w:val="7"/>
    </w:lvl>
  </w:abstractNum>
  <w:abstractNum w:abstractNumId="50">
    <w:nsid w:val="15B5AF5C"/>
    <w:multiLevelType w:val="hybridMultilevel"/>
    <w:lvl w:ilvl="0">
      <w:lvlJc w:val="left"/>
      <w:lvlText w:val="%1."/>
      <w:numFmt w:val="decimal"/>
      <w:start w:val="7"/>
    </w:lvl>
  </w:abstractNum>
  <w:abstractNum w:abstractNumId="51">
    <w:nsid w:val="741226BB"/>
    <w:multiLevelType w:val="hybridMultilevel"/>
    <w:lvl w:ilvl="0">
      <w:lvlJc w:val="left"/>
      <w:lvlText w:val="%1."/>
      <w:numFmt w:val="decimal"/>
      <w:start w:val="7"/>
    </w:lvl>
  </w:abstractNum>
  <w:abstractNum w:abstractNumId="52">
    <w:nsid w:val="D34B6A8"/>
    <w:multiLevelType w:val="hybridMultilevel"/>
    <w:lvl w:ilvl="0">
      <w:lvlJc w:val="left"/>
      <w:lvlText w:val="%1."/>
      <w:numFmt w:val="decimal"/>
      <w:start w:val="7"/>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2"/>
    </w:lvl>
  </w:abstractNum>
  <w:abstractNum w:abstractNumId="55">
    <w:nsid w:val="61574095"/>
    <w:multiLevelType w:val="hybridMultilevel"/>
    <w:lvl w:ilvl="0">
      <w:lvlJc w:val="left"/>
      <w:lvlText w:val="•"/>
      <w:numFmt w:val="bullet"/>
      <w:start w:val="1"/>
    </w:lvl>
    <w:lvl w:ilvl="1">
      <w:lvlJc w:val="left"/>
      <w:lvlText w:val="•"/>
      <w:numFmt w:val="bullet"/>
      <w:start w:val="1"/>
    </w:lvl>
  </w:abstractNum>
  <w:abstractNum w:abstractNumId="56">
    <w:nsid w:val="7E0C57B1"/>
    <w:multiLevelType w:val="hybridMultilevel"/>
    <w:lvl w:ilvl="0">
      <w:lvlJc w:val="left"/>
      <w:lvlText w:val="(%1)"/>
      <w:numFmt w:val="decimal"/>
      <w:start w:val="1"/>
    </w:lvl>
    <w:lvl w:ilvl="1">
      <w:lvlJc w:val="left"/>
      <w:lvlText w:val="•"/>
      <w:numFmt w:val="bullet"/>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
    </w:lvl>
    <w:lvl w:ilvl="1">
      <w:lvlJc w:val="left"/>
      <w:lvlText w:val="%2."/>
      <w:numFmt w:val="decimal"/>
      <w:start w:val="10"/>
    </w:lvl>
    <w:lvl w:ilvl="2">
      <w:lvlJc w:val="left"/>
      <w:lvlText w:val="•"/>
      <w:numFmt w:val="bullet"/>
      <w:start w:val="1"/>
    </w:lvl>
  </w:abstractNum>
  <w:abstractNum w:abstractNumId="59">
    <w:nsid w:val="310C50B3"/>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1"/>
    </w:lvl>
    <w:lvl w:ilvl="1">
      <w:lvlJc w:val="left"/>
      <w:lvlText w:val="%2."/>
      <w:numFmt w:val="decimal"/>
      <w:start w:val="10"/>
    </w:lvl>
  </w:abstractNum>
  <w:abstractNum w:abstractNumId="62">
    <w:nsid w:val="25A70BF7"/>
    <w:multiLevelType w:val="hybridMultilevel"/>
    <w:lvl w:ilvl="0">
      <w:lvlJc w:val="left"/>
      <w:lvlText w:val="(%1)"/>
      <w:numFmt w:val="decimal"/>
      <w:start w:val="2"/>
    </w:lvl>
    <w:lvl w:ilvl="1">
      <w:lvlJc w:val="left"/>
      <w:lvlText w:val="%2"/>
      <w:numFmt w:val="decimal"/>
      <w:start w:val="1"/>
    </w:lvl>
  </w:abstractNum>
  <w:abstractNum w:abstractNumId="63">
    <w:nsid w:val="1DBABF00"/>
    <w:multiLevelType w:val="hybridMultilevel"/>
    <w:lvl w:ilvl="0">
      <w:lvlJc w:val="left"/>
      <w:lvlText w:val="%1."/>
      <w:numFmt w:val="decimal"/>
      <w:start w:val="11"/>
    </w:lvl>
  </w:abstractNum>
  <w:abstractNum w:abstractNumId="64">
    <w:nsid w:val="4AD084E9"/>
    <w:multiLevelType w:val="hybridMultilevel"/>
    <w:lvl w:ilvl="0">
      <w:lvlJc w:val="left"/>
      <w:lvlText w:val="%1."/>
      <w:numFmt w:val="decimal"/>
      <w:start w:val="11"/>
    </w:lvl>
  </w:abstractNum>
  <w:abstractNum w:abstractNumId="65">
    <w:nsid w:val="1F48EAA1"/>
    <w:multiLevelType w:val="hybridMultilevel"/>
    <w:lvl w:ilvl="0">
      <w:lvlJc w:val="left"/>
      <w:lvlText w:val="%1."/>
      <w:numFmt w:val="decimal"/>
      <w:start w:val="11"/>
    </w:lvl>
  </w:abstractNum>
  <w:abstractNum w:abstractNumId="66">
    <w:nsid w:val="1381823A"/>
    <w:multiLevelType w:val="hybridMultilevel"/>
    <w:lvl w:ilvl="0">
      <w:lvlJc w:val="left"/>
      <w:lvlText w:val="(%1)"/>
      <w:numFmt w:val="decimal"/>
      <w:start w:val="2"/>
    </w:lvl>
  </w:abstractNum>
  <w:abstractNum w:abstractNumId="67">
    <w:nsid w:val="5DB70AE5"/>
    <w:multiLevelType w:val="hybridMultilevel"/>
    <w:lvl w:ilvl="0">
      <w:lvlJc w:val="left"/>
      <w:lvlText w:val="%1"/>
      <w:numFmt w:val="upperLetter"/>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2026-04-23T16:35:03Z</dcterms:created>
  <dcterms:modified xsi:type="dcterms:W3CDTF">2026-04-23T16:35:03Z</dcterms:modified>
</cp:coreProperties>
</file>