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190500</wp:posOffset>
            </wp:positionH>
            <wp:positionV relativeFrom="page">
              <wp:posOffset>553085</wp:posOffset>
            </wp:positionV>
            <wp:extent cx="716788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1270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53" w:lineRule="exact"/>
        <w:rPr>
          <w:sz w:val="24"/>
          <w:szCs w:val="24"/>
          <w:color w:val="auto"/>
        </w:rPr>
      </w:pPr>
    </w:p>
    <w:p>
      <w:pPr>
        <w:ind w:left="4360" w:right="3920" w:hanging="4347"/>
        <w:spacing w:after="0" w:line="445" w:lineRule="auto"/>
        <w:tabs>
          <w:tab w:leader="none" w:pos="599"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June 30, 2024</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36" w:lineRule="exact"/>
        <w:rPr>
          <w:sz w:val="24"/>
          <w:szCs w:val="24"/>
          <w:color w:val="auto"/>
        </w:rPr>
      </w:pPr>
    </w:p>
    <w:p>
      <w:pPr>
        <w:ind w:left="3760" w:right="3780" w:hanging="3747"/>
        <w:spacing w:after="0" w:line="445" w:lineRule="auto"/>
        <w:tabs>
          <w:tab w:leader="none" w:pos="594"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_______________ to ____________</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Commission File Number: 001-40272</w:t>
            </w:r>
          </w:p>
        </w:tc>
        <w:tc>
          <w:tcPr>
            <w:tcW w:w="3960" w:type="dxa"/>
            <w:vAlign w:val="bottom"/>
          </w:tcPr>
          <w:p>
            <w:pPr>
              <w:spacing w:after="0"/>
              <w:rPr>
                <w:sz w:val="15"/>
                <w:szCs w:val="15"/>
                <w:color w:val="auto"/>
              </w:rPr>
            </w:pPr>
          </w:p>
        </w:tc>
      </w:tr>
      <w:tr>
        <w:trPr>
          <w:trHeight w:val="398"/>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9"/>
                <w:szCs w:val="19"/>
                <w:b w:val="1"/>
                <w:bCs w:val="1"/>
                <w:color w:val="auto"/>
                <w:w w:val="98"/>
              </w:rPr>
              <w:t>OPAL FUELS INC.</w:t>
            </w:r>
          </w:p>
        </w:tc>
        <w:tc>
          <w:tcPr>
            <w:tcW w:w="3960" w:type="dxa"/>
            <w:vAlign w:val="bottom"/>
          </w:tcPr>
          <w:p>
            <w:pPr>
              <w:spacing w:after="0"/>
              <w:rPr>
                <w:sz w:val="24"/>
                <w:szCs w:val="24"/>
                <w:color w:val="auto"/>
              </w:rPr>
            </w:pPr>
          </w:p>
        </w:tc>
      </w:tr>
      <w:tr>
        <w:trPr>
          <w:trHeight w:val="17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3960" w:type="dxa"/>
            <w:vAlign w:val="bottom"/>
          </w:tcPr>
          <w:p>
            <w:pPr>
              <w:spacing w:after="0"/>
              <w:rPr>
                <w:sz w:val="15"/>
                <w:szCs w:val="15"/>
                <w:color w:val="auto"/>
              </w:rPr>
            </w:pPr>
          </w:p>
        </w:tc>
      </w:tr>
      <w:tr>
        <w:trPr>
          <w:trHeight w:val="290"/>
        </w:trPr>
        <w:tc>
          <w:tcPr>
            <w:tcW w:w="42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jc w:val="right"/>
              <w:ind w:right="2233"/>
              <w:spacing w:after="0"/>
              <w:rPr>
                <w:sz w:val="20"/>
                <w:szCs w:val="20"/>
                <w:color w:val="auto"/>
              </w:rPr>
            </w:pPr>
            <w:r>
              <w:rPr>
                <w:rFonts w:ascii="Times New Roman" w:cs="Times New Roman" w:eastAsia="Times New Roman" w:hAnsi="Times New Roman"/>
                <w:sz w:val="13"/>
                <w:szCs w:val="13"/>
                <w:b w:val="1"/>
                <w:bCs w:val="1"/>
                <w:color w:val="auto"/>
              </w:rPr>
              <w:t>98-1578357</w:t>
            </w:r>
          </w:p>
        </w:tc>
      </w:tr>
      <w:tr>
        <w:trPr>
          <w:trHeight w:val="230"/>
        </w:trPr>
        <w:tc>
          <w:tcPr>
            <w:tcW w:w="42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2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60" w:type="dxa"/>
            <w:vAlign w:val="bottom"/>
          </w:tcPr>
          <w:p>
            <w:pPr>
              <w:jc w:val="right"/>
              <w:ind w:right="1593"/>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280"/>
        </w:trPr>
        <w:tc>
          <w:tcPr>
            <w:tcW w:w="42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One North Lexington Avenue, Suite 1450</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0"/>
        </w:trPr>
        <w:tc>
          <w:tcPr>
            <w:tcW w:w="4220" w:type="dxa"/>
            <w:vAlign w:val="bottom"/>
            <w:gridSpan w:val="2"/>
          </w:tcPr>
          <w:p>
            <w:pPr>
              <w:jc w:val="center"/>
              <w:ind w:left="913"/>
              <w:spacing w:after="0"/>
              <w:rPr>
                <w:sz w:val="20"/>
                <w:szCs w:val="20"/>
                <w:color w:val="auto"/>
              </w:rPr>
            </w:pPr>
            <w:r>
              <w:rPr>
                <w:rFonts w:ascii="Times New Roman" w:cs="Times New Roman" w:eastAsia="Times New Roman" w:hAnsi="Times New Roman"/>
                <w:sz w:val="13"/>
                <w:szCs w:val="13"/>
                <w:b w:val="1"/>
                <w:bCs w:val="1"/>
                <w:color w:val="auto"/>
              </w:rPr>
              <w:t>White Plains, New York</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jc w:val="right"/>
              <w:ind w:right="2393"/>
              <w:spacing w:after="0"/>
              <w:rPr>
                <w:sz w:val="20"/>
                <w:szCs w:val="20"/>
                <w:color w:val="auto"/>
              </w:rPr>
            </w:pPr>
            <w:r>
              <w:rPr>
                <w:rFonts w:ascii="Times New Roman" w:cs="Times New Roman" w:eastAsia="Times New Roman" w:hAnsi="Times New Roman"/>
                <w:sz w:val="13"/>
                <w:szCs w:val="13"/>
                <w:b w:val="1"/>
                <w:bCs w:val="1"/>
                <w:color w:val="auto"/>
              </w:rPr>
              <w:t>10601</w:t>
            </w:r>
          </w:p>
        </w:tc>
      </w:tr>
      <w:tr>
        <w:trPr>
          <w:trHeight w:val="220"/>
        </w:trPr>
        <w:tc>
          <w:tcPr>
            <w:tcW w:w="4220" w:type="dxa"/>
            <w:vAlign w:val="bottom"/>
            <w:gridSpan w:val="2"/>
          </w:tcPr>
          <w:p>
            <w:pPr>
              <w:jc w:val="center"/>
              <w:ind w:left="913"/>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960" w:type="dxa"/>
            <w:vAlign w:val="bottom"/>
          </w:tcPr>
          <w:p>
            <w:pPr>
              <w:jc w:val="right"/>
              <w:ind w:right="2253"/>
              <w:spacing w:after="0"/>
              <w:rPr>
                <w:sz w:val="20"/>
                <w:szCs w:val="20"/>
                <w:color w:val="auto"/>
              </w:rPr>
            </w:pPr>
            <w:r>
              <w:rPr>
                <w:rFonts w:ascii="Times New Roman" w:cs="Times New Roman" w:eastAsia="Times New Roman" w:hAnsi="Times New Roman"/>
                <w:sz w:val="13"/>
                <w:szCs w:val="13"/>
                <w:color w:val="auto"/>
              </w:rPr>
              <w:t>(Zip Code)</w:t>
            </w:r>
          </w:p>
        </w:tc>
      </w:tr>
      <w:tr>
        <w:trPr>
          <w:trHeight w:val="237"/>
        </w:trPr>
        <w:tc>
          <w:tcPr>
            <w:tcW w:w="3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rPr>
              <w:t>(914) 705-4000</w:t>
            </w:r>
          </w:p>
        </w:tc>
        <w:tc>
          <w:tcPr>
            <w:tcW w:w="10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173"/>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3960" w:type="dxa"/>
            <w:vAlign w:val="bottom"/>
          </w:tcPr>
          <w:p>
            <w:pPr>
              <w:spacing w:after="0"/>
              <w:rPr>
                <w:sz w:val="15"/>
                <w:szCs w:val="15"/>
                <w:color w:val="auto"/>
              </w:rPr>
            </w:pPr>
          </w:p>
        </w:tc>
      </w:tr>
      <w:tr>
        <w:trPr>
          <w:trHeight w:val="307"/>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Not Applicable</w:t>
            </w:r>
          </w:p>
        </w:tc>
        <w:tc>
          <w:tcPr>
            <w:tcW w:w="3960" w:type="dxa"/>
            <w:vAlign w:val="bottom"/>
          </w:tcPr>
          <w:p>
            <w:pPr>
              <w:spacing w:after="0"/>
              <w:rPr>
                <w:sz w:val="24"/>
                <w:szCs w:val="24"/>
                <w:color w:val="auto"/>
              </w:rPr>
            </w:pPr>
          </w:p>
        </w:tc>
      </w:tr>
      <w:tr>
        <w:trPr>
          <w:trHeight w:val="173"/>
        </w:trPr>
        <w:tc>
          <w:tcPr>
            <w:tcW w:w="1130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tc>
      </w:tr>
      <w:tr>
        <w:trPr>
          <w:trHeight w:val="340"/>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90"/>
        </w:trPr>
        <w:tc>
          <w:tcPr>
            <w:tcW w:w="39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r>
      <w:tr>
        <w:trPr>
          <w:trHeight w:val="16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3"/>
                <w:szCs w:val="13"/>
                <w:color w:val="auto"/>
              </w:rPr>
              <w:t>Trading Symbol(s)</w:t>
            </w:r>
          </w:p>
        </w:tc>
        <w:tc>
          <w:tcPr>
            <w:tcW w:w="1020" w:type="dxa"/>
            <w:vAlign w:val="bottom"/>
            <w:tcBorders>
              <w:bottom w:val="single" w:sz="8" w:color="auto"/>
            </w:tcBorders>
          </w:tcPr>
          <w:p>
            <w:pPr>
              <w:spacing w:after="0"/>
              <w:rPr>
                <w:sz w:val="13"/>
                <w:szCs w:val="13"/>
                <w:color w:val="auto"/>
              </w:rPr>
            </w:pPr>
          </w:p>
        </w:tc>
        <w:tc>
          <w:tcPr>
            <w:tcW w:w="396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75"/>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3"/>
                <w:szCs w:val="13"/>
                <w:color w:val="auto"/>
              </w:rPr>
              <w:t>OPAL</w:t>
            </w:r>
          </w:p>
        </w:tc>
        <w:tc>
          <w:tcPr>
            <w:tcW w:w="102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tcPr>
          <w:p>
            <w:pPr>
              <w:jc w:val="right"/>
              <w:ind w:right="1593"/>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27" w:lineRule="exact"/>
        <w:rPr>
          <w:sz w:val="24"/>
          <w:szCs w:val="24"/>
          <w:color w:val="auto"/>
        </w:rPr>
      </w:pPr>
    </w:p>
    <w:p>
      <w:pPr>
        <w:ind w:right="360"/>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ind w:right="20"/>
        <w:spacing w:after="0" w:line="17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ind w:right="20"/>
        <w:spacing w:after="0" w:line="29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Large accelerated filer</w:t>
            </w:r>
          </w:p>
        </w:tc>
        <w:tc>
          <w:tcPr>
            <w:tcW w:w="15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Accelerated filer</w:t>
            </w:r>
          </w:p>
        </w:tc>
        <w:tc>
          <w:tcPr>
            <w:tcW w:w="40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r>
      <w:tr>
        <w:trPr>
          <w:trHeight w:val="230"/>
        </w:trPr>
        <w:tc>
          <w:tcPr>
            <w:tcW w:w="2700" w:type="dxa"/>
            <w:vAlign w:val="bottom"/>
          </w:tcPr>
          <w:p>
            <w:pPr>
              <w:jc w:val="center"/>
              <w:ind w:right="113"/>
              <w:spacing w:after="0"/>
              <w:rPr>
                <w:sz w:val="20"/>
                <w:szCs w:val="20"/>
                <w:color w:val="auto"/>
              </w:rPr>
            </w:pPr>
            <w:r>
              <w:rPr>
                <w:rFonts w:ascii="Times New Roman" w:cs="Times New Roman" w:eastAsia="Times New Roman" w:hAnsi="Times New Roman"/>
                <w:sz w:val="13"/>
                <w:szCs w:val="13"/>
                <w:color w:val="auto"/>
              </w:rPr>
              <w:t>Non-accelerated filer</w:t>
            </w:r>
          </w:p>
        </w:tc>
        <w:tc>
          <w:tcPr>
            <w:tcW w:w="15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r>
      <w:tr>
        <w:trPr>
          <w:trHeight w:val="234"/>
        </w:trPr>
        <w:tc>
          <w:tcPr>
            <w:tcW w:w="2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r>
      <w:tr>
        <w:trPr>
          <w:trHeight w:val="831"/>
        </w:trPr>
        <w:tc>
          <w:tcPr>
            <w:tcW w:w="2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00"/>
          </w:cols>
          <w:pgMar w:left="300" w:top="1104" w:right="299" w:bottom="1440" w:gutter="0" w:footer="0" w:header="0"/>
        </w:sectPr>
      </w:pPr>
    </w:p>
    <w:bookmarkStart w:id="1" w:name="page2"/>
    <w:bookmarkEnd w:id="1"/>
    <w:p>
      <w:pPr>
        <w:ind w:right="360"/>
        <w:spacing w:after="0" w:line="267"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31" w:lineRule="exact"/>
        <w:rPr>
          <w:sz w:val="20"/>
          <w:szCs w:val="20"/>
          <w:color w:val="auto"/>
        </w:rPr>
      </w:pPr>
      <w:r>
        <w:rPr>
          <w:rFonts w:ascii="MS PGothic" w:cs="MS PGothic" w:eastAsia="MS PGothic" w:hAnsi="MS PGothic"/>
          <w:sz w:val="13"/>
          <w:szCs w:val="13"/>
          <w:color w:val="auto"/>
        </w:rPr>
        <w:t>☐</w:t>
      </w:r>
    </w:p>
    <w:p>
      <w:pPr>
        <w:spacing w:after="0" w:line="56" w:lineRule="exact"/>
        <w:rPr>
          <w:sz w:val="20"/>
          <w:szCs w:val="20"/>
          <w:color w:val="auto"/>
        </w:rPr>
      </w:pPr>
    </w:p>
    <w:p>
      <w:pPr>
        <w:spacing w:after="0" w:line="150" w:lineRule="exact"/>
        <w:tabs>
          <w:tab w:leader="none" w:pos="6200" w:val="left"/>
          <w:tab w:leader="none" w:pos="67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As of August 9,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 xml:space="preserve"> a total of 28,422,786 shares of Class A common stock, par value $0.0001 per share, 71,500,000 shares of Class B common stock, par value of $0.0001 per share and 72,899,037 shares of Class D common stock, par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705485</wp:posOffset>
            </wp:positionV>
            <wp:extent cx="719328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328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716788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85"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3"/>
          <w:szCs w:val="13"/>
          <w:color w:val="auto"/>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5" w:lineRule="exact"/>
        <w:rPr>
          <w:sz w:val="20"/>
          <w:szCs w:val="20"/>
          <w:color w:val="auto"/>
        </w:rPr>
      </w:pPr>
    </w:p>
    <w:p>
      <w:pPr>
        <w:ind w:left="480" w:hanging="240"/>
        <w:spacing w:after="0"/>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our ability to grow and manage growth profitably, and maintain relationships with customers and suppliers;</w:t>
      </w:r>
    </w:p>
    <w:p>
      <w:pPr>
        <w:spacing w:after="0" w:line="10" w:lineRule="exact"/>
        <w:rPr>
          <w:rFonts w:ascii="Arial" w:cs="Arial" w:eastAsia="Arial" w:hAnsi="Arial"/>
          <w:sz w:val="16"/>
          <w:szCs w:val="16"/>
          <w:color w:val="auto"/>
        </w:rPr>
      </w:pPr>
    </w:p>
    <w:p>
      <w:pPr>
        <w:ind w:left="480" w:hanging="240"/>
        <w:spacing w:after="0"/>
        <w:tabs>
          <w:tab w:leader="none" w:pos="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success in retaining or recruiting, our principal officers, key employees or directors;</w:t>
      </w:r>
    </w:p>
    <w:p>
      <w:pPr>
        <w:spacing w:after="0" w:line="10" w:lineRule="exact"/>
        <w:rPr>
          <w:rFonts w:ascii="Times New Roman" w:cs="Times New Roman" w:eastAsia="Times New Roman" w:hAnsi="Times New Roman"/>
          <w:sz w:val="13"/>
          <w:szCs w:val="13"/>
          <w:color w:val="auto"/>
        </w:rPr>
      </w:pPr>
    </w:p>
    <w:p>
      <w:pPr>
        <w:ind w:left="480" w:hanging="240"/>
        <w:spacing w:after="0" w:line="221"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intense competition and competitive pressures from other companies in the industry in which we operate;</w:t>
      </w:r>
    </w:p>
    <w:p>
      <w:pPr>
        <w:spacing w:after="0" w:line="8" w:lineRule="exact"/>
        <w:rPr>
          <w:rFonts w:ascii="Times New Roman" w:cs="Times New Roman" w:eastAsia="Times New Roman" w:hAnsi="Times New Roman"/>
          <w:sz w:val="16"/>
          <w:szCs w:val="16"/>
          <w:color w:val="auto"/>
        </w:rPr>
      </w:pPr>
    </w:p>
    <w:p>
      <w:pPr>
        <w:ind w:left="480" w:right="20" w:hanging="240"/>
        <w:spacing w:after="0" w:line="246" w:lineRule="auto"/>
        <w:tabs>
          <w:tab w:leader="none" w:pos="477"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factors relating to our business, operations and financial performance, including market conditions and global and economic factors beyond our control;</w:t>
      </w:r>
    </w:p>
    <w:p>
      <w:pPr>
        <w:spacing w:after="0" w:line="10" w:lineRule="exact"/>
        <w:rPr>
          <w:rFonts w:ascii="Arial" w:cs="Arial" w:eastAsia="Arial" w:hAnsi="Arial"/>
          <w:sz w:val="16"/>
          <w:szCs w:val="16"/>
          <w:color w:val="auto"/>
        </w:rPr>
      </w:pPr>
    </w:p>
    <w:p>
      <w:pPr>
        <w:ind w:left="480" w:hanging="240"/>
        <w:spacing w:after="0" w:line="234"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the reduction or elimination of government economic incentives to the renewable energy market;</w:t>
      </w:r>
    </w:p>
    <w:p>
      <w:pPr>
        <w:spacing w:after="0" w:line="8" w:lineRule="exact"/>
        <w:rPr>
          <w:rFonts w:ascii="Times New Roman" w:cs="Times New Roman" w:eastAsia="Times New Roman" w:hAnsi="Times New Roman"/>
          <w:sz w:val="16"/>
          <w:szCs w:val="16"/>
          <w:color w:val="auto"/>
        </w:rPr>
      </w:pPr>
    </w:p>
    <w:p>
      <w:pPr>
        <w:ind w:left="480" w:right="20" w:hanging="240"/>
        <w:spacing w:after="0" w:line="244" w:lineRule="auto"/>
        <w:tabs>
          <w:tab w:leader="none" w:pos="477"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spacing w:after="0" w:line="1" w:lineRule="exact"/>
        <w:rPr>
          <w:rFonts w:ascii="Arial" w:cs="Arial" w:eastAsia="Arial" w:hAnsi="Arial"/>
          <w:sz w:val="16"/>
          <w:szCs w:val="16"/>
          <w:color w:val="auto"/>
        </w:rPr>
      </w:pP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the ability to identify, acquire, develop and operate renewable projects and fueling stations ("Fueling Stations");</w:t>
      </w:r>
    </w:p>
    <w:p>
      <w:pPr>
        <w:spacing w:after="0" w:line="10" w:lineRule="exact"/>
        <w:rPr>
          <w:rFonts w:ascii="Arial" w:cs="Arial" w:eastAsia="Arial" w:hAnsi="Arial"/>
          <w:sz w:val="16"/>
          <w:szCs w:val="16"/>
          <w:color w:val="auto"/>
        </w:rPr>
      </w:pP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our ability to issue equity or equity-linked securities or obtain or amend debt financing;</w:t>
      </w:r>
    </w:p>
    <w:p>
      <w:pPr>
        <w:spacing w:after="0" w:line="10" w:lineRule="exact"/>
        <w:rPr>
          <w:rFonts w:ascii="Arial" w:cs="Arial" w:eastAsia="Arial" w:hAnsi="Arial"/>
          <w:sz w:val="16"/>
          <w:szCs w:val="16"/>
          <w:color w:val="auto"/>
        </w:rPr>
      </w:pPr>
    </w:p>
    <w:p>
      <w:pPr>
        <w:ind w:left="480" w:hanging="240"/>
        <w:spacing w:after="0" w:line="234"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the demand for renewable energy not being sustained;</w:t>
      </w:r>
    </w:p>
    <w:p>
      <w:pPr>
        <w:spacing w:after="0" w:line="10" w:lineRule="exact"/>
        <w:rPr>
          <w:rFonts w:ascii="Arial" w:cs="Arial" w:eastAsia="Arial" w:hAnsi="Arial"/>
          <w:sz w:val="16"/>
          <w:szCs w:val="16"/>
          <w:color w:val="auto"/>
        </w:rPr>
      </w:pPr>
    </w:p>
    <w:p>
      <w:pPr>
        <w:ind w:left="480" w:hanging="240"/>
        <w:spacing w:after="0" w:line="221" w:lineRule="auto"/>
        <w:tabs>
          <w:tab w:leader="none" w:pos="48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3"/>
          <w:szCs w:val="13"/>
          <w:color w:val="auto"/>
        </w:rPr>
        <w:t>impacts of climate change, changing weather patterns and conditions and natural disasters; and</w:t>
      </w:r>
    </w:p>
    <w:p>
      <w:pPr>
        <w:spacing w:after="0" w:line="10" w:lineRule="exact"/>
        <w:rPr>
          <w:rFonts w:ascii="Arial" w:cs="Arial" w:eastAsia="Arial" w:hAnsi="Arial"/>
          <w:sz w:val="16"/>
          <w:szCs w:val="16"/>
          <w:color w:val="auto"/>
        </w:rPr>
      </w:pPr>
    </w:p>
    <w:p>
      <w:pPr>
        <w:ind w:left="480" w:hanging="240"/>
        <w:spacing w:after="0" w:line="234" w:lineRule="auto"/>
        <w:tabs>
          <w:tab w:leader="none" w:pos="4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the effect of legal, tax and regulatory changes.</w:t>
      </w:r>
    </w:p>
    <w:p>
      <w:pPr>
        <w:spacing w:after="0" w:line="2"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3"/>
          <w:szCs w:val="13"/>
          <w:color w:val="auto"/>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15, 2024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410210</wp:posOffset>
            </wp:positionV>
            <wp:extent cx="71932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280" w:type="dxa"/>
            <w:vAlign w:val="bottom"/>
            <w:tcBorders>
              <w:bottom w:val="single" w:sz="8" w:color="auto"/>
            </w:tcBorders>
            <w:gridSpan w:val="4"/>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PART I. FINANCIAL INFORMATION</w:t>
            </w:r>
          </w:p>
        </w:tc>
        <w:tc>
          <w:tcPr>
            <w:tcW w:w="3960" w:type="dxa"/>
            <w:vAlign w:val="bottom"/>
            <w:tcBorders>
              <w:bottom w:val="single" w:sz="8" w:color="CCEEFF"/>
            </w:tcBorders>
            <w:gridSpan w:val="7"/>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right w:val="single" w:sz="8" w:color="CCEEFF"/>
            </w:tcBorders>
            <w:shd w:val="clear" w:color="auto" w:fill="CCEEFF"/>
          </w:tcPr>
          <w:p>
            <w:pPr>
              <w:spacing w:after="0"/>
              <w:rPr>
                <w:sz w:val="10"/>
                <w:szCs w:val="10"/>
                <w:color w:val="auto"/>
              </w:rPr>
            </w:pPr>
          </w:p>
        </w:tc>
        <w:tc>
          <w:tcPr>
            <w:tcW w:w="10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w w:val="98"/>
              </w:rPr>
              <w:t>ITEM 1.</w:t>
            </w:r>
          </w:p>
        </w:tc>
        <w:tc>
          <w:tcPr>
            <w:tcW w:w="740" w:type="dxa"/>
            <w:vAlign w:val="bottom"/>
          </w:tcPr>
          <w:p>
            <w:pPr>
              <w:spacing w:after="0"/>
              <w:rPr>
                <w:sz w:val="12"/>
                <w:szCs w:val="12"/>
                <w:color w:val="auto"/>
              </w:rPr>
            </w:pPr>
          </w:p>
        </w:tc>
        <w:tc>
          <w:tcPr>
            <w:tcW w:w="16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FINANCIAL STATEMENTS</w:t>
            </w:r>
          </w:p>
        </w:tc>
        <w:tc>
          <w:tcPr>
            <w:tcW w:w="7380" w:type="dxa"/>
            <w:vAlign w:val="bottom"/>
            <w:gridSpan w:val="13"/>
          </w:tcPr>
          <w:p>
            <w:pPr>
              <w:spacing w:after="0"/>
              <w:rPr>
                <w:sz w:val="12"/>
                <w:szCs w:val="12"/>
                <w:color w:val="auto"/>
              </w:rPr>
            </w:pPr>
          </w:p>
        </w:tc>
        <w:tc>
          <w:tcPr>
            <w:tcW w:w="620" w:type="dxa"/>
            <w:vAlign w:val="bottom"/>
            <w:gridSpan w:val="3"/>
          </w:tcPr>
          <w:p>
            <w:pPr>
              <w:jc w:val="center"/>
              <w:ind w:left="413"/>
              <w:spacing w:after="0" w:line="140" w:lineRule="exact"/>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980" w:type="dxa"/>
            <w:vAlign w:val="bottom"/>
            <w:gridSpan w:val="14"/>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Condensed Consolidated Balance Sheets as of June 30, 2024 (Unaudited) And December 31, 2023</w:t>
            </w:r>
          </w:p>
        </w:tc>
        <w:tc>
          <w:tcPr>
            <w:tcW w:w="620" w:type="dxa"/>
            <w:vAlign w:val="bottom"/>
            <w:gridSpan w:val="3"/>
            <w:shd w:val="clear" w:color="auto" w:fill="CCEEFF"/>
          </w:tcPr>
          <w:p>
            <w:pPr>
              <w:jc w:val="center"/>
              <w:ind w:left="413"/>
              <w:spacing w:after="0" w:line="145" w:lineRule="exact"/>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980" w:type="dxa"/>
            <w:vAlign w:val="bottom"/>
            <w:gridSpan w:val="14"/>
          </w:tcPr>
          <w:p>
            <w:pPr>
              <w:spacing w:after="0" w:line="140" w:lineRule="exact"/>
              <w:rPr>
                <w:sz w:val="20"/>
                <w:szCs w:val="20"/>
                <w:color w:val="auto"/>
              </w:rPr>
            </w:pPr>
            <w:r>
              <w:rPr>
                <w:rFonts w:ascii="Times New Roman" w:cs="Times New Roman" w:eastAsia="Times New Roman" w:hAnsi="Times New Roman"/>
                <w:sz w:val="13"/>
                <w:szCs w:val="13"/>
                <w:color w:val="auto"/>
              </w:rPr>
              <w:t>Unaudited Condensed Consolidated Statements of Operations for the three and six months ended June 30, 2024 and 2023</w:t>
            </w:r>
          </w:p>
        </w:tc>
        <w:tc>
          <w:tcPr>
            <w:tcW w:w="620" w:type="dxa"/>
            <w:vAlign w:val="bottom"/>
            <w:gridSpan w:val="3"/>
          </w:tcPr>
          <w:p>
            <w:pPr>
              <w:jc w:val="center"/>
              <w:ind w:left="413"/>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580" w:type="dxa"/>
            <w:vAlign w:val="bottom"/>
            <w:gridSpan w:val="12"/>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Unaudited Condensed Consolidated Statements of Comprehensive Income / (loss) for the three and six months ended June 30, 2024 and 2023</w:t>
            </w:r>
          </w:p>
        </w:tc>
        <w:tc>
          <w:tcPr>
            <w:tcW w:w="1400" w:type="dxa"/>
            <w:vAlign w:val="bottom"/>
            <w:gridSpan w:val="2"/>
            <w:shd w:val="clear" w:color="auto" w:fill="CCEEFF"/>
          </w:tcPr>
          <w:p>
            <w:pPr>
              <w:spacing w:after="0"/>
              <w:rPr>
                <w:sz w:val="12"/>
                <w:szCs w:val="12"/>
                <w:color w:val="auto"/>
              </w:rPr>
            </w:pPr>
          </w:p>
        </w:tc>
        <w:tc>
          <w:tcPr>
            <w:tcW w:w="620" w:type="dxa"/>
            <w:vAlign w:val="bottom"/>
            <w:gridSpan w:val="3"/>
            <w:shd w:val="clear" w:color="auto" w:fill="CCEEFF"/>
          </w:tcPr>
          <w:p>
            <w:pPr>
              <w:jc w:val="center"/>
              <w:ind w:left="413"/>
              <w:spacing w:after="0" w:line="145" w:lineRule="exact"/>
              <w:rPr>
                <w:sz w:val="20"/>
                <w:szCs w:val="20"/>
                <w:color w:val="auto"/>
              </w:rPr>
            </w:pPr>
            <w:r>
              <w:rPr>
                <w:rFonts w:ascii="Times New Roman" w:cs="Times New Roman" w:eastAsia="Times New Roman" w:hAnsi="Times New Roman"/>
                <w:sz w:val="13"/>
                <w:szCs w:val="13"/>
                <w:color w:val="auto"/>
                <w:w w:val="91"/>
              </w:rPr>
              <w:t>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980" w:type="dxa"/>
            <w:vAlign w:val="bottom"/>
            <w:gridSpan w:val="14"/>
          </w:tcPr>
          <w:p>
            <w:pPr>
              <w:spacing w:after="0" w:line="140" w:lineRule="exact"/>
              <w:rPr>
                <w:sz w:val="20"/>
                <w:szCs w:val="20"/>
                <w:color w:val="auto"/>
              </w:rPr>
            </w:pPr>
            <w:r>
              <w:rPr>
                <w:rFonts w:ascii="Times New Roman" w:cs="Times New Roman" w:eastAsia="Times New Roman" w:hAnsi="Times New Roman"/>
                <w:sz w:val="13"/>
                <w:szCs w:val="13"/>
                <w:color w:val="auto"/>
              </w:rPr>
              <w:t>Unaudited Condensed Consolidated Statements of Changes In Redeemable Non-Controlling Interest, Redeemable Preferred Non-Controlling Interest And</w:t>
            </w:r>
          </w:p>
        </w:tc>
        <w:tc>
          <w:tcPr>
            <w:tcW w:w="620" w:type="dxa"/>
            <w:vAlign w:val="bottom"/>
            <w:gridSpan w:val="3"/>
            <w:vMerge w:val="restart"/>
          </w:tcPr>
          <w:p>
            <w:pPr>
              <w:jc w:val="center"/>
              <w:ind w:left="413"/>
              <w:spacing w:after="0"/>
              <w:rPr>
                <w:sz w:val="20"/>
                <w:szCs w:val="20"/>
                <w:color w:val="auto"/>
              </w:rPr>
            </w:pPr>
            <w:r>
              <w:rPr>
                <w:rFonts w:ascii="Times New Roman" w:cs="Times New Roman" w:eastAsia="Times New Roman" w:hAnsi="Times New Roman"/>
                <w:sz w:val="13"/>
                <w:szCs w:val="13"/>
                <w:color w:val="auto"/>
                <w:w w:val="91"/>
              </w:rPr>
              <w:t>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320" w:type="dxa"/>
            <w:vAlign w:val="bottom"/>
            <w:tcBorders>
              <w:top w:val="single" w:sz="8" w:color="auto"/>
            </w:tcBorders>
            <w:gridSpan w:val="5"/>
          </w:tcPr>
          <w:p>
            <w:pPr>
              <w:spacing w:after="0" w:line="120" w:lineRule="exact"/>
              <w:rPr>
                <w:sz w:val="20"/>
                <w:szCs w:val="20"/>
                <w:color w:val="auto"/>
              </w:rPr>
            </w:pPr>
            <w:r>
              <w:rPr>
                <w:rFonts w:ascii="Times New Roman" w:cs="Times New Roman" w:eastAsia="Times New Roman" w:hAnsi="Times New Roman"/>
                <w:sz w:val="13"/>
                <w:szCs w:val="13"/>
                <w:color w:val="auto"/>
              </w:rPr>
              <w:t>Stockholders' Deficit for the three and six months ended June 30, 2024 and 2023</w:t>
            </w:r>
          </w:p>
        </w:tc>
        <w:tc>
          <w:tcPr>
            <w:tcW w:w="3920" w:type="dxa"/>
            <w:vAlign w:val="bottom"/>
            <w:tcBorders>
              <w:top w:val="single" w:sz="8" w:color="auto"/>
            </w:tcBorders>
            <w:gridSpan w:val="8"/>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980" w:type="dxa"/>
            <w:vAlign w:val="bottom"/>
            <w:gridSpan w:val="14"/>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Unaudited Condensed Consolidated Statements of Cash Flows for the six months ended June 30, 2024 and 2023</w:t>
            </w:r>
          </w:p>
        </w:tc>
        <w:tc>
          <w:tcPr>
            <w:tcW w:w="620" w:type="dxa"/>
            <w:vAlign w:val="bottom"/>
            <w:gridSpan w:val="3"/>
            <w:shd w:val="clear" w:color="auto" w:fill="CCEEFF"/>
          </w:tcPr>
          <w:p>
            <w:pPr>
              <w:jc w:val="center"/>
              <w:ind w:left="413"/>
              <w:spacing w:after="0" w:line="145" w:lineRule="exact"/>
              <w:rPr>
                <w:sz w:val="20"/>
                <w:szCs w:val="20"/>
                <w:color w:val="auto"/>
              </w:rPr>
            </w:pPr>
            <w:r>
              <w:rPr>
                <w:rFonts w:ascii="Times New Roman" w:cs="Times New Roman" w:eastAsia="Times New Roman" w:hAnsi="Times New Roman"/>
                <w:sz w:val="13"/>
                <w:szCs w:val="13"/>
                <w:color w:val="auto"/>
                <w:w w:val="91"/>
              </w:rPr>
              <w:t>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auto"/>
              </w:rPr>
              <w:t>Notes To Unaudited Condensed Consolidated Financial Statements</w:t>
            </w:r>
          </w:p>
        </w:tc>
        <w:tc>
          <w:tcPr>
            <w:tcW w:w="2980" w:type="dxa"/>
            <w:vAlign w:val="bottom"/>
            <w:gridSpan w:val="5"/>
          </w:tcPr>
          <w:p>
            <w:pPr>
              <w:spacing w:after="0"/>
              <w:rPr>
                <w:sz w:val="12"/>
                <w:szCs w:val="12"/>
                <w:color w:val="auto"/>
              </w:rPr>
            </w:pPr>
          </w:p>
        </w:tc>
        <w:tc>
          <w:tcPr>
            <w:tcW w:w="620" w:type="dxa"/>
            <w:vAlign w:val="bottom"/>
            <w:gridSpan w:val="3"/>
          </w:tcPr>
          <w:p>
            <w:pPr>
              <w:jc w:val="center"/>
              <w:ind w:left="413"/>
              <w:spacing w:after="0" w:line="140"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8"/>
              </w:rPr>
              <w:t>ITEM 2.</w:t>
            </w:r>
          </w:p>
        </w:tc>
        <w:tc>
          <w:tcPr>
            <w:tcW w:w="740" w:type="dxa"/>
            <w:vAlign w:val="bottom"/>
            <w:tcBorders>
              <w:bottom w:val="single" w:sz="8" w:color="CCEEFF"/>
            </w:tcBorders>
            <w:shd w:val="clear" w:color="auto" w:fill="CCEEFF"/>
          </w:tcPr>
          <w:p>
            <w:pPr>
              <w:spacing w:after="0"/>
              <w:rPr>
                <w:sz w:val="13"/>
                <w:szCs w:val="13"/>
                <w:color w:val="auto"/>
              </w:rPr>
            </w:pPr>
          </w:p>
        </w:tc>
        <w:tc>
          <w:tcPr>
            <w:tcW w:w="6600" w:type="dxa"/>
            <w:vAlign w:val="bottom"/>
            <w:tcBorders>
              <w:bottom w:val="single" w:sz="8" w:color="auto"/>
            </w:tcBorders>
            <w:gridSpan w:val="11"/>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MANAGEMENT'S DISCUSSION AND ANALYSIS OF FINANCIAL CONDITION AND RESULTS OF OPERATIONS</w:t>
            </w:r>
          </w:p>
        </w:tc>
        <w:tc>
          <w:tcPr>
            <w:tcW w:w="2380" w:type="dxa"/>
            <w:vAlign w:val="bottom"/>
            <w:tcBorders>
              <w:bottom w:val="single" w:sz="8" w:color="CCEEFF"/>
            </w:tcBorders>
            <w:gridSpan w:val="3"/>
            <w:shd w:val="clear" w:color="auto" w:fill="CCEEFF"/>
          </w:tcPr>
          <w:p>
            <w:pPr>
              <w:spacing w:after="0"/>
              <w:rPr>
                <w:sz w:val="13"/>
                <w:szCs w:val="13"/>
                <w:color w:val="auto"/>
              </w:rPr>
            </w:pPr>
          </w:p>
        </w:tc>
        <w:tc>
          <w:tcPr>
            <w:tcW w:w="52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100" w:type="dxa"/>
            <w:vAlign w:val="bottom"/>
            <w:tcBorders>
              <w:left w:val="single" w:sz="8" w:color="CCEEFF"/>
              <w:bottom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76"/>
              </w:rPr>
              <w:t>48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3"/>
                <w:szCs w:val="13"/>
                <w:color w:val="auto"/>
                <w:w w:val="98"/>
              </w:rPr>
              <w:t>ITEM 3.</w:t>
            </w:r>
          </w:p>
        </w:tc>
        <w:tc>
          <w:tcPr>
            <w:tcW w:w="740" w:type="dxa"/>
            <w:vAlign w:val="bottom"/>
          </w:tcPr>
          <w:p>
            <w:pPr>
              <w:spacing w:after="0"/>
              <w:rPr>
                <w:sz w:val="12"/>
                <w:szCs w:val="12"/>
                <w:color w:val="auto"/>
              </w:rPr>
            </w:pPr>
          </w:p>
        </w:tc>
        <w:tc>
          <w:tcPr>
            <w:tcW w:w="4560" w:type="dxa"/>
            <w:vAlign w:val="bottom"/>
            <w:tcBorders>
              <w:bottom w:val="single" w:sz="8" w:color="auto"/>
            </w:tcBorders>
            <w:gridSpan w:val="6"/>
          </w:tcPr>
          <w:p>
            <w:pPr>
              <w:spacing w:after="0" w:line="140" w:lineRule="exact"/>
              <w:rPr>
                <w:sz w:val="20"/>
                <w:szCs w:val="20"/>
                <w:color w:val="auto"/>
              </w:rPr>
            </w:pPr>
            <w:r>
              <w:rPr>
                <w:rFonts w:ascii="Times New Roman" w:cs="Times New Roman" w:eastAsia="Times New Roman" w:hAnsi="Times New Roman"/>
                <w:sz w:val="13"/>
                <w:szCs w:val="13"/>
                <w:color w:val="auto"/>
              </w:rPr>
              <w:t>QUANTITATIVE AND QUALITATIVE DISCLOSURES ABOUT MARKET RISK</w:t>
            </w:r>
          </w:p>
        </w:tc>
        <w:tc>
          <w:tcPr>
            <w:tcW w:w="4420" w:type="dxa"/>
            <w:vAlign w:val="bottom"/>
            <w:gridSpan w:val="8"/>
          </w:tcPr>
          <w:p>
            <w:pPr>
              <w:spacing w:after="0"/>
              <w:rPr>
                <w:sz w:val="12"/>
                <w:szCs w:val="12"/>
                <w:color w:val="auto"/>
              </w:rPr>
            </w:pPr>
          </w:p>
        </w:tc>
        <w:tc>
          <w:tcPr>
            <w:tcW w:w="520" w:type="dxa"/>
            <w:vAlign w:val="bottom"/>
            <w:gridSpan w:val="2"/>
          </w:tcPr>
          <w:p>
            <w:pPr>
              <w:spacing w:after="0"/>
              <w:rPr>
                <w:sz w:val="12"/>
                <w:szCs w:val="12"/>
                <w:color w:val="auto"/>
              </w:rPr>
            </w:pPr>
          </w:p>
        </w:tc>
        <w:tc>
          <w:tcPr>
            <w:tcW w:w="10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76"/>
              </w:rPr>
              <w:t>61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8"/>
              </w:rPr>
              <w:t>ITEM 4.</w:t>
            </w:r>
          </w:p>
        </w:tc>
        <w:tc>
          <w:tcPr>
            <w:tcW w:w="74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auto"/>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CONTROLS AND PROCEDURES</w:t>
            </w:r>
          </w:p>
        </w:tc>
        <w:tc>
          <w:tcPr>
            <w:tcW w:w="7040" w:type="dxa"/>
            <w:vAlign w:val="bottom"/>
            <w:tcBorders>
              <w:bottom w:val="single" w:sz="8" w:color="CCEEFF"/>
            </w:tcBorders>
            <w:gridSpan w:val="12"/>
            <w:shd w:val="clear" w:color="auto" w:fill="CCEEFF"/>
          </w:tcPr>
          <w:p>
            <w:pPr>
              <w:spacing w:after="0"/>
              <w:rPr>
                <w:sz w:val="13"/>
                <w:szCs w:val="13"/>
                <w:color w:val="auto"/>
              </w:rPr>
            </w:pPr>
          </w:p>
        </w:tc>
        <w:tc>
          <w:tcPr>
            <w:tcW w:w="520" w:type="dxa"/>
            <w:vAlign w:val="bottom"/>
            <w:tcBorders>
              <w:bottom w:val="single" w:sz="8" w:color="CCEEFF"/>
              <w:right w:val="single" w:sz="8" w:color="CCEEFF"/>
            </w:tcBorders>
            <w:gridSpan w:val="2"/>
            <w:shd w:val="clear" w:color="auto" w:fill="CCEEFF"/>
          </w:tcPr>
          <w:p>
            <w:pPr>
              <w:spacing w:after="0"/>
              <w:rPr>
                <w:sz w:val="13"/>
                <w:szCs w:val="13"/>
                <w:color w:val="auto"/>
              </w:rPr>
            </w:pPr>
          </w:p>
        </w:tc>
        <w:tc>
          <w:tcPr>
            <w:tcW w:w="100" w:type="dxa"/>
            <w:vAlign w:val="bottom"/>
            <w:tcBorders>
              <w:left w:val="single" w:sz="8" w:color="CCEEFF"/>
              <w:bottom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76"/>
              </w:rPr>
              <w:t>61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48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PART II. OTHER INFORMATION</w:t>
            </w:r>
          </w:p>
        </w:tc>
        <w:tc>
          <w:tcPr>
            <w:tcW w:w="2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45"/>
        </w:trPr>
        <w:tc>
          <w:tcPr>
            <w:tcW w:w="480" w:type="dxa"/>
            <w:vAlign w:val="bottom"/>
            <w:tcBorders>
              <w:top w:val="single" w:sz="8" w:color="CCEEFF"/>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1.</w:t>
            </w:r>
          </w:p>
        </w:tc>
        <w:tc>
          <w:tcPr>
            <w:tcW w:w="740" w:type="dxa"/>
            <w:vAlign w:val="bottom"/>
            <w:tcBorders>
              <w:top w:val="single" w:sz="8" w:color="CCEEFF"/>
            </w:tcBorders>
            <w:gridSpan w:val="3"/>
          </w:tcPr>
          <w:p>
            <w:pPr>
              <w:spacing w:after="0"/>
              <w:rPr>
                <w:sz w:val="12"/>
                <w:szCs w:val="12"/>
                <w:color w:val="auto"/>
              </w:rPr>
            </w:pPr>
          </w:p>
        </w:tc>
        <w:tc>
          <w:tcPr>
            <w:tcW w:w="1400" w:type="dxa"/>
            <w:vAlign w:val="bottom"/>
            <w:tcBorders>
              <w:top w:val="single" w:sz="8" w:color="CCEEFF"/>
              <w:bottom w:val="single" w:sz="8" w:color="auto"/>
            </w:tcBorders>
            <w:gridSpan w:val="3"/>
          </w:tcPr>
          <w:p>
            <w:pPr>
              <w:spacing w:after="0" w:line="140" w:lineRule="exact"/>
              <w:rPr>
                <w:sz w:val="20"/>
                <w:szCs w:val="20"/>
                <w:color w:val="auto"/>
              </w:rPr>
            </w:pPr>
            <w:r>
              <w:rPr>
                <w:rFonts w:ascii="Times New Roman" w:cs="Times New Roman" w:eastAsia="Times New Roman" w:hAnsi="Times New Roman"/>
                <w:sz w:val="13"/>
                <w:szCs w:val="13"/>
                <w:color w:val="auto"/>
              </w:rPr>
              <w:t>LEGAL PROCEEDINGS</w:t>
            </w:r>
          </w:p>
        </w:tc>
        <w:tc>
          <w:tcPr>
            <w:tcW w:w="1460" w:type="dxa"/>
            <w:vAlign w:val="bottom"/>
            <w:tcBorders>
              <w:top w:val="single" w:sz="8" w:color="CCEEFF"/>
            </w:tcBorders>
            <w:gridSpan w:val="3"/>
          </w:tcPr>
          <w:p>
            <w:pPr>
              <w:spacing w:after="0"/>
              <w:rPr>
                <w:sz w:val="12"/>
                <w:szCs w:val="12"/>
                <w:color w:val="auto"/>
              </w:rPr>
            </w:pPr>
          </w:p>
        </w:tc>
        <w:tc>
          <w:tcPr>
            <w:tcW w:w="2040" w:type="dxa"/>
            <w:vAlign w:val="bottom"/>
            <w:tcBorders>
              <w:top w:val="single" w:sz="8" w:color="auto"/>
            </w:tcBorders>
            <w:gridSpan w:val="2"/>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40" w:type="dxa"/>
            <w:vAlign w:val="bottom"/>
            <w:tcBorders>
              <w:top w:val="single" w:sz="8" w:color="CCEEFF"/>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63</w:t>
            </w:r>
          </w:p>
        </w:tc>
        <w:tc>
          <w:tcPr>
            <w:tcW w:w="460" w:type="dxa"/>
            <w:vAlign w:val="bottom"/>
            <w:tcBorders>
              <w:top w:val="single" w:sz="8" w:color="CCEEFF"/>
            </w:tcBorders>
          </w:tcPr>
          <w:p>
            <w:pPr>
              <w:spacing w:after="0"/>
              <w:rPr>
                <w:sz w:val="12"/>
                <w:szCs w:val="12"/>
                <w:color w:val="auto"/>
              </w:rPr>
            </w:pPr>
          </w:p>
        </w:tc>
      </w:tr>
      <w:tr>
        <w:trPr>
          <w:trHeight w:val="145"/>
        </w:trPr>
        <w:tc>
          <w:tcPr>
            <w:tcW w:w="1220" w:type="dxa"/>
            <w:vAlign w:val="bottom"/>
            <w:tcBorders>
              <w:left w:val="single" w:sz="8" w:color="CCEEFF"/>
            </w:tcBorders>
            <w:gridSpan w:val="4"/>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rPr>
              <w:t>ITEM 1A.</w:t>
            </w:r>
          </w:p>
        </w:tc>
        <w:tc>
          <w:tcPr>
            <w:tcW w:w="718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RISK FACTORS</w:t>
            </w:r>
          </w:p>
        </w:tc>
        <w:tc>
          <w:tcPr>
            <w:tcW w:w="2880" w:type="dxa"/>
            <w:vAlign w:val="bottom"/>
            <w:gridSpan w:val="3"/>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63</w:t>
            </w:r>
          </w:p>
        </w:tc>
      </w:tr>
      <w:tr>
        <w:trPr>
          <w:trHeight w:val="30"/>
        </w:trPr>
        <w:tc>
          <w:tcPr>
            <w:tcW w:w="480" w:type="dxa"/>
            <w:vAlign w:val="bottom"/>
            <w:tcBorders>
              <w:lef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r>
      <w:tr>
        <w:trPr>
          <w:trHeight w:val="145"/>
        </w:trPr>
        <w:tc>
          <w:tcPr>
            <w:tcW w:w="48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2.</w:t>
            </w:r>
          </w:p>
        </w:tc>
        <w:tc>
          <w:tcPr>
            <w:tcW w:w="8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718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auto"/>
              </w:rPr>
              <w:t>UNREGISTERED SALES OF EQUITY SECURITIES AND USE OF PROCEEDS</w:t>
            </w:r>
          </w:p>
        </w:tc>
        <w:tc>
          <w:tcPr>
            <w:tcW w:w="2880" w:type="dxa"/>
            <w:vAlign w:val="bottom"/>
            <w:gridSpan w:val="3"/>
          </w:tcPr>
          <w:p>
            <w:pPr>
              <w:jc w:val="right"/>
              <w:ind w:right="460"/>
              <w:spacing w:after="0" w:line="140" w:lineRule="exact"/>
              <w:rPr>
                <w:sz w:val="20"/>
                <w:szCs w:val="20"/>
                <w:color w:val="auto"/>
              </w:rPr>
            </w:pPr>
            <w:r>
              <w:rPr>
                <w:rFonts w:ascii="Times New Roman" w:cs="Times New Roman" w:eastAsia="Times New Roman" w:hAnsi="Times New Roman"/>
                <w:sz w:val="13"/>
                <w:szCs w:val="13"/>
                <w:color w:val="auto"/>
              </w:rPr>
              <w:t>63</w:t>
            </w:r>
          </w:p>
        </w:tc>
      </w:tr>
      <w:tr>
        <w:trPr>
          <w:trHeight w:val="155"/>
        </w:trPr>
        <w:tc>
          <w:tcPr>
            <w:tcW w:w="480" w:type="dxa"/>
            <w:vAlign w:val="bottom"/>
            <w:tcBorders>
              <w:top w:val="single" w:sz="8" w:color="auto"/>
              <w:left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w w:val="98"/>
              </w:rPr>
              <w:t>ITEM 3.</w:t>
            </w:r>
          </w:p>
        </w:tc>
        <w:tc>
          <w:tcPr>
            <w:tcW w:w="740" w:type="dxa"/>
            <w:vAlign w:val="bottom"/>
            <w:gridSpan w:val="3"/>
            <w:shd w:val="clear" w:color="auto" w:fill="CCEEFF"/>
          </w:tcPr>
          <w:p>
            <w:pPr>
              <w:spacing w:after="0"/>
              <w:rPr>
                <w:sz w:val="13"/>
                <w:szCs w:val="13"/>
                <w:color w:val="auto"/>
              </w:rPr>
            </w:pPr>
          </w:p>
        </w:tc>
        <w:tc>
          <w:tcPr>
            <w:tcW w:w="4500" w:type="dxa"/>
            <w:vAlign w:val="bottom"/>
            <w:tcBorders>
              <w:top w:val="single" w:sz="8" w:color="auto"/>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DEFAULTS UPON SENIOR SECURITIES</w:t>
            </w:r>
          </w:p>
        </w:tc>
        <w:tc>
          <w:tcPr>
            <w:tcW w:w="2680" w:type="dxa"/>
            <w:vAlign w:val="bottom"/>
            <w:gridSpan w:val="2"/>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64</w:t>
            </w:r>
          </w:p>
        </w:tc>
        <w:tc>
          <w:tcPr>
            <w:tcW w:w="460" w:type="dxa"/>
            <w:vAlign w:val="bottom"/>
            <w:shd w:val="clear" w:color="auto" w:fill="CCEEFF"/>
          </w:tcPr>
          <w:p>
            <w:pPr>
              <w:spacing w:after="0"/>
              <w:rPr>
                <w:sz w:val="13"/>
                <w:szCs w:val="13"/>
                <w:color w:val="auto"/>
              </w:rPr>
            </w:pPr>
          </w:p>
        </w:tc>
      </w:tr>
      <w:tr>
        <w:trPr>
          <w:trHeight w:val="145"/>
        </w:trPr>
        <w:tc>
          <w:tcPr>
            <w:tcW w:w="480" w:type="dxa"/>
            <w:vAlign w:val="bottom"/>
            <w:tcBorders>
              <w:top w:val="single" w:sz="8" w:color="auto"/>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4.</w:t>
            </w:r>
          </w:p>
        </w:tc>
        <w:tc>
          <w:tcPr>
            <w:tcW w:w="740" w:type="dxa"/>
            <w:vAlign w:val="bottom"/>
            <w:tcBorders>
              <w:top w:val="single" w:sz="8" w:color="CCEEFF"/>
            </w:tcBorders>
            <w:gridSpan w:val="3"/>
          </w:tcPr>
          <w:p>
            <w:pPr>
              <w:spacing w:after="0"/>
              <w:rPr>
                <w:sz w:val="12"/>
                <w:szCs w:val="12"/>
                <w:color w:val="auto"/>
              </w:rPr>
            </w:pPr>
          </w:p>
        </w:tc>
        <w:tc>
          <w:tcPr>
            <w:tcW w:w="1820" w:type="dxa"/>
            <w:vAlign w:val="bottom"/>
            <w:tcBorders>
              <w:top w:val="single" w:sz="8" w:color="auto"/>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3"/>
                <w:szCs w:val="13"/>
                <w:color w:val="auto"/>
              </w:rPr>
              <w:t>MINE SAFETY DISCLOSURES</w:t>
            </w:r>
          </w:p>
        </w:tc>
        <w:tc>
          <w:tcPr>
            <w:tcW w:w="540" w:type="dxa"/>
            <w:vAlign w:val="bottom"/>
            <w:tcBorders>
              <w:top w:val="single" w:sz="8" w:color="auto"/>
            </w:tcBorders>
          </w:tcPr>
          <w:p>
            <w:pPr>
              <w:spacing w:after="0"/>
              <w:rPr>
                <w:sz w:val="12"/>
                <w:szCs w:val="12"/>
                <w:color w:val="auto"/>
              </w:rPr>
            </w:pPr>
          </w:p>
        </w:tc>
        <w:tc>
          <w:tcPr>
            <w:tcW w:w="4820" w:type="dxa"/>
            <w:vAlign w:val="bottom"/>
            <w:tcBorders>
              <w:top w:val="single" w:sz="8" w:color="CCEEFF"/>
            </w:tcBorders>
            <w:gridSpan w:val="4"/>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64</w:t>
            </w:r>
          </w:p>
        </w:tc>
        <w:tc>
          <w:tcPr>
            <w:tcW w:w="460" w:type="dxa"/>
            <w:vAlign w:val="bottom"/>
            <w:tcBorders>
              <w:top w:val="single" w:sz="8" w:color="CCEEFF"/>
            </w:tcBorders>
          </w:tcPr>
          <w:p>
            <w:pPr>
              <w:spacing w:after="0"/>
              <w:rPr>
                <w:sz w:val="12"/>
                <w:szCs w:val="12"/>
                <w:color w:val="auto"/>
              </w:rPr>
            </w:pPr>
          </w:p>
        </w:tc>
      </w:tr>
      <w:tr>
        <w:trPr>
          <w:trHeight w:val="155"/>
        </w:trPr>
        <w:tc>
          <w:tcPr>
            <w:tcW w:w="480" w:type="dxa"/>
            <w:vAlign w:val="bottom"/>
            <w:tcBorders>
              <w:left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w w:val="98"/>
              </w:rPr>
              <w:t>ITEM 5.</w:t>
            </w:r>
          </w:p>
        </w:tc>
        <w:tc>
          <w:tcPr>
            <w:tcW w:w="740" w:type="dxa"/>
            <w:vAlign w:val="bottom"/>
            <w:gridSpan w:val="3"/>
            <w:shd w:val="clear" w:color="auto" w:fill="CCEEFF"/>
          </w:tcPr>
          <w:p>
            <w:pPr>
              <w:spacing w:after="0"/>
              <w:rPr>
                <w:sz w:val="13"/>
                <w:szCs w:val="13"/>
                <w:color w:val="auto"/>
              </w:rPr>
            </w:pPr>
          </w:p>
        </w:tc>
        <w:tc>
          <w:tcPr>
            <w:tcW w:w="718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INFORMATION</w:t>
            </w:r>
          </w:p>
        </w:tc>
        <w:tc>
          <w:tcPr>
            <w:tcW w:w="2880" w:type="dxa"/>
            <w:vAlign w:val="bottom"/>
            <w:gridSpan w:val="3"/>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65</w:t>
            </w:r>
          </w:p>
        </w:tc>
      </w:tr>
      <w:tr>
        <w:trPr>
          <w:trHeight w:val="145"/>
        </w:trPr>
        <w:tc>
          <w:tcPr>
            <w:tcW w:w="480" w:type="dxa"/>
            <w:vAlign w:val="bottom"/>
            <w:tcBorders>
              <w:top w:val="single" w:sz="8" w:color="auto"/>
              <w:bottom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color w:val="auto"/>
                <w:w w:val="98"/>
              </w:rPr>
              <w:t>ITEM 6.</w:t>
            </w:r>
          </w:p>
        </w:tc>
        <w:tc>
          <w:tcPr>
            <w:tcW w:w="740" w:type="dxa"/>
            <w:vAlign w:val="bottom"/>
            <w:tcBorders>
              <w:top w:val="single" w:sz="8" w:color="CCEEFF"/>
            </w:tcBorders>
            <w:gridSpan w:val="3"/>
          </w:tcPr>
          <w:p>
            <w:pPr>
              <w:spacing w:after="0"/>
              <w:rPr>
                <w:sz w:val="12"/>
                <w:szCs w:val="12"/>
                <w:color w:val="auto"/>
              </w:rPr>
            </w:pPr>
          </w:p>
        </w:tc>
        <w:tc>
          <w:tcPr>
            <w:tcW w:w="620" w:type="dxa"/>
            <w:vAlign w:val="bottom"/>
            <w:tcBorders>
              <w:top w:val="single" w:sz="8" w:color="auto"/>
              <w:bottom w:val="single" w:sz="8" w:color="auto"/>
            </w:tcBorders>
          </w:tcPr>
          <w:p>
            <w:pPr>
              <w:spacing w:after="0" w:line="140" w:lineRule="exact"/>
              <w:rPr>
                <w:sz w:val="20"/>
                <w:szCs w:val="20"/>
                <w:color w:val="auto"/>
              </w:rPr>
            </w:pPr>
            <w:r>
              <w:rPr>
                <w:rFonts w:ascii="Times New Roman" w:cs="Times New Roman" w:eastAsia="Times New Roman" w:hAnsi="Times New Roman"/>
                <w:sz w:val="13"/>
                <w:szCs w:val="13"/>
                <w:color w:val="auto"/>
              </w:rPr>
              <w:t>EXHIBITS</w:t>
            </w:r>
          </w:p>
        </w:tc>
        <w:tc>
          <w:tcPr>
            <w:tcW w:w="780" w:type="dxa"/>
            <w:vAlign w:val="bottom"/>
            <w:tcBorders>
              <w:top w:val="single" w:sz="8" w:color="auto"/>
            </w:tcBorders>
            <w:gridSpan w:val="2"/>
          </w:tcPr>
          <w:p>
            <w:pPr>
              <w:spacing w:after="0"/>
              <w:rPr>
                <w:sz w:val="12"/>
                <w:szCs w:val="12"/>
                <w:color w:val="auto"/>
              </w:rPr>
            </w:pPr>
          </w:p>
        </w:tc>
        <w:tc>
          <w:tcPr>
            <w:tcW w:w="5780" w:type="dxa"/>
            <w:vAlign w:val="bottom"/>
            <w:tcBorders>
              <w:top w:val="single" w:sz="8" w:color="CCEEFF"/>
            </w:tcBorders>
            <w:gridSpan w:val="6"/>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w w:val="91"/>
              </w:rPr>
              <w:t>65</w:t>
            </w:r>
          </w:p>
        </w:tc>
        <w:tc>
          <w:tcPr>
            <w:tcW w:w="460" w:type="dxa"/>
            <w:vAlign w:val="bottom"/>
            <w:tcBorders>
              <w:top w:val="single" w:sz="8" w:color="CCEEFF"/>
            </w:tcBorders>
          </w:tcPr>
          <w:p>
            <w:pPr>
              <w:spacing w:after="0"/>
              <w:rPr>
                <w:sz w:val="12"/>
                <w:szCs w:val="12"/>
                <w:color w:val="auto"/>
              </w:rPr>
            </w:pPr>
          </w:p>
        </w:tc>
      </w:tr>
      <w:tr>
        <w:trPr>
          <w:trHeight w:val="155"/>
        </w:trPr>
        <w:tc>
          <w:tcPr>
            <w:tcW w:w="1220" w:type="dxa"/>
            <w:vAlign w:val="bottom"/>
            <w:tcBorders>
              <w:left w:val="single" w:sz="8" w:color="CCEEFF"/>
            </w:tcBorders>
            <w:gridSpan w:val="4"/>
            <w:shd w:val="clear" w:color="auto" w:fill="CCEEFF"/>
          </w:tcPr>
          <w:p>
            <w:pPr>
              <w:ind w:left="20"/>
              <w:spacing w:after="0" w:line="145" w:lineRule="exact"/>
              <w:rPr>
                <w:sz w:val="20"/>
                <w:szCs w:val="20"/>
                <w:color w:val="auto"/>
              </w:rPr>
            </w:pPr>
            <w:r>
              <w:rPr>
                <w:rFonts w:ascii="Times New Roman" w:cs="Times New Roman" w:eastAsia="Times New Roman" w:hAnsi="Times New Roman"/>
                <w:sz w:val="13"/>
                <w:szCs w:val="13"/>
                <w:color w:val="auto"/>
              </w:rPr>
              <w:t>SIGNATURES</w:t>
            </w: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880" w:type="dxa"/>
            <w:vAlign w:val="bottom"/>
            <w:gridSpan w:val="3"/>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66</w:t>
            </w:r>
          </w:p>
        </w:tc>
      </w:tr>
      <w:tr>
        <w:trPr>
          <w:trHeight w:val="751"/>
        </w:trPr>
        <w:tc>
          <w:tcPr>
            <w:tcW w:w="4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164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280" w:type="dxa"/>
            <w:vAlign w:val="bottom"/>
            <w:tcBorders>
              <w:top w:val="single" w:sz="8" w:color="CCEEFF"/>
              <w:bottom w:val="single" w:sz="8" w:color="9A9A9A"/>
            </w:tcBorders>
          </w:tcPr>
          <w:p>
            <w:pPr>
              <w:spacing w:after="0"/>
              <w:rPr>
                <w:sz w:val="24"/>
                <w:szCs w:val="24"/>
                <w:color w:val="auto"/>
              </w:rPr>
            </w:pPr>
          </w:p>
        </w:tc>
        <w:tc>
          <w:tcPr>
            <w:tcW w:w="22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240" w:type="dxa"/>
            <w:vAlign w:val="bottom"/>
          </w:tcPr>
          <w:p>
            <w:pPr>
              <w:spacing w:after="0"/>
              <w:rPr>
                <w:sz w:val="12"/>
                <w:szCs w:val="1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0"/>
        </w:trPr>
        <w:tc>
          <w:tcPr>
            <w:tcW w:w="8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51"/>
        </w:trPr>
        <w:tc>
          <w:tcPr>
            <w:tcW w:w="8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and cash equivalents (includes $533 and $166 at June 30, 2024 and December 31, 2023, respectively, related to consolidated VIEs)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19,016</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38,348</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net (includes $388 and $33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24,220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27,623</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related party</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18,696</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 - current (includes $940 and $4,395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4,395</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 term investments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9,875</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Fuel tax credits receivable</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5,345</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Contract assets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6,790</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Parts inventory (includes $29 and $29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10,191</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Environmental credits held for sale</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 and other current assets (includes $68 and $107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6,005</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Derivative financial assets - current portion</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104,720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128,073</w:t>
            </w:r>
          </w:p>
        </w:tc>
        <w:tc>
          <w:tcPr>
            <w:tcW w:w="0" w:type="dxa"/>
            <w:vAlign w:val="bottom"/>
          </w:tcPr>
          <w:p>
            <w:pPr>
              <w:spacing w:after="0"/>
              <w:rPr>
                <w:sz w:val="1"/>
                <w:szCs w:val="1"/>
                <w:color w:val="auto"/>
              </w:rPr>
            </w:pPr>
          </w:p>
        </w:tc>
      </w:tr>
      <w:tr>
        <w:trPr>
          <w:trHeight w:val="14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Capital spares</w:t>
            </w: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3,752</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3,468</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plant, and equipment, net (includes $25,884 and $26,626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385,455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339,493</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right-of-use assets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13,185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12,301</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Investment in other entities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212,579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207,099</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Note receivable - variable fee component</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long-term assets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1,162</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 - non-current (includes $2,063 and $1,850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4,499</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54,608</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782,312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754,609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 (includes $50 and $744 at June 30, 2024 and December 31, 2023, respectively, related to consolidated VIEs)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13,901</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related party (includes $669 and $1,046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7,024</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tax credits payable</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4,558</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Accrued payroll (includes $38 and $— at June 30, 2024 and December 31, 2023,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9,023</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capital expenses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15,128</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current liabilities (includes $812 and $647 at June 30, 2024 and December 31, 2022, respectively, related to consolidated VIEs)</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13,634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14,245</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Contract liabilities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0"/>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OPAL Term Loan - current portion</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Sunoma Loan - current portion (includes $1,689 and $1,608 at June 30, 2024 and December 31, 2023, respectively, related to consolidated VIEs)</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 current portion</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current liabilities (includes $97 and $92 at June 30, 2024 and December 31, 2023, respectively, related to consolidated VIEs)</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 retirement obligation, current portion</w:t>
            </w:r>
          </w:p>
        </w:tc>
        <w:tc>
          <w:tcPr>
            <w:tcW w:w="5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1,952</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0" w:type="dxa"/>
            <w:vAlign w:val="bottom"/>
          </w:tcPr>
          <w:p>
            <w:pPr>
              <w:spacing w:after="0"/>
              <w:rPr>
                <w:sz w:val="1"/>
                <w:szCs w:val="1"/>
                <w:color w:val="auto"/>
              </w:rPr>
            </w:pP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81,086</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74,343</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 retirement obligation - non-current portion</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5,642</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4,916</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OPAL Term Loan - non-current portion</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198,342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176,532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Sunoma Loan, net of debt issuance costs (includes $19,193 and $20,010 at June 30, 2024 and December 31, 2023, respectively, related to consolidated VIEs)</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19,193</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20,010</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 non-current portion</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11,824</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 out liabilities</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liabilities (includes $2,683 and $211 at June 30, 2024 and December 31, 2023, respectively, related to consolidated VIEs)</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7,599</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327,756</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297,124</w:t>
            </w:r>
          </w:p>
        </w:tc>
        <w:tc>
          <w:tcPr>
            <w:tcW w:w="0" w:type="dxa"/>
            <w:vAlign w:val="bottom"/>
          </w:tcPr>
          <w:p>
            <w:pPr>
              <w:spacing w:after="0"/>
              <w:rPr>
                <w:sz w:val="1"/>
                <w:szCs w:val="1"/>
                <w:color w:val="auto"/>
              </w:rPr>
            </w:pPr>
          </w:p>
        </w:tc>
      </w:tr>
      <w:tr>
        <w:trPr>
          <w:trHeight w:val="136"/>
        </w:trPr>
        <w:tc>
          <w:tcPr>
            <w:tcW w:w="820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5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preferred non-controlling interests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132,617</w:t>
            </w:r>
          </w:p>
        </w:tc>
        <w:tc>
          <w:tcPr>
            <w:tcW w:w="0" w:type="dxa"/>
            <w:vAlign w:val="bottom"/>
          </w:tcPr>
          <w:p>
            <w:pPr>
              <w:spacing w:after="0"/>
              <w:rPr>
                <w:sz w:val="1"/>
                <w:szCs w:val="1"/>
                <w:color w:val="auto"/>
              </w:rPr>
            </w:pPr>
          </w:p>
        </w:tc>
      </w:tr>
      <w:tr>
        <w:trPr>
          <w:trHeight w:val="178"/>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597,069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802,720</w:t>
            </w:r>
          </w:p>
        </w:tc>
        <w:tc>
          <w:tcPr>
            <w:tcW w:w="0" w:type="dxa"/>
            <w:vAlign w:val="bottom"/>
          </w:tcPr>
          <w:p>
            <w:pPr>
              <w:spacing w:after="0"/>
              <w:rPr>
                <w:sz w:val="1"/>
                <w:szCs w:val="1"/>
                <w:color w:val="auto"/>
              </w:rPr>
            </w:pPr>
          </w:p>
        </w:tc>
      </w:tr>
      <w:tr>
        <w:trPr>
          <w:trHeight w:val="16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stock, $0.0001 par value, 340,000,000 shares authorized as of June 30, 2024; shares issued: 30,058,569 and 29,701,146 at June 30, 2024 and</w:t>
            </w:r>
          </w:p>
        </w:tc>
        <w:tc>
          <w:tcPr>
            <w:tcW w:w="5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62"/>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December 31, 2023, respectively; shares outstanding: 28,422,786 and 28,065,363 at June 30, 2024 and December 31, 2023, respectively</w:t>
            </w: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B common stock, $0.0001 par value, 160,000,000 shares authorized as of June 30, 2024; 71,500,000 and none issued and outstanding as of June 30, 2024 and</w:t>
            </w:r>
          </w:p>
        </w:tc>
        <w:tc>
          <w:tcPr>
            <w:tcW w:w="5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December 31, 2023, respectively</w:t>
            </w:r>
          </w:p>
        </w:tc>
        <w:tc>
          <w:tcPr>
            <w:tcW w:w="5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Class C common stock, $0.0001 par value, 160,000,000 shares authorized as of June 30, 2024; none issued and outstanding as of June 30, 2024 and December 31, 2023</w:t>
            </w:r>
          </w:p>
        </w:tc>
        <w:tc>
          <w:tcPr>
            <w:tcW w:w="5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D common stock, $0.0001 par value, 160,000,000 shares authorized as of June 30, 2024; 72,899,037 and 144,399,037 shares issued and outstanding at June 30,</w:t>
            </w:r>
          </w:p>
        </w:tc>
        <w:tc>
          <w:tcPr>
            <w:tcW w:w="5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2024 and December 31, 2023</w:t>
            </w:r>
          </w:p>
        </w:tc>
        <w:tc>
          <w:tcPr>
            <w:tcW w:w="5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5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(261,503)</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(467,195)</w:t>
            </w:r>
          </w:p>
        </w:tc>
        <w:tc>
          <w:tcPr>
            <w:tcW w:w="0" w:type="dxa"/>
            <w:vAlign w:val="bottom"/>
          </w:tcPr>
          <w:p>
            <w:pPr>
              <w:spacing w:after="0"/>
              <w:rPr>
                <w:sz w:val="1"/>
                <w:szCs w:val="1"/>
                <w:color w:val="auto"/>
              </w:rPr>
            </w:pPr>
          </w:p>
        </w:tc>
      </w:tr>
      <w:tr>
        <w:trPr>
          <w:trHeight w:val="156"/>
        </w:trPr>
        <w:tc>
          <w:tcPr>
            <w:tcW w:w="8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5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 common stock in treasury, at cost; 1,635,783 and 1,635,783 shares at June 30, 2024 and December 31, 2023, respectively</w:t>
            </w:r>
          </w:p>
        </w:tc>
        <w:tc>
          <w:tcPr>
            <w:tcW w:w="5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0" w:type="dxa"/>
            <w:vAlign w:val="bottom"/>
          </w:tcPr>
          <w:p>
            <w:pPr>
              <w:spacing w:after="0"/>
              <w:rPr>
                <w:sz w:val="1"/>
                <w:szCs w:val="1"/>
                <w:color w:val="auto"/>
              </w:rPr>
            </w:pP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Stockholders' deficit attributable to the Company</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(273,030)</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(478,807)</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Non-redeemable non-controlling interests</w:t>
            </w:r>
          </w:p>
        </w:tc>
        <w:tc>
          <w:tcPr>
            <w:tcW w:w="5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0" w:type="dxa"/>
            <w:vAlign w:val="bottom"/>
          </w:tcPr>
          <w:p>
            <w:pPr>
              <w:spacing w:after="0"/>
              <w:rPr>
                <w:sz w:val="1"/>
                <w:szCs w:val="1"/>
                <w:color w:val="auto"/>
              </w:rPr>
            </w:pP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Stockholders' deficit</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(272,513)</w:t>
            </w: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(477,852)</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liabilities, Redeemable preferred non-controlling interests, Redeemable non-controlling interests and Stockholders' deficit</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782,312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754,609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90"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of U.S. dollars,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60" w:type="dxa"/>
            <w:vAlign w:val="bottom"/>
          </w:tcPr>
          <w:p>
            <w:pPr>
              <w:spacing w:after="0"/>
              <w:rPr>
                <w:sz w:val="13"/>
                <w:szCs w:val="13"/>
                <w:color w:val="auto"/>
              </w:rPr>
            </w:pPr>
          </w:p>
        </w:tc>
      </w:tr>
      <w:tr>
        <w:trPr>
          <w:trHeight w:val="171"/>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00" w:type="dxa"/>
            <w:vAlign w:val="bottom"/>
          </w:tcPr>
          <w:p>
            <w:pPr>
              <w:spacing w:after="0"/>
              <w:rPr>
                <w:sz w:val="14"/>
                <w:szCs w:val="14"/>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60" w:type="dxa"/>
            <w:vAlign w:val="bottom"/>
          </w:tcPr>
          <w:p>
            <w:pPr>
              <w:spacing w:after="0"/>
              <w:rPr>
                <w:sz w:val="14"/>
                <w:szCs w:val="14"/>
                <w:color w:val="auto"/>
              </w:rPr>
            </w:pPr>
          </w:p>
        </w:tc>
      </w:tr>
      <w:tr>
        <w:trPr>
          <w:trHeight w:val="151"/>
        </w:trPr>
        <w:tc>
          <w:tcPr>
            <w:tcW w:w="6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2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r>
      <w:tr>
        <w:trPr>
          <w:trHeight w:val="141"/>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RNG Fuel (includes revenues from related party of $15,881 and $9,412 for the three months ended June 30, 2024 and 2023,</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19,445</w:t>
            </w:r>
          </w:p>
        </w:tc>
        <w:tc>
          <w:tcPr>
            <w:tcW w:w="8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10,631</w:t>
            </w:r>
          </w:p>
        </w:tc>
        <w:tc>
          <w:tcPr>
            <w:tcW w:w="8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37,172</w:t>
            </w:r>
          </w:p>
        </w:tc>
        <w:tc>
          <w:tcPr>
            <w:tcW w:w="100" w:type="dxa"/>
            <w:vAlign w:val="bottom"/>
          </w:tcPr>
          <w:p>
            <w:pPr>
              <w:spacing w:after="0"/>
              <w:rPr>
                <w:sz w:val="12"/>
                <w:szCs w:val="12"/>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17,380</w:t>
            </w:r>
          </w:p>
        </w:tc>
      </w:tr>
      <w:tr>
        <w:trPr>
          <w:trHeight w:val="162"/>
        </w:trPr>
        <w:tc>
          <w:tcPr>
            <w:tcW w:w="6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respectively; $31,376 and $14,127 for the six months ended June 30, 2024 and 2023, respectively)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8"/>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Fuel Station Services (includes revenues from related party of $9,528 and $2,440 for the three months ended June 30, 2024 and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29,956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76,399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50,784</w:t>
            </w:r>
          </w:p>
        </w:tc>
      </w:tr>
      <w:tr>
        <w:trPr>
          <w:trHeight w:val="16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2023, respectively; $17,269 and $3,933 for the six months ended June 30, 2024 and 2023, respectively)</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1"/>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Renewable Power (includes revenues from related party of $1,804 and $1,747 for the three months ended June 30, 2024 and</w:t>
            </w:r>
          </w:p>
        </w:tc>
        <w:tc>
          <w:tcPr>
            <w:tcW w:w="2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29,835</w:t>
            </w:r>
          </w:p>
        </w:tc>
      </w:tr>
      <w:tr>
        <w:trPr>
          <w:trHeight w:val="162"/>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2023, respectively; $3,330 and $3,274, for the six months ended June 30, 2024 and 2023, respectively)</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77"/>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revenues</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70,950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55,042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135,902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97,999</w:t>
            </w:r>
          </w:p>
        </w:tc>
      </w:tr>
      <w:tr>
        <w:trPr>
          <w:trHeight w:val="139"/>
        </w:trPr>
        <w:tc>
          <w:tcPr>
            <w:tcW w:w="6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sales - RNG Fuel</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16,659</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14,153</w:t>
            </w:r>
          </w:p>
        </w:tc>
      </w:tr>
      <w:tr>
        <w:trPr>
          <w:trHeight w:val="156"/>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 of sales - Fuel Station Services</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27,476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61,273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47,768</w:t>
            </w:r>
          </w:p>
        </w:tc>
      </w:tr>
      <w:tr>
        <w:trPr>
          <w:trHeight w:val="24"/>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of sales - Renewable Power</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18,157</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17,139</w:t>
            </w:r>
          </w:p>
        </w:tc>
      </w:tr>
      <w:tr>
        <w:trPr>
          <w:trHeight w:val="185"/>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Project development and startup costs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w:t>
            </w:r>
          </w:p>
        </w:tc>
      </w:tr>
      <w:tr>
        <w:trPr>
          <w:trHeight w:val="165"/>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13,699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12,823</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26,860</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26,391</w:t>
            </w:r>
          </w:p>
        </w:tc>
      </w:tr>
      <w:tr>
        <w:trPr>
          <w:trHeight w:val="156"/>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7,195</w:t>
            </w:r>
          </w:p>
        </w:tc>
      </w:tr>
      <w:tr>
        <w:trPr>
          <w:trHeight w:val="24"/>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0"/>
        </w:trPr>
        <w:tc>
          <w:tcPr>
            <w:tcW w:w="63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loss from equity method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(8,006)</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r>
      <w:tr>
        <w:trPr>
          <w:trHeight w:val="146"/>
        </w:trPr>
        <w:tc>
          <w:tcPr>
            <w:tcW w:w="63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auto"/>
              </w:rPr>
              <w:t>Total expenses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65,261</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62,410</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126,643</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115,937</w:t>
            </w:r>
          </w:p>
        </w:tc>
      </w:tr>
      <w:tr>
        <w:trPr>
          <w:trHeight w:val="24"/>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0"/>
        </w:trPr>
        <w:tc>
          <w:tcPr>
            <w:tcW w:w="6360" w:type="dxa"/>
            <w:vAlign w:val="bottom"/>
            <w:tcBorders>
              <w:bottom w:val="single" w:sz="8" w:color="CCEEFF"/>
            </w:tcBorders>
            <w:shd w:val="clear" w:color="auto" w:fill="CCEEFF"/>
          </w:tcPr>
          <w:p>
            <w:pPr>
              <w:ind w:left="240"/>
              <w:spacing w:after="0" w:line="136" w:lineRule="exact"/>
              <w:rPr>
                <w:sz w:val="20"/>
                <w:szCs w:val="20"/>
                <w:color w:val="auto"/>
              </w:rPr>
            </w:pPr>
            <w:r>
              <w:rPr>
                <w:rFonts w:ascii="Times New Roman" w:cs="Times New Roman" w:eastAsia="Times New Roman" w:hAnsi="Times New Roman"/>
                <w:sz w:val="12"/>
                <w:szCs w:val="12"/>
                <w:color w:val="auto"/>
              </w:rPr>
              <w:t>Operating income (loss)</w:t>
            </w: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9,259</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(17,938)</w:t>
            </w:r>
          </w:p>
        </w:tc>
      </w:tr>
      <w:tr>
        <w:trPr>
          <w:trHeight w:val="139"/>
        </w:trPr>
        <w:tc>
          <w:tcPr>
            <w:tcW w:w="63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(expense) income:</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and financing expense, net</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(8,950)</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(1,597)</w:t>
            </w:r>
          </w:p>
        </w:tc>
      </w:tr>
      <w:tr>
        <w:trPr>
          <w:trHeight w:val="156"/>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2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w:t>
            </w:r>
          </w:p>
        </w:tc>
      </w:tr>
      <w:tr>
        <w:trPr>
          <w:trHeight w:val="24"/>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derivative instruments, net</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5,093</w:t>
            </w:r>
          </w:p>
        </w:tc>
      </w:tr>
      <w:tr>
        <w:trPr>
          <w:trHeight w:val="156"/>
        </w:trPr>
        <w:tc>
          <w:tcPr>
            <w:tcW w:w="6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123,109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123,041</w:t>
            </w:r>
          </w:p>
        </w:tc>
      </w:tr>
      <w:tr>
        <w:trPr>
          <w:trHeight w:val="24"/>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0"/>
        </w:trPr>
        <w:tc>
          <w:tcPr>
            <w:tcW w:w="6360" w:type="dxa"/>
            <w:vAlign w:val="bottom"/>
            <w:tcBorders>
              <w:bottom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2"/>
                <w:szCs w:val="12"/>
                <w:color w:val="auto"/>
              </w:rPr>
              <w:t>Income before provision for income taxes</w:t>
            </w: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114,050</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106,704</w:t>
            </w:r>
          </w:p>
        </w:tc>
      </w:tr>
      <w:tr>
        <w:trPr>
          <w:trHeight w:val="146"/>
        </w:trPr>
        <w:tc>
          <w:tcPr>
            <w:tcW w:w="63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auto"/>
              </w:rPr>
              <w:t>Provision for income taxes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4"/>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0"/>
        </w:trPr>
        <w:tc>
          <w:tcPr>
            <w:tcW w:w="6360" w:type="dxa"/>
            <w:vAlign w:val="bottom"/>
            <w:tcBorders>
              <w:bottom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114,050</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106,704</w:t>
            </w:r>
          </w:p>
        </w:tc>
      </w:tr>
      <w:tr>
        <w:trPr>
          <w:trHeight w:val="146"/>
        </w:trPr>
        <w:tc>
          <w:tcPr>
            <w:tcW w:w="63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auto"/>
              </w:rPr>
              <w:t>Net (loss) income attributable to redeemable non-controlling interests</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93,460</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(2,380)</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85,227</w:t>
            </w:r>
          </w:p>
        </w:tc>
      </w:tr>
      <w:tr>
        <w:trPr>
          <w:trHeight w:val="24"/>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income (loss) attributable to non-redeemable non-controlling interests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90"/>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Dividends on redeemable preferred non-controlling interests </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5,612</w:t>
            </w:r>
          </w:p>
        </w:tc>
      </w:tr>
      <w:tr>
        <w:trPr>
          <w:trHeight w:val="195"/>
        </w:trPr>
        <w:tc>
          <w:tcPr>
            <w:tcW w:w="6360" w:type="dxa"/>
            <w:vAlign w:val="bottom"/>
            <w:tcBorders>
              <w:bottom w:val="single" w:sz="8" w:color="CCEEFF"/>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2"/>
                <w:szCs w:val="12"/>
                <w:color w:val="auto"/>
              </w:rPr>
              <w:t>Net (loss) income attributable to Class A common stockholders</w:t>
            </w:r>
          </w:p>
        </w:tc>
        <w:tc>
          <w:tcPr>
            <w:tcW w:w="22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17,924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6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0"/>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56"/>
        </w:trPr>
        <w:tc>
          <w:tcPr>
            <w:tcW w:w="6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27,674,567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26,977,682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27,523,150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27,179,488</w:t>
            </w:r>
          </w:p>
        </w:tc>
      </w:tr>
      <w:tr>
        <w:trPr>
          <w:trHeight w:val="24"/>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0"/>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27,674,567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27,248,639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27,523,150</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27,556,700</w:t>
            </w:r>
          </w:p>
        </w:tc>
      </w:tr>
      <w:tr>
        <w:trPr>
          <w:trHeight w:val="156"/>
        </w:trPr>
        <w:tc>
          <w:tcPr>
            <w:tcW w:w="6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Per share amounts: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4"/>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0"/>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0.60</w:t>
            </w:r>
          </w:p>
        </w:tc>
      </w:tr>
      <w:tr>
        <w:trPr>
          <w:trHeight w:val="156"/>
        </w:trPr>
        <w:tc>
          <w:tcPr>
            <w:tcW w:w="6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0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r>
      <w:tr>
        <w:trPr>
          <w:trHeight w:val="654"/>
        </w:trPr>
        <w:tc>
          <w:tcPr>
            <w:tcW w:w="6360" w:type="dxa"/>
            <w:vAlign w:val="bottom"/>
          </w:tcPr>
          <w:p>
            <w:pPr>
              <w:ind w:left="5620"/>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63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9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44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 w:name="page8"/>
    <w:bookmarkEnd w:id="7"/>
    <w:p>
      <w:pPr>
        <w:ind w:left="120" w:hanging="120"/>
        <w:spacing w:after="0"/>
        <w:tabs>
          <w:tab w:leader="none" w:pos="12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Dividends on redeemable preferred non-controlling interests is allocated between redeemable non-controlling interests and Class A common stockholders based on their weighted average percentage of ownership. Please see Note.</w:t>
      </w:r>
    </w:p>
    <w:p>
      <w:pPr>
        <w:spacing w:after="0" w:line="7"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13 </w:t>
      </w:r>
      <w:r>
        <w:rPr>
          <w:rFonts w:ascii="Times New Roman" w:cs="Times New Roman" w:eastAsia="Times New Roman" w:hAnsi="Times New Roman"/>
          <w:sz w:val="12"/>
          <w:szCs w:val="12"/>
          <w:i w:val="1"/>
          <w:iCs w:val="1"/>
          <w:color w:val="auto"/>
        </w:rPr>
        <w:t>Redeemable non-controlling interests, redeemable preferred non-controlling interests and Stockholders' Deficit</w:t>
      </w:r>
      <w:r>
        <w:rPr>
          <w:rFonts w:ascii="Times New Roman" w:cs="Times New Roman" w:eastAsia="Times New Roman" w:hAnsi="Times New Roman"/>
          <w:sz w:val="12"/>
          <w:szCs w:val="12"/>
          <w:color w:val="auto"/>
        </w:rPr>
        <w:t xml:space="preserve"> for additional information.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60"/>
          </w:cols>
          <w:pgMar w:left="300" w:top="844" w:right="439" w:bottom="1440" w:gutter="0" w:footer="0" w:header="0"/>
        </w:sectPr>
      </w:pPr>
    </w:p>
    <w:bookmarkStart w:id="8" w:name="page9"/>
    <w:bookmarkEnd w:id="8"/>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INCOME (LOSS)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shd w:val="clear" w:color="auto" w:fill="CCEEFF"/>
          </w:tcPr>
          <w:p>
            <w:pPr>
              <w:spacing w:after="0"/>
              <w:rPr>
                <w:sz w:val="14"/>
                <w:szCs w:val="14"/>
                <w:color w:val="auto"/>
              </w:rPr>
            </w:pPr>
          </w:p>
        </w:tc>
        <w:tc>
          <w:tcPr>
            <w:tcW w:w="2640" w:type="dxa"/>
            <w:vAlign w:val="bottom"/>
            <w:gridSpan w:val="6"/>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6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0"/>
        </w:trPr>
        <w:tc>
          <w:tcPr>
            <w:tcW w:w="582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114,050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106,704</w:t>
            </w:r>
          </w:p>
        </w:tc>
      </w:tr>
      <w:tr>
        <w:trPr>
          <w:trHeight w:val="170"/>
        </w:trPr>
        <w:tc>
          <w:tcPr>
            <w:tcW w:w="5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Effective portion of the cash flow hedge attributable to equity method investments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70"/>
        </w:trPr>
        <w:tc>
          <w:tcPr>
            <w:tcW w:w="5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Reclassification adjustments included in earnings</w:t>
            </w:r>
          </w:p>
        </w:tc>
        <w:tc>
          <w:tcPr>
            <w:tcW w:w="9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r>
      <w:tr>
        <w:trPr>
          <w:trHeight w:val="170"/>
        </w:trPr>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unrealized gain (loss) on cash flow hedges</w:t>
            </w:r>
          </w:p>
        </w:tc>
        <w:tc>
          <w:tcPr>
            <w:tcW w:w="9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60"/>
        </w:trPr>
        <w:tc>
          <w:tcPr>
            <w:tcW w:w="5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9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2,073</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113,227</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3,100</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105,525</w:t>
            </w:r>
          </w:p>
        </w:tc>
      </w:tr>
      <w:tr>
        <w:trPr>
          <w:trHeight w:val="170"/>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attributable to Redeemable non-controlling interests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95,851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89,936</w:t>
            </w:r>
          </w:p>
        </w:tc>
      </w:tr>
      <w:tr>
        <w:trPr>
          <w:trHeight w:val="170"/>
        </w:trPr>
        <w:tc>
          <w:tcPr>
            <w:tcW w:w="5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comprehensive income (loss) attributable to Redeemable non-controlling interests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w:t>
            </w:r>
          </w:p>
        </w:tc>
      </w:tr>
      <w:tr>
        <w:trPr>
          <w:trHeight w:val="170"/>
        </w:trPr>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Comprehensive income (loss) attributable to non-redeemable non-controlling interests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70"/>
        </w:trPr>
        <w:tc>
          <w:tcPr>
            <w:tcW w:w="5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Dividends on redeemable preferred non-controlling interests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85"/>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 income attributable to Class A common stockholders</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167640</wp:posOffset>
            </wp:positionV>
            <wp:extent cx="719328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900"/>
          </w:cols>
          <w:pgMar w:left="500" w:top="1440" w:right="499" w:bottom="1440" w:gutter="0" w:footer="0" w:header="0"/>
        </w:sectPr>
      </w:pPr>
    </w:p>
    <w:bookmarkStart w:id="9" w:name="page10"/>
    <w:bookmarkEnd w:id="9"/>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OPAL FUELS INC.</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CHANGES IN REDEEMABLE NON-CONTROLLING INTEREST, REDEEMABLE PREFERRED NON-CONTROLLING INTEREST AND STOCKHOLDERS'</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DEFICIT</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 thousands of U.S. dollars, except per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A common</w:t>
            </w:r>
          </w:p>
        </w:tc>
        <w:tc>
          <w:tcPr>
            <w:tcW w:w="1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B common</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Class A common stock</w:t>
            </w:r>
          </w:p>
        </w:tc>
        <w:tc>
          <w:tcPr>
            <w:tcW w:w="7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spacing w:after="0"/>
              <w:rPr>
                <w:sz w:val="15"/>
                <w:szCs w:val="15"/>
                <w:color w:val="auto"/>
              </w:rPr>
            </w:pPr>
          </w:p>
        </w:tc>
        <w:tc>
          <w:tcPr>
            <w:tcW w:w="126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w:t>
            </w:r>
          </w:p>
        </w:tc>
        <w:tc>
          <w:tcPr>
            <w:tcW w:w="12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stock</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Class D common stock</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in treasury</w:t>
            </w:r>
          </w:p>
        </w:tc>
        <w:tc>
          <w:tcPr>
            <w:tcW w:w="7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Mezzanine Equity</w:t>
            </w:r>
          </w:p>
        </w:tc>
        <w:tc>
          <w:tcPr>
            <w:tcW w:w="0" w:type="dxa"/>
            <w:vAlign w:val="bottom"/>
          </w:tcPr>
          <w:p>
            <w:pPr>
              <w:spacing w:after="0"/>
              <w:rPr>
                <w:sz w:val="1"/>
                <w:szCs w:val="1"/>
                <w:color w:val="auto"/>
              </w:rPr>
            </w:pPr>
          </w:p>
        </w:tc>
      </w:tr>
      <w:tr>
        <w:trPr>
          <w:trHeight w:val="127"/>
        </w:trPr>
        <w:tc>
          <w:tcPr>
            <w:tcW w:w="9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rPr>
              <w:t>Non-</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color w:val="auto"/>
              </w:rPr>
              <w:t>Redeemable</w:t>
            </w: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6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3"/>
                <w:szCs w:val="13"/>
                <w:color w:val="auto"/>
              </w:rPr>
              <w:t>Additional</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3"/>
                <w:szCs w:val="13"/>
                <w:color w:val="auto"/>
              </w:rPr>
              <w:t>Other</w:t>
            </w:r>
          </w:p>
        </w:tc>
        <w:tc>
          <w:tcPr>
            <w:tcW w:w="700" w:type="dxa"/>
            <w:vAlign w:val="bottom"/>
            <w:gridSpan w:val="2"/>
          </w:tcPr>
          <w:p>
            <w:pPr>
              <w:jc w:val="center"/>
              <w:ind w:right="60"/>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Total</w:t>
            </w:r>
          </w:p>
        </w:tc>
        <w:tc>
          <w:tcPr>
            <w:tcW w:w="40" w:type="dxa"/>
            <w:vAlign w:val="bottom"/>
          </w:tcPr>
          <w:p>
            <w:pPr>
              <w:spacing w:after="0"/>
              <w:rPr>
                <w:sz w:val="12"/>
                <w:szCs w:val="12"/>
                <w:color w:val="auto"/>
              </w:rPr>
            </w:pPr>
          </w:p>
        </w:tc>
        <w:tc>
          <w:tcPr>
            <w:tcW w:w="760" w:type="dxa"/>
            <w:vAlign w:val="bottom"/>
            <w:gridSpan w:val="2"/>
          </w:tcPr>
          <w:p>
            <w:pPr>
              <w:jc w:val="center"/>
              <w:ind w:right="40"/>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68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auto"/>
              </w:rPr>
              <w:t>non-</w:t>
            </w: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Amount</w:t>
            </w: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gridSpan w:val="2"/>
          </w:tcPr>
          <w:p>
            <w:pPr>
              <w:jc w:val="center"/>
              <w:ind w:right="40"/>
              <w:spacing w:after="0" w:line="130" w:lineRule="exact"/>
              <w:rPr>
                <w:sz w:val="20"/>
                <w:szCs w:val="20"/>
                <w:color w:val="auto"/>
              </w:rPr>
            </w:pPr>
            <w:r>
              <w:rPr>
                <w:rFonts w:ascii="Times New Roman" w:cs="Times New Roman" w:eastAsia="Times New Roman" w:hAnsi="Times New Roman"/>
                <w:sz w:val="13"/>
                <w:szCs w:val="13"/>
                <w:color w:val="auto"/>
              </w:rPr>
              <w:t>paid-in</w:t>
            </w:r>
          </w:p>
        </w:tc>
        <w:tc>
          <w:tcPr>
            <w:tcW w:w="1700" w:type="dxa"/>
            <w:vAlign w:val="bottom"/>
            <w:gridSpan w:val="4"/>
          </w:tcPr>
          <w:p>
            <w:pPr>
              <w:ind w:left="20"/>
              <w:spacing w:after="0" w:line="130" w:lineRule="exact"/>
              <w:rPr>
                <w:sz w:val="20"/>
                <w:szCs w:val="20"/>
                <w:color w:val="auto"/>
              </w:rPr>
            </w:pPr>
            <w:r>
              <w:rPr>
                <w:rFonts w:ascii="Times New Roman" w:cs="Times New Roman" w:eastAsia="Times New Roman" w:hAnsi="Times New Roman"/>
                <w:sz w:val="13"/>
                <w:szCs w:val="13"/>
                <w:color w:val="auto"/>
              </w:rPr>
              <w:t>Accumulated  comprehensive</w:t>
            </w:r>
          </w:p>
        </w:tc>
        <w:tc>
          <w:tcPr>
            <w:tcW w:w="700" w:type="dxa"/>
            <w:vAlign w:val="bottom"/>
            <w:gridSpan w:val="2"/>
          </w:tcPr>
          <w:p>
            <w:pPr>
              <w:jc w:val="center"/>
              <w:ind w:right="6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Amount</w:t>
            </w:r>
          </w:p>
        </w:tc>
        <w:tc>
          <w:tcPr>
            <w:tcW w:w="760" w:type="dxa"/>
            <w:vAlign w:val="bottom"/>
            <w:tcBorders>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color w:val="auto"/>
              </w:rPr>
              <w:t>Stockholders'</w:t>
            </w:r>
          </w:p>
        </w:tc>
        <w:tc>
          <w:tcPr>
            <w:tcW w:w="40" w:type="dxa"/>
            <w:vAlign w:val="bottom"/>
          </w:tcPr>
          <w:p>
            <w:pPr>
              <w:spacing w:after="0"/>
              <w:rPr>
                <w:sz w:val="11"/>
                <w:szCs w:val="11"/>
                <w:color w:val="auto"/>
              </w:rPr>
            </w:pPr>
          </w:p>
        </w:tc>
        <w:tc>
          <w:tcPr>
            <w:tcW w:w="760" w:type="dxa"/>
            <w:vAlign w:val="bottom"/>
            <w:gridSpan w:val="2"/>
          </w:tcPr>
          <w:p>
            <w:pPr>
              <w:jc w:val="center"/>
              <w:ind w:right="6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68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capital</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deficit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income</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Deficit</w:t>
            </w:r>
          </w:p>
        </w:tc>
        <w:tc>
          <w:tcPr>
            <w:tcW w:w="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interests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interests</w:t>
            </w:r>
          </w:p>
        </w:tc>
        <w:tc>
          <w:tcPr>
            <w:tcW w:w="0" w:type="dxa"/>
            <w:vAlign w:val="bottom"/>
          </w:tcPr>
          <w:p>
            <w:pPr>
              <w:spacing w:after="0"/>
              <w:rPr>
                <w:sz w:val="1"/>
                <w:szCs w:val="1"/>
                <w:color w:val="auto"/>
              </w:rPr>
            </w:pPr>
          </w:p>
        </w:tc>
      </w:tr>
      <w:tr>
        <w:trPr>
          <w:trHeight w:val="113"/>
        </w:trPr>
        <w:tc>
          <w:tcPr>
            <w:tcW w:w="90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29,701,146</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$3</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(467,195)</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(477,852)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132,617</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802,720</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565</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7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57</w:t>
            </w: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under the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ATM program</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14,005</w:t>
            </w:r>
          </w:p>
        </w:tc>
        <w:tc>
          <w:tcPr>
            <w:tcW w:w="6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4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00" w:type="dxa"/>
            <w:vAlign w:val="bottom"/>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Share</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71,500,000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(71,500,000)</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for vesting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equity awards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307,137</w:t>
            </w:r>
          </w:p>
        </w:tc>
        <w:tc>
          <w:tcPr>
            <w:tcW w:w="6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6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4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0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Distributions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to 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controlling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Dividends on</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preferred non-</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controlling</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(2,192)</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Change in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redemption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value of</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controlling</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96,679</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97,044</w:t>
            </w:r>
          </w:p>
        </w:tc>
        <w:tc>
          <w:tcPr>
            <w:tcW w:w="4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(97,044)</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Payment of</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w:t>
            </w:r>
          </w:p>
        </w:tc>
        <w:tc>
          <w:tcPr>
            <w:tcW w:w="72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0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30,022,288</w:t>
            </w: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71,500,000</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72,899,037</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(370,832)</w:t>
            </w:r>
          </w:p>
        </w:tc>
        <w:tc>
          <w:tcPr>
            <w:tcW w:w="6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(11,614)</w:t>
            </w:r>
          </w:p>
        </w:tc>
        <w:tc>
          <w:tcPr>
            <w:tcW w:w="6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(381,663)</w:t>
            </w: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705,190</w:t>
            </w:r>
          </w:p>
        </w:tc>
        <w:tc>
          <w:tcPr>
            <w:tcW w:w="0" w:type="dxa"/>
            <w:vAlign w:val="bottom"/>
          </w:tcPr>
          <w:p>
            <w:pPr>
              <w:spacing w:after="0"/>
              <w:rPr>
                <w:sz w:val="1"/>
                <w:szCs w:val="1"/>
                <w:color w:val="auto"/>
              </w:rPr>
            </w:pPr>
          </w:p>
        </w:tc>
      </w:tr>
      <w:tr>
        <w:trPr>
          <w:trHeight w:val="160"/>
        </w:trPr>
        <w:tc>
          <w:tcPr>
            <w:tcW w:w="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1,430</w:t>
            </w:r>
          </w:p>
        </w:tc>
        <w:tc>
          <w:tcPr>
            <w:tcW w:w="0" w:type="dxa"/>
            <w:vAlign w:val="bottom"/>
          </w:tcPr>
          <w:p>
            <w:pPr>
              <w:spacing w:after="0"/>
              <w:rPr>
                <w:sz w:val="1"/>
                <w:szCs w:val="1"/>
                <w:color w:val="auto"/>
              </w:rPr>
            </w:pPr>
          </w:p>
        </w:tc>
      </w:tr>
      <w:tr>
        <w:trPr>
          <w:trHeight w:val="137"/>
        </w:trPr>
        <w:tc>
          <w:tcPr>
            <w:tcW w:w="9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comprehensive</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4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70"/>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7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under the</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ATM program</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22,348</w:t>
            </w:r>
          </w:p>
        </w:tc>
        <w:tc>
          <w:tcPr>
            <w:tcW w:w="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w:t>
            </w:r>
          </w:p>
        </w:tc>
        <w:tc>
          <w:tcPr>
            <w:tcW w:w="6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760" w:type="dxa"/>
            <w:vAlign w:val="bottom"/>
            <w:tcBorders>
              <w:right w:val="single" w:sz="8" w:color="auto"/>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48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8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7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70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60"/>
          </w:cols>
          <w:pgMar w:left="300" w:top="72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Class A</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common stock for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vesting of equity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13,933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28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awards </w:t>
            </w:r>
            <w:r>
              <w:rPr>
                <w:rFonts w:ascii="Times New Roman" w:cs="Times New Roman" w:eastAsia="Times New Roman" w:hAnsi="Times New Roman"/>
                <w:sz w:val="17"/>
                <w:szCs w:val="17"/>
                <w:color w:val="auto"/>
                <w:vertAlign w:val="superscript"/>
              </w:rPr>
              <w:t>(2)</w:t>
            </w: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304</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Distributions to 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redeemable non-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controlling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Dividends on</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redeemable preferred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7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Change in redemption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value of Redeemable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109,482</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109,043</w:t>
            </w:r>
          </w:p>
        </w:tc>
        <w:tc>
          <w:tcPr>
            <w:tcW w:w="4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(109,043)</w:t>
            </w:r>
          </w:p>
        </w:tc>
        <w:tc>
          <w:tcPr>
            <w:tcW w:w="0" w:type="dxa"/>
            <w:vAlign w:val="bottom"/>
          </w:tcPr>
          <w:p>
            <w:pPr>
              <w:spacing w:after="0"/>
              <w:rPr>
                <w:sz w:val="1"/>
                <w:szCs w:val="1"/>
                <w:color w:val="auto"/>
              </w:rPr>
            </w:pPr>
          </w:p>
        </w:tc>
      </w:tr>
      <w:tr>
        <w:trPr>
          <w:trHeight w:val="170"/>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interests</w:t>
            </w: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80" w:type="dxa"/>
            <w:vAlign w:val="bottom"/>
            <w:shd w:val="clear" w:color="auto" w:fill="CCEEFF"/>
          </w:tcPr>
          <w:p>
            <w:pPr>
              <w:spacing w:after="0" w:line="130" w:lineRule="exact"/>
              <w:rPr>
                <w:sz w:val="20"/>
                <w:szCs w:val="20"/>
                <w:color w:val="auto"/>
              </w:rPr>
            </w:pPr>
            <w:r>
              <w:rPr>
                <w:rFonts w:ascii="Times New Roman" w:cs="Times New Roman" w:eastAsia="Times New Roman" w:hAnsi="Times New Roman"/>
                <w:sz w:val="13"/>
                <w:szCs w:val="13"/>
                <w:color w:val="auto"/>
              </w:rPr>
              <w:t>Payment of preferred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30,058,569</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71,500,000</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72,899,037</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(261,503)</w:t>
            </w: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(1,635,783)</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 (11,614)</w:t>
            </w:r>
          </w:p>
        </w:tc>
        <w:tc>
          <w:tcPr>
            <w:tcW w:w="60" w:type="dxa"/>
            <w:vAlign w:val="bottom"/>
          </w:tcPr>
          <w:p>
            <w:pPr>
              <w:spacing w:after="0"/>
              <w:rPr>
                <w:sz w:val="13"/>
                <w:szCs w:val="13"/>
                <w:color w:val="auto"/>
              </w:rPr>
            </w:pPr>
          </w:p>
        </w:tc>
        <w:tc>
          <w:tcPr>
            <w:tcW w:w="7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(272,513)</w:t>
            </w:r>
          </w:p>
        </w:tc>
        <w:tc>
          <w:tcPr>
            <w:tcW w:w="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$ 130,000</w:t>
            </w:r>
          </w:p>
        </w:tc>
        <w:tc>
          <w:tcPr>
            <w:tcW w:w="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$ 597,069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left="460" w:right="300"/>
        <w:spacing w:after="0" w:line="282" w:lineRule="auto"/>
        <w:tabs>
          <w:tab w:leader="none" w:pos="583"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During the six months ended June 30, 2024, the Company issued shares of Class A common stock under the Company's ATM program. Please see Note 13. </w:t>
      </w:r>
      <w:r>
        <w:rPr>
          <w:rFonts w:ascii="Times New Roman" w:cs="Times New Roman" w:eastAsia="Times New Roman" w:hAnsi="Times New Roman"/>
          <w:sz w:val="12"/>
          <w:szCs w:val="12"/>
          <w:i w:val="1"/>
          <w:iCs w:val="1"/>
          <w:color w:val="auto"/>
        </w:rPr>
        <w:t>Redeemable non-controlling interests,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Redeemable preferred non-controlling interests and Stockholders' Deficit </w:t>
      </w:r>
      <w:r>
        <w:rPr>
          <w:rFonts w:ascii="Times New Roman" w:cs="Times New Roman" w:eastAsia="Times New Roman" w:hAnsi="Times New Roman"/>
          <w:sz w:val="12"/>
          <w:szCs w:val="12"/>
          <w:color w:val="auto"/>
        </w:rPr>
        <w:t>for additional information.</w:t>
      </w:r>
    </w:p>
    <w:p>
      <w:pPr>
        <w:spacing w:after="0" w:line="85" w:lineRule="exact"/>
        <w:rPr>
          <w:rFonts w:ascii="Times New Roman" w:cs="Times New Roman" w:eastAsia="Times New Roman" w:hAnsi="Times New Roman"/>
          <w:sz w:val="15"/>
          <w:szCs w:val="15"/>
          <w:color w:val="auto"/>
          <w:vertAlign w:val="superscript"/>
        </w:rPr>
      </w:pPr>
    </w:p>
    <w:p>
      <w:pPr>
        <w:ind w:left="580" w:hanging="120"/>
        <w:spacing w:after="0"/>
        <w:tabs>
          <w:tab w:leader="none" w:pos="58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Represents the equity awards vested net of shares of Class A common stock withheld for taxes. Please see Note 16. </w:t>
      </w: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xml:space="preserve"> for additional information.</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161290</wp:posOffset>
            </wp:positionV>
            <wp:extent cx="71932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20" w:top="741" w:right="319" w:bottom="1440" w:gutter="0" w:footer="0" w:header="0"/>
        </w:sectPr>
      </w:pPr>
    </w:p>
    <w:bookmarkStart w:id="11" w:name="page12"/>
    <w:bookmarkEnd w:id="11"/>
    <w:tbl>
      <w:tblPr>
        <w:tblLayout w:type="fixed"/>
        <w:tblInd w:w="120" w:type="dxa"/>
        <w:tblCellMar>
          <w:top w:w="0" w:type="dxa"/>
          <w:left w:w="0" w:type="dxa"/>
          <w:bottom w:w="0" w:type="dxa"/>
          <w:right w:w="0" w:type="dxa"/>
        </w:tblCellMar>
      </w:tblPr>
      <w:tr>
        <w:trPr>
          <w:trHeight w:val="138"/>
        </w:trPr>
        <w:tc>
          <w:tcPr>
            <w:tcW w:w="1860" w:type="dxa"/>
            <w:vAlign w:val="bottom"/>
            <w:shd w:val="clear" w:color="auto" w:fill="CCEEFF"/>
          </w:tcPr>
          <w:p>
            <w:pPr>
              <w:spacing w:after="0"/>
              <w:rPr>
                <w:sz w:val="12"/>
                <w:szCs w:val="12"/>
                <w:color w:val="auto"/>
              </w:rPr>
            </w:pPr>
          </w:p>
        </w:tc>
        <w:tc>
          <w:tcPr>
            <w:tcW w:w="1260" w:type="dxa"/>
            <w:vAlign w:val="bottom"/>
            <w:gridSpan w:val="5"/>
            <w:vMerge w:val="restart"/>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Class A common stock</w:t>
            </w:r>
          </w:p>
        </w:tc>
        <w:tc>
          <w:tcPr>
            <w:tcW w:w="1480" w:type="dxa"/>
            <w:vAlign w:val="bottom"/>
            <w:gridSpan w:val="5"/>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 D common stock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Class A common stock in</w:t>
            </w:r>
          </w:p>
        </w:tc>
        <w:tc>
          <w:tcPr>
            <w:tcW w:w="1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Mezzanine Equity</w:t>
            </w:r>
          </w:p>
        </w:tc>
        <w:tc>
          <w:tcPr>
            <w:tcW w:w="0" w:type="dxa"/>
            <w:vAlign w:val="bottom"/>
          </w:tcPr>
          <w:p>
            <w:pPr>
              <w:spacing w:after="0"/>
              <w:rPr>
                <w:sz w:val="1"/>
                <w:szCs w:val="1"/>
                <w:color w:val="auto"/>
              </w:rPr>
            </w:pPr>
          </w:p>
        </w:tc>
      </w:tr>
      <w:tr>
        <w:trPr>
          <w:trHeight w:val="157"/>
        </w:trPr>
        <w:tc>
          <w:tcPr>
            <w:tcW w:w="1860" w:type="dxa"/>
            <w:vAlign w:val="bottom"/>
            <w:shd w:val="clear" w:color="auto" w:fill="CCEEFF"/>
          </w:tcPr>
          <w:p>
            <w:pPr>
              <w:spacing w:after="0"/>
              <w:rPr>
                <w:sz w:val="13"/>
                <w:szCs w:val="13"/>
                <w:color w:val="auto"/>
              </w:rPr>
            </w:pPr>
          </w:p>
        </w:tc>
        <w:tc>
          <w:tcPr>
            <w:tcW w:w="1260" w:type="dxa"/>
            <w:vAlign w:val="bottom"/>
            <w:gridSpan w:val="5"/>
            <w:vMerge w:val="continue"/>
            <w:shd w:val="clear" w:color="auto" w:fill="CCEEFF"/>
          </w:tcPr>
          <w:p>
            <w:pPr>
              <w:spacing w:after="0"/>
              <w:rPr>
                <w:sz w:val="13"/>
                <w:szCs w:val="13"/>
                <w:color w:val="auto"/>
              </w:rPr>
            </w:pPr>
          </w:p>
        </w:tc>
        <w:tc>
          <w:tcPr>
            <w:tcW w:w="1480" w:type="dxa"/>
            <w:vAlign w:val="bottom"/>
            <w:gridSpan w:val="5"/>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5"/>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treasury</w:t>
            </w: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8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ind w:right="20"/>
              <w:spacing w:after="0" w:line="113" w:lineRule="exact"/>
              <w:rPr>
                <w:sz w:val="20"/>
                <w:szCs w:val="20"/>
                <w:color w:val="auto"/>
              </w:rPr>
            </w:pPr>
            <w:r>
              <w:rPr>
                <w:rFonts w:ascii="Times New Roman" w:cs="Times New Roman" w:eastAsia="Times New Roman" w:hAnsi="Times New Roman"/>
                <w:sz w:val="12"/>
                <w:szCs w:val="12"/>
                <w:color w:val="auto"/>
                <w:w w:val="97"/>
              </w:rPr>
              <w:t>Non-</w:t>
            </w: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gridSpan w:val="3"/>
          </w:tcPr>
          <w:p>
            <w:pPr>
              <w:jc w:val="center"/>
              <w:ind w:right="60"/>
              <w:spacing w:after="0" w:line="113" w:lineRule="exact"/>
              <w:rPr>
                <w:sz w:val="20"/>
                <w:szCs w:val="20"/>
                <w:color w:val="auto"/>
              </w:rPr>
            </w:pPr>
            <w:r>
              <w:rPr>
                <w:rFonts w:ascii="Times New Roman" w:cs="Times New Roman" w:eastAsia="Times New Roman" w:hAnsi="Times New Roman"/>
                <w:sz w:val="12"/>
                <w:szCs w:val="12"/>
                <w:color w:val="auto"/>
              </w:rPr>
              <w:t>Redeemable</w:t>
            </w: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Redeemable</w:t>
            </w: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Additional</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64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color w:val="auto"/>
              </w:rPr>
              <w:t>redeemable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color w:val="auto"/>
                <w:w w:val="98"/>
              </w:rPr>
              <w:t>Preferred</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auto"/>
              </w:rPr>
              <w:t>Accumulated</w:t>
            </w: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40"/>
              <w:spacing w:after="0" w:line="120" w:lineRule="exact"/>
              <w:rPr>
                <w:sz w:val="20"/>
                <w:szCs w:val="20"/>
                <w:color w:val="auto"/>
              </w:rPr>
            </w:pPr>
            <w:r>
              <w:rPr>
                <w:rFonts w:ascii="Times New Roman" w:cs="Times New Roman" w:eastAsia="Times New Roman" w:hAnsi="Times New Roman"/>
                <w:sz w:val="12"/>
                <w:szCs w:val="12"/>
                <w:color w:val="auto"/>
                <w:w w:val="99"/>
              </w:rPr>
              <w:t>non-</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color w:val="auto"/>
                <w:w w:val="99"/>
              </w:rPr>
              <w:t>non-</w:t>
            </w: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non-</w:t>
            </w: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auto"/>
              </w:rPr>
              <w:t>Shares</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Amount</w:t>
            </w:r>
          </w:p>
        </w:tc>
        <w:tc>
          <w:tcPr>
            <w:tcW w:w="60" w:type="dxa"/>
            <w:vAlign w:val="bottom"/>
            <w:vMerge w:val="restart"/>
          </w:tcPr>
          <w:p>
            <w:pPr>
              <w:spacing w:after="0"/>
              <w:rPr>
                <w:sz w:val="10"/>
                <w:szCs w:val="10"/>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auto"/>
              </w:rPr>
              <w:t>Shares</w:t>
            </w:r>
          </w:p>
        </w:tc>
        <w:tc>
          <w:tcPr>
            <w:tcW w:w="60" w:type="dxa"/>
            <w:vAlign w:val="bottom"/>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Amount</w:t>
            </w:r>
          </w:p>
        </w:tc>
        <w:tc>
          <w:tcPr>
            <w:tcW w:w="100" w:type="dxa"/>
            <w:vAlign w:val="bottom"/>
          </w:tcPr>
          <w:p>
            <w:pPr>
              <w:spacing w:after="0"/>
              <w:rPr>
                <w:sz w:val="10"/>
                <w:szCs w:val="10"/>
                <w:color w:val="auto"/>
              </w:rPr>
            </w:pPr>
          </w:p>
        </w:tc>
        <w:tc>
          <w:tcPr>
            <w:tcW w:w="5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color w:val="auto"/>
                <w:w w:val="99"/>
              </w:rPr>
              <w:t>paid-in</w:t>
            </w:r>
          </w:p>
        </w:tc>
        <w:tc>
          <w:tcPr>
            <w:tcW w:w="800" w:type="dxa"/>
            <w:vAlign w:val="bottom"/>
            <w:gridSpan w:val="3"/>
            <w:vMerge w:val="continue"/>
          </w:tcPr>
          <w:p>
            <w:pPr>
              <w:spacing w:after="0"/>
              <w:rPr>
                <w:sz w:val="10"/>
                <w:szCs w:val="10"/>
                <w:color w:val="auto"/>
              </w:rPr>
            </w:pPr>
          </w:p>
        </w:tc>
        <w:tc>
          <w:tcPr>
            <w:tcW w:w="86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2"/>
                <w:szCs w:val="12"/>
                <w:color w:val="auto"/>
              </w:rPr>
              <w:t>comprehensive</w:t>
            </w:r>
          </w:p>
        </w:tc>
        <w:tc>
          <w:tcPr>
            <w:tcW w:w="64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color w:val="auto"/>
                <w:w w:val="98"/>
              </w:rPr>
              <w:t>controlling</w:t>
            </w:r>
          </w:p>
        </w:tc>
        <w:tc>
          <w:tcPr>
            <w:tcW w:w="6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Shares</w:t>
            </w:r>
          </w:p>
        </w:tc>
        <w:tc>
          <w:tcPr>
            <w:tcW w:w="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96"/>
              </w:rPr>
              <w:t>Amount</w:t>
            </w:r>
          </w:p>
        </w:tc>
        <w:tc>
          <w:tcPr>
            <w:tcW w:w="60" w:type="dxa"/>
            <w:vAlign w:val="bottom"/>
            <w:vMerge w:val="restart"/>
          </w:tcPr>
          <w:p>
            <w:pPr>
              <w:spacing w:after="0"/>
              <w:rPr>
                <w:sz w:val="10"/>
                <w:szCs w:val="10"/>
                <w:color w:val="auto"/>
              </w:rPr>
            </w:pPr>
          </w:p>
        </w:tc>
        <w:tc>
          <w:tcPr>
            <w:tcW w:w="700" w:type="dxa"/>
            <w:vAlign w:val="bottom"/>
            <w:tcBorders>
              <w:right w:val="single" w:sz="8" w:color="auto"/>
            </w:tcBorders>
            <w:gridSpan w:val="2"/>
          </w:tcPr>
          <w:p>
            <w:pPr>
              <w:ind w:left="20"/>
              <w:spacing w:after="0" w:line="120" w:lineRule="exact"/>
              <w:rPr>
                <w:sz w:val="20"/>
                <w:szCs w:val="20"/>
                <w:color w:val="auto"/>
              </w:rPr>
            </w:pPr>
            <w:r>
              <w:rPr>
                <w:rFonts w:ascii="Times New Roman" w:cs="Times New Roman" w:eastAsia="Times New Roman" w:hAnsi="Times New Roman"/>
                <w:sz w:val="12"/>
                <w:szCs w:val="12"/>
                <w:color w:val="auto"/>
                <w:w w:val="98"/>
              </w:rPr>
              <w:t>Stockholders'</w:t>
            </w:r>
          </w:p>
        </w:tc>
        <w:tc>
          <w:tcPr>
            <w:tcW w:w="40" w:type="dxa"/>
            <w:vAlign w:val="bottom"/>
          </w:tcPr>
          <w:p>
            <w:pPr>
              <w:spacing w:after="0"/>
              <w:rPr>
                <w:sz w:val="10"/>
                <w:szCs w:val="10"/>
                <w:color w:val="auto"/>
              </w:rPr>
            </w:pPr>
          </w:p>
        </w:tc>
        <w:tc>
          <w:tcPr>
            <w:tcW w:w="700" w:type="dxa"/>
            <w:vAlign w:val="bottom"/>
            <w:gridSpan w:val="3"/>
          </w:tcPr>
          <w:p>
            <w:pPr>
              <w:jc w:val="center"/>
              <w:ind w:right="60"/>
              <w:spacing w:after="0" w:line="120" w:lineRule="exact"/>
              <w:rPr>
                <w:sz w:val="20"/>
                <w:szCs w:val="20"/>
                <w:color w:val="auto"/>
              </w:rPr>
            </w:pPr>
            <w:r>
              <w:rPr>
                <w:rFonts w:ascii="Times New Roman" w:cs="Times New Roman" w:eastAsia="Times New Roman" w:hAnsi="Times New Roman"/>
                <w:sz w:val="12"/>
                <w:szCs w:val="12"/>
                <w:color w:val="auto"/>
                <w:w w:val="98"/>
              </w:rPr>
              <w:t>controlling</w:t>
            </w: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controlling</w:t>
            </w:r>
          </w:p>
        </w:tc>
        <w:tc>
          <w:tcPr>
            <w:tcW w:w="0" w:type="dxa"/>
            <w:vAlign w:val="bottom"/>
          </w:tcPr>
          <w:p>
            <w:pPr>
              <w:spacing w:after="0"/>
              <w:rPr>
                <w:sz w:val="1"/>
                <w:szCs w:val="1"/>
                <w:color w:val="auto"/>
              </w:rPr>
            </w:pPr>
          </w:p>
        </w:tc>
      </w:tr>
      <w:tr>
        <w:trPr>
          <w:trHeight w:val="157"/>
        </w:trPr>
        <w:tc>
          <w:tcPr>
            <w:tcW w:w="18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vMerge w:val="continue"/>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capital</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deficit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income</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interests</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Equity</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interests</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interests</w:t>
            </w:r>
          </w:p>
        </w:tc>
        <w:tc>
          <w:tcPr>
            <w:tcW w:w="0" w:type="dxa"/>
            <w:vAlign w:val="bottom"/>
          </w:tcPr>
          <w:p>
            <w:pPr>
              <w:spacing w:after="0"/>
              <w:rPr>
                <w:sz w:val="1"/>
                <w:szCs w:val="1"/>
                <w:color w:val="auto"/>
              </w:rPr>
            </w:pPr>
          </w:p>
        </w:tc>
      </w:tr>
      <w:tr>
        <w:trPr>
          <w:trHeight w:val="15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29,477,766</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144,399,037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(800,813)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26,445</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(774,156)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138,142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$ 1,013,833</w:t>
            </w:r>
          </w:p>
        </w:tc>
        <w:tc>
          <w:tcPr>
            <w:tcW w:w="0" w:type="dxa"/>
            <w:vAlign w:val="bottom"/>
          </w:tcPr>
          <w:p>
            <w:pPr>
              <w:spacing w:after="0"/>
              <w:rPr>
                <w:sz w:val="1"/>
                <w:szCs w:val="1"/>
                <w:color w:val="auto"/>
              </w:rPr>
            </w:pPr>
          </w:p>
        </w:tc>
      </w:tr>
      <w:tr>
        <w:trPr>
          <w:trHeight w:val="158"/>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6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(5,915)</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loss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0" w:type="dxa"/>
            <w:vAlign w:val="bottom"/>
          </w:tcPr>
          <w:p>
            <w:pPr>
              <w:spacing w:after="0"/>
              <w:rPr>
                <w:sz w:val="1"/>
                <w:szCs w:val="1"/>
                <w:color w:val="auto"/>
              </w:rPr>
            </w:pPr>
          </w:p>
        </w:tc>
      </w:tr>
      <w:tr>
        <w:trPr>
          <w:trHeight w:val="121"/>
        </w:trPr>
        <w:tc>
          <w:tcPr>
            <w:tcW w:w="18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Proceeds from non-redeemable non-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1,821</w:t>
            </w:r>
          </w:p>
        </w:tc>
        <w:tc>
          <w:tcPr>
            <w:tcW w:w="60" w:type="dxa"/>
            <w:vAlign w:val="bottom"/>
          </w:tcPr>
          <w:p>
            <w:pPr>
              <w:spacing w:after="0"/>
              <w:rPr>
                <w:sz w:val="10"/>
                <w:szCs w:val="10"/>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3,543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controlling interest</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Issuance of Class A common stock</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49,633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on warrant exchange</w:t>
            </w: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Cancellation of fractional shares 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warrant exchange</w:t>
            </w: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Exercise of put option forward</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(1,635,783)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contract - Meteora</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Forfeiture of Class A common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(197,258)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0" w:type="dxa"/>
            <w:vAlign w:val="bottom"/>
          </w:tcPr>
          <w:p>
            <w:pPr>
              <w:spacing w:after="0"/>
              <w:rPr>
                <w:sz w:val="1"/>
                <w:szCs w:val="1"/>
                <w:color w:val="auto"/>
              </w:rPr>
            </w:pPr>
          </w:p>
        </w:tc>
      </w:tr>
      <w:tr>
        <w:trPr>
          <w:trHeight w:val="121"/>
        </w:trPr>
        <w:tc>
          <w:tcPr>
            <w:tcW w:w="18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Change in redemption value of</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Redeemable non-controlling</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(2,217)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(5,503)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(7,720)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7,720</w:t>
            </w:r>
          </w:p>
        </w:tc>
        <w:tc>
          <w:tcPr>
            <w:tcW w:w="0" w:type="dxa"/>
            <w:vAlign w:val="bottom"/>
          </w:tcPr>
          <w:p>
            <w:pPr>
              <w:spacing w:after="0"/>
              <w:rPr>
                <w:sz w:val="1"/>
                <w:szCs w:val="1"/>
                <w:color w:val="auto"/>
              </w:rPr>
            </w:pPr>
          </w:p>
        </w:tc>
      </w:tr>
      <w:tr>
        <w:trPr>
          <w:trHeight w:val="157"/>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interests</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Paid-in-kind preferred dividend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(2,318)</w:t>
            </w:r>
          </w:p>
        </w:tc>
        <w:tc>
          <w:tcPr>
            <w:tcW w:w="0" w:type="dxa"/>
            <w:vAlign w:val="bottom"/>
          </w:tcPr>
          <w:p>
            <w:pPr>
              <w:spacing w:after="0"/>
              <w:rPr>
                <w:sz w:val="1"/>
                <w:szCs w:val="1"/>
                <w:color w:val="auto"/>
              </w:rPr>
            </w:pPr>
          </w:p>
        </w:tc>
      </w:tr>
      <w:tr>
        <w:trPr>
          <w:trHeight w:val="148"/>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March 31, 2023</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29,330,115</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144,399,037</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(807,895)</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27,969</w:t>
            </w: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(1,635,783)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(791,386)</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140,905</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1,013,835</w:t>
            </w:r>
          </w:p>
        </w:tc>
        <w:tc>
          <w:tcPr>
            <w:tcW w:w="0" w:type="dxa"/>
            <w:vAlign w:val="bottom"/>
          </w:tcPr>
          <w:p>
            <w:pPr>
              <w:spacing w:after="0"/>
              <w:rPr>
                <w:sz w:val="1"/>
                <w:szCs w:val="1"/>
                <w:color w:val="auto"/>
              </w:rPr>
            </w:pPr>
          </w:p>
        </w:tc>
      </w:tr>
      <w:tr>
        <w:trPr>
          <w:trHeight w:val="15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18,382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18,199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95,851</w:t>
            </w:r>
          </w:p>
        </w:tc>
        <w:tc>
          <w:tcPr>
            <w:tcW w:w="0" w:type="dxa"/>
            <w:vAlign w:val="bottom"/>
          </w:tcPr>
          <w:p>
            <w:pPr>
              <w:spacing w:after="0"/>
              <w:rPr>
                <w:sz w:val="1"/>
                <w:szCs w:val="1"/>
                <w:color w:val="auto"/>
              </w:rPr>
            </w:pPr>
          </w:p>
        </w:tc>
      </w:tr>
      <w:tr>
        <w:trPr>
          <w:trHeight w:val="158"/>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0" w:type="dxa"/>
            <w:vAlign w:val="bottom"/>
          </w:tcPr>
          <w:p>
            <w:pPr>
              <w:spacing w:after="0"/>
              <w:rPr>
                <w:sz w:val="1"/>
                <w:szCs w:val="1"/>
                <w:color w:val="auto"/>
              </w:rPr>
            </w:pPr>
          </w:p>
        </w:tc>
      </w:tr>
      <w:tr>
        <w:trPr>
          <w:trHeight w:val="123"/>
        </w:trPr>
        <w:tc>
          <w:tcPr>
            <w:tcW w:w="1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Proceeds from non-redeemable non-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1,234</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8,001</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controlling 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line="160" w:lineRule="exact"/>
              <w:rPr>
                <w:sz w:val="20"/>
                <w:szCs w:val="20"/>
                <w:color w:val="auto"/>
              </w:rPr>
            </w:pPr>
            <w:r>
              <w:rPr>
                <w:rFonts w:ascii="Times New Roman" w:cs="Times New Roman" w:eastAsia="Times New Roman" w:hAnsi="Times New Roman"/>
                <w:sz w:val="12"/>
                <w:szCs w:val="12"/>
                <w:color w:val="auto"/>
              </w:rPr>
              <w:t xml:space="preserve">Deconsolidation of entities </w:t>
            </w:r>
            <w:r>
              <w:rPr>
                <w:rFonts w:ascii="Times New Roman" w:cs="Times New Roman" w:eastAsia="Times New Roman" w:hAnsi="Times New Roman"/>
                <w:sz w:val="15"/>
                <w:szCs w:val="15"/>
                <w:color w:val="auto"/>
                <w:vertAlign w:val="superscript"/>
              </w:rPr>
              <w:t>(1)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(34,662)</w:t>
            </w:r>
          </w:p>
        </w:tc>
        <w:tc>
          <w:tcPr>
            <w:tcW w:w="6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(36,045)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18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Distributions to non-redeemable</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1,576</w:t>
            </w:r>
          </w:p>
        </w:tc>
        <w:tc>
          <w:tcPr>
            <w:tcW w:w="0" w:type="dxa"/>
            <w:vAlign w:val="bottom"/>
          </w:tcPr>
          <w:p>
            <w:pPr>
              <w:spacing w:after="0"/>
              <w:rPr>
                <w:sz w:val="1"/>
                <w:szCs w:val="1"/>
                <w:color w:val="auto"/>
              </w:rPr>
            </w:pPr>
          </w:p>
        </w:tc>
      </w:tr>
      <w:tr>
        <w:trPr>
          <w:trHeight w:val="123"/>
        </w:trPr>
        <w:tc>
          <w:tcPr>
            <w:tcW w:w="18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Change in redemption value of</w:t>
            </w: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Redeemable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40,059</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(39,907)</w:t>
            </w:r>
          </w:p>
        </w:tc>
        <w:tc>
          <w:tcPr>
            <w:tcW w:w="0" w:type="dxa"/>
            <w:vAlign w:val="bottom"/>
          </w:tcPr>
          <w:p>
            <w:pPr>
              <w:spacing w:after="0"/>
              <w:rPr>
                <w:sz w:val="1"/>
                <w:szCs w:val="1"/>
                <w:color w:val="auto"/>
              </w:rPr>
            </w:pPr>
          </w:p>
        </w:tc>
      </w:tr>
      <w:tr>
        <w:trPr>
          <w:trHeight w:val="15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Paid-in-kind preferred dividend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2,849</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(2,391)</w:t>
            </w:r>
          </w:p>
        </w:tc>
        <w:tc>
          <w:tcPr>
            <w:tcW w:w="0" w:type="dxa"/>
            <w:vAlign w:val="bottom"/>
          </w:tcPr>
          <w:p>
            <w:pPr>
              <w:spacing w:after="0"/>
              <w:rPr>
                <w:sz w:val="1"/>
                <w:szCs w:val="1"/>
                <w:color w:val="auto"/>
              </w:rPr>
            </w:pPr>
          </w:p>
        </w:tc>
      </w:tr>
      <w:tr>
        <w:trPr>
          <w:trHeight w:val="172"/>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29,330,115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144,399,037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(749,912)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70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(1,635,783)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(760,602)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143,754</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$ 1,068,274</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200"/>
        <w:spacing w:after="0" w:line="282" w:lineRule="auto"/>
        <w:tabs>
          <w:tab w:leader="none" w:pos="123"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As of May 30, 2023, two of our RNG facilities, Emerald and Sapphire (defined below) were deconsolidated and accounted for under equity method as per ASC 323. Please see Note 3 </w:t>
      </w:r>
      <w:r>
        <w:rPr>
          <w:rFonts w:ascii="Times New Roman" w:cs="Times New Roman" w:eastAsia="Times New Roman" w:hAnsi="Times New Roman"/>
          <w:sz w:val="12"/>
          <w:szCs w:val="12"/>
          <w:i w:val="1"/>
          <w:iCs w:val="1"/>
          <w:color w:val="auto"/>
        </w:rPr>
        <w:t>Investment in 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entities </w:t>
      </w:r>
      <w:r>
        <w:rPr>
          <w:rFonts w:ascii="Times New Roman" w:cs="Times New Roman" w:eastAsia="Times New Roman" w:hAnsi="Times New Roman"/>
          <w:sz w:val="12"/>
          <w:szCs w:val="12"/>
          <w:color w:val="auto"/>
        </w:rPr>
        <w:t>and Note 12</w:t>
      </w:r>
      <w:r>
        <w:rPr>
          <w:rFonts w:ascii="Times New Roman" w:cs="Times New Roman" w:eastAsia="Times New Roman" w:hAnsi="Times New Roman"/>
          <w:sz w:val="12"/>
          <w:szCs w:val="12"/>
          <w:i w:val="1"/>
          <w:iCs w:val="1"/>
          <w:color w:val="auto"/>
        </w:rPr>
        <w:t xml:space="preserve"> Variable Interest Entities </w:t>
      </w:r>
      <w:r>
        <w:rPr>
          <w:rFonts w:ascii="Times New Roman" w:cs="Times New Roman" w:eastAsia="Times New Roman" w:hAnsi="Times New Roman"/>
          <w:sz w:val="12"/>
          <w:szCs w:val="12"/>
          <w:color w:val="auto"/>
        </w:rPr>
        <w:t>for additional information.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80"/>
          </w:cols>
          <w:pgMar w:left="300" w:top="743" w:right="4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of U.S. dollars)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2"/>
          <w:szCs w:val="12"/>
          <w:b w:val="1"/>
          <w:bCs w:val="1"/>
          <w:color w:val="auto"/>
        </w:rPr>
        <w:t>Six Months Ended</w:t>
      </w:r>
    </w:p>
    <w:p>
      <w:pPr>
        <w:jc w:val="center"/>
        <w:ind w:left="8200"/>
        <w:spacing w:after="0"/>
        <w:rPr>
          <w:sz w:val="20"/>
          <w:szCs w:val="20"/>
          <w:color w:val="auto"/>
        </w:rPr>
      </w:pPr>
      <w:r>
        <w:rPr>
          <w:rFonts w:ascii="Times New Roman" w:cs="Times New Roman" w:eastAsia="Times New Roman" w:hAnsi="Times New Roman"/>
          <w:sz w:val="12"/>
          <w:szCs w:val="12"/>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88"/>
        </w:trPr>
        <w:tc>
          <w:tcPr>
            <w:tcW w:w="8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59"/>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
        </w:trPr>
        <w:tc>
          <w:tcPr>
            <w:tcW w:w="8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60" w:type="dxa"/>
            <w:vAlign w:val="bottom"/>
            <w:tcBorders>
              <w:bottom w:val="single" w:sz="8" w:color="CCEEFF"/>
            </w:tcBorders>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106,704</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from equity method investments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Distributions from equity method investments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Provision for bad debts</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r>
      <w:tr>
        <w:trPr>
          <w:trHeight w:val="171"/>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operating right-of-use assets</w:t>
            </w:r>
          </w:p>
        </w:tc>
        <w:tc>
          <w:tcPr>
            <w:tcW w:w="9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r>
      <w:tr>
        <w:trPr>
          <w:trHeight w:val="169"/>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6,990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on warrant exchange</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Gain on deconsolidation of VIEs</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(122,873)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Accretion expense related to asset retirement obligation</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2,848</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Paid-in-kind interest income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 in fair value of Convertible Note Payable</w:t>
            </w:r>
          </w:p>
        </w:tc>
        <w:tc>
          <w:tcPr>
            <w:tcW w:w="9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 on derivative financial instruments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(4,906)</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receivable, related party</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12,421</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tax credits receivable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Capital spares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Parts inventory</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Environmental credits held for sale</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Prepaid expense and other current assets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3,121</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assets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(2,742)</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1,257</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related party</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tax credits payable</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payroll</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3,125</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lease liabilities - current and non-current</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current and non-current liabilities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Contract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w:t>
            </w:r>
          </w:p>
        </w:tc>
      </w:tr>
      <w:tr>
        <w:trPr>
          <w:trHeight w:val="14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14,251</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7,786</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(72,009)</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 of short term investments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48,021</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Deconsolidation of VIEs, net of cash</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(11,948)</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Distributions received from equity method investment</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7,756</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investment in other entities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4"/>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(54,080)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(28,180)</w:t>
            </w:r>
          </w:p>
        </w:tc>
      </w:tr>
      <w:tr>
        <w:trPr>
          <w:trHeight w:val="139"/>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
        </w:trPr>
        <w:tc>
          <w:tcPr>
            <w:tcW w:w="8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OPAL Term Loan</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paid for purchase of shares upon exercise of put option</w:t>
            </w:r>
          </w:p>
        </w:tc>
        <w:tc>
          <w:tcPr>
            <w:tcW w:w="9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(16,391)</w:t>
            </w:r>
          </w:p>
        </w:tc>
      </w:tr>
      <w:tr>
        <w:trPr>
          <w:trHeight w:val="24"/>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paid for taxes related to net share settlement of equity awards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Financing costs paid to other third parties</w:t>
            </w:r>
          </w:p>
        </w:tc>
        <w:tc>
          <w:tcPr>
            <w:tcW w:w="9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155"/>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Senior Secured Credit Facility</w:t>
            </w:r>
          </w:p>
        </w:tc>
        <w:tc>
          <w:tcPr>
            <w:tcW w:w="5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OPAL Term Loan</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Municipality loan</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Sunoma Loan</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Repayment of equipment loan</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Payment of preferred dividends</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sale of non-redeemable non-controlling interest</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Reimbursement of financing costs by joint venture partner</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Distribution to non-redeemable non-controlling interest</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Proceeds from issuance of shares of Class A common stock under the ATM program, net</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1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15,036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cash, restricted cash, and cash equivalents</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Cash, restricted cash, and cash equivalents, beginning of period</w:t>
            </w:r>
          </w:p>
        </w:tc>
        <w:tc>
          <w:tcPr>
            <w:tcW w:w="5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47,242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Cash, restricted cash, and cash equivalents, end of period</w:t>
            </w: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22,449</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1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 net of $2,074 and $3,785 capitalized, respectively</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7,185</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8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482600</wp:posOffset>
            </wp:positionV>
            <wp:extent cx="716788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-1725295</wp:posOffset>
            </wp:positionV>
            <wp:extent cx="716788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-1496695</wp:posOffset>
            </wp:positionV>
            <wp:extent cx="716788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-1267460</wp:posOffset>
            </wp:positionV>
            <wp:extent cx="716788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-1038860</wp:posOffset>
            </wp:positionV>
            <wp:extent cx="716788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-575310</wp:posOffset>
            </wp:positionV>
            <wp:extent cx="716788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16788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-327025</wp:posOffset>
            </wp:positionV>
            <wp:extent cx="716788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-810260</wp:posOffset>
            </wp:positionV>
            <wp:extent cx="7167880" cy="120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120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1"/>
          <w:szCs w:val="11"/>
          <w:color w:val="auto"/>
        </w:rPr>
        <w:t>(22,750)</w:t>
      </w:r>
    </w:p>
    <w:p>
      <w:pPr>
        <w:spacing w:after="0" w:line="5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color w:val="auto"/>
        </w:rPr>
        <w:t>(13,866)</w:t>
      </w:r>
    </w:p>
    <w:p>
      <w:pPr>
        <w:spacing w:after="0" w:line="5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(76)</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12,778</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826</w:t>
      </w:r>
    </w:p>
    <w:p>
      <w:pPr>
        <w:spacing w:after="0" w:line="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(222)</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(29,701)</w:t>
      </w:r>
    </w:p>
    <w:p>
      <w:pPr>
        <w:spacing w:after="0" w:line="5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color w:val="auto"/>
        </w:rPr>
        <w:t>(50,095)</w:t>
      </w:r>
    </w:p>
    <w:p>
      <w:pPr>
        <w:spacing w:after="0" w:line="5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2"/>
          <w:szCs w:val="12"/>
          <w:color w:val="auto"/>
        </w:rPr>
        <w:t>77,221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26035</wp:posOffset>
            </wp:positionV>
            <wp:extent cx="94678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27,126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26035</wp:posOffset>
            </wp:positionV>
            <wp:extent cx="94678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1,507</w:t>
      </w:r>
    </w:p>
    <w:p>
      <w:pPr>
        <w:spacing w:after="0" w:line="222" w:lineRule="exact"/>
        <w:rPr>
          <w:sz w:val="20"/>
          <w:szCs w:val="20"/>
          <w:color w:val="auto"/>
        </w:rPr>
      </w:pPr>
    </w:p>
    <w:p>
      <w:pPr>
        <w:sectPr>
          <w:pgSz w:w="11900" w:h="16838" w:orient="portrait"/>
          <w:cols w:equalWidth="0" w:num="2">
            <w:col w:w="10140" w:space="720"/>
            <w:col w:w="420"/>
          </w:cols>
          <w:pgMar w:left="300" w:top="761" w:right="319" w:bottom="1440" w:gutter="0" w:footer="0" w:header="0"/>
        </w:sectPr>
      </w:pPr>
    </w:p>
    <w:tbl>
      <w:tblPr>
        <w:tblLayout w:type="fixed"/>
        <w:tblInd w:w="0" w:type="dxa"/>
        <w:tblCellMar>
          <w:top w:w="0" w:type="dxa"/>
          <w:left w:w="0" w:type="dxa"/>
          <w:bottom w:w="0" w:type="dxa"/>
          <w:right w:w="0" w:type="dxa"/>
        </w:tblCellMar>
      </w:tblPr>
      <w:tr>
        <w:trPr>
          <w:trHeight w:val="155"/>
        </w:trPr>
        <w:tc>
          <w:tcPr>
            <w:tcW w:w="6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Paid-in-kind dividend on redeemable preferred non-controlling interests</w:t>
            </w:r>
          </w:p>
        </w:tc>
        <w:tc>
          <w:tcPr>
            <w:tcW w:w="192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5,612</w:t>
            </w:r>
          </w:p>
        </w:tc>
      </w:tr>
      <w:tr>
        <w:trPr>
          <w:trHeight w:val="24"/>
        </w:trPr>
        <w:tc>
          <w:tcPr>
            <w:tcW w:w="6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Accrual for asset retirement obligation included in Property, plant and equipment</w:t>
            </w:r>
          </w:p>
        </w:tc>
        <w:tc>
          <w:tcPr>
            <w:tcW w:w="19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591</w:t>
            </w:r>
          </w:p>
        </w:tc>
        <w:tc>
          <w:tcPr>
            <w:tcW w:w="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Right-of-use assets arising from lease modifications</w:t>
            </w:r>
          </w:p>
        </w:tc>
        <w:tc>
          <w:tcPr>
            <w:tcW w:w="192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1,218</w:t>
            </w:r>
          </w:p>
        </w:tc>
        <w:tc>
          <w:tcPr>
            <w:tcW w:w="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Accrual for purchase of Property, plant and equipment included in Accounts payable and Accrued capital expenses</w:t>
            </w:r>
          </w:p>
        </w:tc>
        <w:tc>
          <w:tcPr>
            <w:tcW w:w="19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18,324</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8,864</w:t>
            </w:r>
          </w:p>
        </w:tc>
      </w:tr>
      <w:tr>
        <w:trPr>
          <w:trHeight w:val="24"/>
        </w:trPr>
        <w:tc>
          <w:tcPr>
            <w:tcW w:w="68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 and Description of Business</w:t>
      </w:r>
    </w:p>
    <w:p>
      <w:pPr>
        <w:spacing w:after="0" w:line="195"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RECs, LCFS credits, ISCC Carbon Credits,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8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is organized into four operating segments based on the characteristics and the nature of products and services. The four operating segments are RNG Fuel, Fuel Station Services, Renewable Power and Corporate.</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amounts in these footnotes are presented in thousands of dollars except share and per share data.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Presentation and Principles of Consolidation</w:t>
      </w:r>
    </w:p>
    <w:p>
      <w:pPr>
        <w:spacing w:after="0" w:line="12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3"/>
          <w:szCs w:val="13"/>
          <w:color w:val="auto"/>
        </w:rPr>
        <w:t>These condensed consolidated financial statements are prepared in accordance with generally accepted accounting principles in the United States (“U.S. GAAP”) and include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(“Cottonwood”), Polk County RNG LLC (“Polk County”), OPAL Contracting LLC (formerly Fortistar Contracting LLC), OPAL RNG LLC (formerly Fortistar RNG LLC), and OPAL Fuel station services LLC (“Fuel Station Services”). The Company’s unaudited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w:t>
      </w:r>
    </w:p>
    <w:p>
      <w:pPr>
        <w:spacing w:after="0" w:line="85"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3"/>
          <w:szCs w:val="13"/>
          <w:color w:val="auto"/>
        </w:rPr>
        <w:t xml:space="preserve">Certain prior period amounts have been reclassified to conform with the current period presentation including reclassification of the Company’s proportional share of income in equity investments into operating income. See Note 3. </w:t>
      </w:r>
      <w:r>
        <w:rPr>
          <w:rFonts w:ascii="Times New Roman" w:cs="Times New Roman" w:eastAsia="Times New Roman" w:hAnsi="Times New Roman"/>
          <w:sz w:val="13"/>
          <w:szCs w:val="13"/>
          <w:i w:val="1"/>
          <w:iCs w:val="1"/>
          <w:color w:val="auto"/>
        </w:rPr>
        <w:t>Investment in Other Entities</w:t>
      </w:r>
      <w:r>
        <w:rPr>
          <w:rFonts w:ascii="Times New Roman" w:cs="Times New Roman" w:eastAsia="Times New Roman" w:hAnsi="Times New Roman"/>
          <w:sz w:val="13"/>
          <w:szCs w:val="13"/>
          <w:color w:val="auto"/>
        </w:rPr>
        <w:t xml:space="preserve"> for further discussion. The Company reclassified certain project development and startup costs as a separate line within Operating expenses, which were previously included in Cost of sales - RNG Fuel and Selling, general and administrative expenses. Additionally, an adjustment for approximately $506 was recorded to move certain prior costs between selling, general and administrative costs to cost of sales – RNG fuel for the three months ended March 31, 2023, which is reflected in the six months ended June 30, 2023 amounts." Please see the </w:t>
      </w:r>
      <w:r>
        <w:rPr>
          <w:rFonts w:ascii="Times New Roman" w:cs="Times New Roman" w:eastAsia="Times New Roman" w:hAnsi="Times New Roman"/>
          <w:sz w:val="13"/>
          <w:szCs w:val="13"/>
          <w:i w:val="1"/>
          <w:iCs w:val="1"/>
          <w:color w:val="auto"/>
        </w:rPr>
        <w:t>Project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development and startup costs </w:t>
      </w:r>
      <w:r>
        <w:rPr>
          <w:rFonts w:ascii="Times New Roman" w:cs="Times New Roman" w:eastAsia="Times New Roman" w:hAnsi="Times New Roman"/>
          <w:sz w:val="13"/>
          <w:szCs w:val="13"/>
          <w:color w:val="auto"/>
        </w:rPr>
        <w:t>section within Note 2. Additionally, the Company also reclassified certain Asset retirement obligations from current to non-current in its condensed consolidated balance sheet as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December 31, 2023.</w:t>
      </w:r>
    </w:p>
    <w:p>
      <w:pPr>
        <w:spacing w:after="0" w:line="316"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information included in this quarterly report should be read in conjunction with the Company's audited consolidated financial statements and notes thereto included in the Company’s Annual Report on Form 10-K for the fiscal year ended December 31, 2023 as the interim disclosures generally do not repeat those in the annual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3" w:right="319" w:bottom="1440" w:gutter="0" w:footer="0" w:header="0"/>
        </w:sectPr>
      </w:pPr>
    </w:p>
    <w:bookmarkStart w:id="15" w:name="page16"/>
    <w:bookmarkEnd w:id="15"/>
    <w:p>
      <w:pPr>
        <w:jc w:val="both"/>
        <w:spacing w:after="0" w:line="294" w:lineRule="auto"/>
        <w:rPr>
          <w:sz w:val="20"/>
          <w:szCs w:val="20"/>
          <w:color w:val="auto"/>
        </w:rPr>
      </w:pPr>
      <w:r>
        <w:rPr>
          <w:rFonts w:ascii="Times New Roman" w:cs="Times New Roman" w:eastAsia="Times New Roman" w:hAnsi="Times New Roman"/>
          <w:sz w:val="13"/>
          <w:szCs w:val="13"/>
          <w:color w:val="auto"/>
        </w:rPr>
        <w:t>and are condensed in accordance with the instructions to Form 10-Q and Article 10 of Regulation S-X. Accordingly, they do not include all of the information and footnote disclosures required by U.S. GAAP for complete financial statements.</w:t>
      </w:r>
    </w:p>
    <w:p>
      <w:pPr>
        <w:spacing w:after="0" w:line="124"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In the opinion of management, the Company's financial statements include all normal and recurring adjustments necessary in order to make the financial statements not misleading and to provide a fair presentation of the Company's financial results for the interim periods included in this Quarterly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Variable Interest Entities</w:t>
      </w:r>
    </w:p>
    <w:p>
      <w:pPr>
        <w:spacing w:after="0" w:line="11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Our policy is to consolidate all entities that we control by ownership of a majority of the outstanding voting stock. In addition, we consolidate entities that meet the definition of a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condensed consolidated balance sheets as “Investments in other entities.” Investments in unconsolidated entities in which the Company has significant influence over the operating or financial decisions are accounted for under the equity method.</w:t>
      </w:r>
    </w:p>
    <w:p>
      <w:pPr>
        <w:spacing w:after="0" w:line="8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of June 30, 2024, the Company accounted for its ownership interests in Pine Bend RNG LLC ("Pine Bend"), Noble Road RNG LLC ("Noble Road"), Emerald RNG LLC ("Emerald"), Sapphire RNG LLC ("Sapphire"), Paragon RNG LLC ("Paragon"), Land2Gas LLC (the "SJI Joint Venture") (RNG Atlantic and RNG Burlington)) and GREP BTB Holdings LLC ("GREP") under the equity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2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lease assets and lease liabilities, the impairment assessment of goodwill and the fair value of derivative instruments. Actual results could differ from those estimates.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results of operations for the interim periods presented are not necessarily indicative of the results that may be expected for the entire year.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Accounting Pronouncements not yet adopted</w:t>
      </w:r>
    </w:p>
    <w:p>
      <w:pPr>
        <w:spacing w:after="0" w:line="125"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expects to report significant operating expenses by segment and other additional disclosures the Company is currently evaluating, upon adoption of ASU 2023-07 in its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Emerging Growth Company Status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The JOBS Act provides emerging growth companies with certain exemptions from public company reporting requirements for up to five fiscal years while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7" w:right="319" w:bottom="1440" w:gutter="0" w:footer="0" w:header="0"/>
        </w:sectPr>
      </w:pPr>
    </w:p>
    <w:bookmarkStart w:id="16" w:name="page17"/>
    <w:bookmarkEnd w:id="16"/>
    <w:p>
      <w:pPr>
        <w:jc w:val="both"/>
        <w:spacing w:after="0" w:line="273" w:lineRule="auto"/>
        <w:rPr>
          <w:sz w:val="20"/>
          <w:szCs w:val="20"/>
          <w:color w:val="auto"/>
        </w:rPr>
      </w:pPr>
      <w:r>
        <w:rPr>
          <w:rFonts w:ascii="Times New Roman" w:cs="Times New Roman" w:eastAsia="Times New Roman" w:hAnsi="Times New Roman"/>
          <w:sz w:val="13"/>
          <w:szCs w:val="13"/>
          <w:color w:val="auto"/>
        </w:rPr>
        <w:t>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Cash, cash equivalents, and restricted cash consisted of the following as of June 30, 2024 and December 31, 2023:</w:t>
      </w:r>
    </w:p>
    <w:p>
      <w:pPr>
        <w:sectPr>
          <w:pgSz w:w="11900" w:h="16838" w:orient="portrait"/>
          <w:cols w:equalWidth="0" w:num="1">
            <w:col w:w="11280"/>
          </w:cols>
          <w:pgMar w:left="300" w:top="1318" w:right="3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Current assets:</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 xml:space="preserve">Restricted cash - current </w:t>
      </w:r>
      <w:r>
        <w:rPr>
          <w:rFonts w:ascii="Times New Roman" w:cs="Times New Roman" w:eastAsia="Times New Roman" w:hAnsi="Times New Roman"/>
          <w:sz w:val="15"/>
          <w:szCs w:val="15"/>
          <w:color w:val="auto"/>
          <w:vertAlign w:val="superscript"/>
        </w:rPr>
        <w:t>(1)</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Long-term assets: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 xml:space="preserve">Restricted cash held as collateral </w:t>
      </w:r>
      <w:r>
        <w:rPr>
          <w:rFonts w:ascii="Times New Roman" w:cs="Times New Roman" w:eastAsia="Times New Roman" w:hAnsi="Times New Roman"/>
          <w:sz w:val="15"/>
          <w:szCs w:val="15"/>
          <w:color w:val="auto"/>
          <w:vertAlign w:val="superscript"/>
        </w:rPr>
        <w:t>(2)</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300" w:type="dxa"/>
            <w:vAlign w:val="bottom"/>
          </w:tcPr>
          <w:p>
            <w:pPr>
              <w:spacing w:after="0"/>
              <w:rPr>
                <w:sz w:val="12"/>
                <w:szCs w:val="12"/>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40" w:type="dxa"/>
            <w:vAlign w:val="bottom"/>
          </w:tcPr>
          <w:p>
            <w:pPr>
              <w:spacing w:after="0"/>
              <w:rPr>
                <w:sz w:val="12"/>
                <w:szCs w:val="1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300" w:type="dxa"/>
            <w:vAlign w:val="bottom"/>
          </w:tcPr>
          <w:p>
            <w:pPr>
              <w:spacing w:after="0"/>
              <w:rPr>
                <w:sz w:val="13"/>
                <w:szCs w:val="13"/>
                <w:color w:val="auto"/>
              </w:rPr>
            </w:pPr>
          </w:p>
        </w:tc>
        <w:tc>
          <w:tcPr>
            <w:tcW w:w="118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4"/>
        </w:trPr>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6"/>
        </w:trPr>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19,016</w:t>
            </w:r>
          </w:p>
        </w:tc>
        <w:tc>
          <w:tcPr>
            <w:tcW w:w="100" w:type="dxa"/>
            <w:vAlign w:val="bottom"/>
          </w:tcPr>
          <w:p>
            <w:pPr>
              <w:spacing w:after="0"/>
              <w:rPr>
                <w:sz w:val="24"/>
                <w:szCs w:val="2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38,348</w:t>
            </w:r>
          </w:p>
        </w:tc>
      </w:tr>
      <w:tr>
        <w:trPr>
          <w:trHeight w:val="200"/>
        </w:trPr>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4,395</w:t>
            </w:r>
          </w:p>
        </w:tc>
      </w:tr>
      <w:tr>
        <w:trPr>
          <w:trHeight w:val="340"/>
        </w:trPr>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4,499</w:t>
            </w:r>
          </w:p>
        </w:tc>
      </w:tr>
      <w:tr>
        <w:trPr>
          <w:trHeight w:val="24"/>
        </w:trPr>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6"/>
        </w:trPr>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22,449</w:t>
            </w:r>
          </w:p>
        </w:tc>
        <w:tc>
          <w:tcPr>
            <w:tcW w:w="10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47,242</w:t>
            </w:r>
          </w:p>
        </w:tc>
      </w:tr>
      <w:tr>
        <w:trPr>
          <w:trHeight w:val="24"/>
        </w:trPr>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-717550</wp:posOffset>
            </wp:positionV>
            <wp:extent cx="6252845"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52845" cy="1143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-488950</wp:posOffset>
            </wp:positionV>
            <wp:extent cx="6252845"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52845" cy="1143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-259715</wp:posOffset>
            </wp:positionV>
            <wp:extent cx="6252845"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52845" cy="11430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300" w:space="720"/>
            <w:col w:w="4260"/>
          </w:cols>
          <w:pgMar w:left="300" w:top="1318" w:right="319" w:bottom="1440" w:gutter="0" w:footer="0" w:header="0"/>
          <w:type w:val="continuous"/>
        </w:sectPr>
      </w:pPr>
    </w:p>
    <w:p>
      <w:pPr>
        <w:ind w:firstLine="240"/>
        <w:spacing w:after="0" w:line="279" w:lineRule="auto"/>
        <w:tabs>
          <w:tab w:leader="none" w:pos="363"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Restricted cash - current as of June 30, 2024 consists of $940 related to debt reserve on Sunoma Loan. Restricted cash - current as of December 31, 2023 consists of $3,361 related to debt reserve on the Sunoma Loan and $1,034 related to deposit on our interconnections payments.</w:t>
      </w:r>
    </w:p>
    <w:p>
      <w:pPr>
        <w:spacing w:after="0" w:line="36" w:lineRule="exact"/>
        <w:rPr>
          <w:rFonts w:ascii="Times New Roman" w:cs="Times New Roman" w:eastAsia="Times New Roman" w:hAnsi="Times New Roman"/>
          <w:sz w:val="15"/>
          <w:szCs w:val="15"/>
          <w:color w:val="auto"/>
          <w:vertAlign w:val="superscript"/>
        </w:rPr>
      </w:pPr>
    </w:p>
    <w:p>
      <w:pPr>
        <w:ind w:left="380" w:hanging="140"/>
        <w:spacing w:after="0"/>
        <w:tabs>
          <w:tab w:leader="none" w:pos="3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Restricted cash held as collateral represents the collateral requirements on our debt facilities.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Short term investments</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considers highly liquid investments such as time deposits and certificates of deposit with an original maturity greater than three months at the time of purchase to be short term investments. The short term investments of $8,585 and $9,875 as of June 30, 2024 and December 31, 2023, respectively, consists of cash invested in money market accounts with maturities ranging between 1 and 12 months as of the reporting date. The amounts in these money market accounts are liquid and available for general use.</w:t>
      </w:r>
    </w:p>
    <w:p>
      <w:pPr>
        <w:spacing w:after="0" w:line="6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Our short term investments are generally invested in commercial paper issued by highly credit worthy counter parties and government backed treasury bills. Investments are generally not FDIC insured and we take counter party risk on these investments.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Earnout Liabilities</w:t>
      </w:r>
    </w:p>
    <w:p>
      <w:pPr>
        <w:spacing w:after="0" w:line="17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3"/>
          <w:szCs w:val="13"/>
          <w:color w:val="auto"/>
        </w:rPr>
        <w:t>In connection with the business combination completed in July 2022 and pursuant to a sponsor letter agreement, ArcLight CTC Holdings II, L.P.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and six months ended June 30, 2024, the Company recorded a gain of $776 and $1,179 in its condensed consolidated statements of operations. For the three and six months ended June 30, 2023, the Company recorded a gain of $327 and $4,638 in its condensed consolidated statements of operations. As of June 30, 2024 and December 31, 2023, the Company recorded $721 and $1,900, respectively,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color w:val="auto"/>
        </w:rPr>
        <w:t>Redeemable non-controlling interests</w:t>
      </w:r>
    </w:p>
    <w:p>
      <w:pPr>
        <w:spacing w:after="0" w:line="17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Redeemable non-controlling interests represent the portion of OPAL Fuels that the Company controls and consolidates but does not own. The Redeemable non-controlling interest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12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At each balance sheet date, the mezzanine equity classified Redeemable non-controlling interests is adjusted up to their maximum redemption value if necessary, with an offset in Stockholders' equity. As of June 30, 2024, the maximum redemption value was $597,069.</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Project development and startup costs</w:t>
      </w:r>
    </w:p>
    <w:p>
      <w:pPr>
        <w:spacing w:after="0" w:line="17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three and six months ended June 30, 2024 and 2023, the Company is presenting these expenses in a separate line within operating expenses to provide additional information to the readers of the financial statements regarding the ongoing profitability of our RNG projects in operation.</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provides information on the types of expenses classified under this expense category:</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436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56"/>
        </w:trPr>
        <w:tc>
          <w:tcPr>
            <w:tcW w:w="436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5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Site lease expenses</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r>
      <w:tr>
        <w:trPr>
          <w:trHeight w:val="185"/>
        </w:trPr>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Legal and professional fees</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w:t>
            </w:r>
          </w:p>
        </w:tc>
      </w:tr>
      <w:tr>
        <w:trPr>
          <w:trHeight w:val="19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Royalties</w:t>
            </w:r>
          </w:p>
        </w:tc>
        <w:tc>
          <w:tcPr>
            <w:tcW w:w="10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r>
      <w:tr>
        <w:trPr>
          <w:trHeight w:val="185"/>
        </w:trPr>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Virtual pipeline costs</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r>
      <w:tr>
        <w:trPr>
          <w:trHeight w:val="19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Management services </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r>
      <w:tr>
        <w:trPr>
          <w:trHeight w:val="185"/>
        </w:trPr>
        <w:tc>
          <w:tcPr>
            <w:tcW w:w="4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98"/>
        </w:trPr>
        <w:tc>
          <w:tcPr>
            <w:tcW w:w="4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Project development and startup costs</w:t>
            </w:r>
          </w:p>
        </w:tc>
        <w:tc>
          <w:tcPr>
            <w:tcW w:w="102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20" w:hanging="120"/>
        <w:spacing w:after="0"/>
        <w:tabs>
          <w:tab w:leader="none" w:pos="12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Relates to charges billed to the individual projects by Fortistar. See Note. 10 </w:t>
      </w:r>
      <w:r>
        <w:rPr>
          <w:rFonts w:ascii="Times New Roman" w:cs="Times New Roman" w:eastAsia="Times New Roman" w:hAnsi="Times New Roman"/>
          <w:sz w:val="12"/>
          <w:szCs w:val="12"/>
          <w:i w:val="1"/>
          <w:iCs w:val="1"/>
          <w:color w:val="auto"/>
        </w:rPr>
        <w:t>Related parties</w:t>
      </w:r>
      <w:r>
        <w:rPr>
          <w:rFonts w:ascii="Times New Roman" w:cs="Times New Roman" w:eastAsia="Times New Roman" w:hAnsi="Times New Roman"/>
          <w:sz w:val="12"/>
          <w:szCs w:val="12"/>
          <w:color w:val="auto"/>
        </w:rPr>
        <w:t xml:space="preserve"> for additional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per share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basic earnings per share of Class A common stock is computed based on the average number of outstanding shares of Class A common stock for the period.</w:t>
      </w:r>
    </w:p>
    <w:p>
      <w:pPr>
        <w:spacing w:after="0" w:line="121"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Earnout Awards.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Accounts Receivable, net</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allowance for doubtful accounts was $0 and $0 at June 30, 2024 and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Retirement Obligation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18" w:name="page19"/>
    <w:bookmarkEnd w:id="18"/>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 xml:space="preserve">The Company accounts for asset retirement obligations in accordance with FASB ASC 410, </w:t>
      </w:r>
      <w:r>
        <w:rPr>
          <w:rFonts w:ascii="Times New Roman" w:cs="Times New Roman" w:eastAsia="Times New Roman" w:hAnsi="Times New Roman"/>
          <w:sz w:val="13"/>
          <w:szCs w:val="13"/>
          <w:i w:val="1"/>
          <w:iCs w:val="1"/>
          <w:color w:val="auto"/>
        </w:rPr>
        <w:t>Asset Retirement and Environmental Obligations,</w:t>
      </w:r>
      <w:r>
        <w:rPr>
          <w:rFonts w:ascii="Times New Roman" w:cs="Times New Roman" w:eastAsia="Times New Roman" w:hAnsi="Times New Roman"/>
          <w:sz w:val="13"/>
          <w:szCs w:val="13"/>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is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June 30, 2024 and December 31, 2023, the Company estimated the value of its total asset retirement obligations to be $7,594 and $6,728,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changes in the asset retirement obligations were as follows as of June 30,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66"/>
        </w:trPr>
        <w:tc>
          <w:tcPr>
            <w:tcW w:w="68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7"/>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2023 - Current and non-current</w:t>
            </w:r>
          </w:p>
        </w:tc>
        <w:tc>
          <w:tcPr>
            <w:tcW w:w="520" w:type="dxa"/>
            <w:vAlign w:val="bottom"/>
            <w:tcBorders>
              <w:bottom w:val="single" w:sz="8" w:color="CCEEFF"/>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6,728</w:t>
            </w:r>
          </w:p>
        </w:tc>
      </w:tr>
      <w:tr>
        <w:trPr>
          <w:trHeight w:val="156"/>
        </w:trPr>
        <w:tc>
          <w:tcPr>
            <w:tcW w:w="6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Additions during the year</w:t>
            </w:r>
          </w:p>
        </w:tc>
        <w:tc>
          <w:tcPr>
            <w:tcW w:w="52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r>
      <w:tr>
        <w:trPr>
          <w:trHeight w:val="24"/>
        </w:trPr>
        <w:tc>
          <w:tcPr>
            <w:tcW w:w="6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expense</w:t>
            </w:r>
          </w:p>
        </w:tc>
        <w:tc>
          <w:tcPr>
            <w:tcW w:w="5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w:t>
            </w:r>
          </w:p>
        </w:tc>
      </w:tr>
      <w:tr>
        <w:trPr>
          <w:trHeight w:val="146"/>
        </w:trPr>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asset retirement obligation</w:t>
            </w:r>
          </w:p>
        </w:tc>
        <w:tc>
          <w:tcPr>
            <w:tcW w:w="5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7,594</w:t>
            </w:r>
          </w:p>
        </w:tc>
      </w:tr>
      <w:tr>
        <w:trPr>
          <w:trHeight w:val="24"/>
        </w:trPr>
        <w:tc>
          <w:tcPr>
            <w:tcW w:w="6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7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2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(1,952)</w:t>
            </w:r>
          </w:p>
        </w:tc>
      </w:tr>
      <w:tr>
        <w:trPr>
          <w:trHeight w:val="168"/>
        </w:trPr>
        <w:tc>
          <w:tcPr>
            <w:tcW w:w="6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asset retirement obligation, net of current portion</w:t>
            </w: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5,642</w:t>
            </w:r>
          </w:p>
        </w:tc>
      </w:tr>
      <w:tr>
        <w:trPr>
          <w:trHeight w:val="20"/>
        </w:trPr>
        <w:tc>
          <w:tcPr>
            <w:tcW w:w="6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Recognition</w:t>
      </w:r>
    </w:p>
    <w:p>
      <w:pPr>
        <w:spacing w:after="0" w:line="14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8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reader. The price is fixed at contracted rates and the Producers pay approximately 30 days after month-end. As such, transportation sales are recognized over time, using the output method to measure progress.</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6" w:right="319" w:bottom="1440" w:gutter="0" w:footer="0" w:header="0"/>
        </w:sectPr>
      </w:pPr>
    </w:p>
    <w:bookmarkStart w:id="19" w:name="page20"/>
    <w:bookmarkEnd w:id="19"/>
    <w:p>
      <w:pPr>
        <w:jc w:val="both"/>
        <w:spacing w:after="0" w:line="275" w:lineRule="auto"/>
        <w:rPr>
          <w:sz w:val="20"/>
          <w:szCs w:val="20"/>
          <w:color w:val="auto"/>
        </w:rPr>
      </w:pPr>
      <w:r>
        <w:rPr>
          <w:rFonts w:ascii="Times New Roman" w:cs="Times New Roman" w:eastAsia="Times New Roman" w:hAnsi="Times New Roman"/>
          <w:sz w:val="13"/>
          <w:szCs w:val="13"/>
          <w:color w:val="auto"/>
        </w:rPr>
        <w:t>discount. A specified volume of Environmental Attributes sold per quarter will incur a fee per Environmental Attribute in addition to the specified discount. The agreement was effective beginning January 1, 2022. For the three months ended June 30, 2024 and 2023, the Company earned net revenues after discount and fees of $25,409 and $11,852, respectively under this contract which was recorded as part of Revenues - RNG Fuel and Fuel Station Services. For the six months ended June 30, 2024 and 2023, the Company earned net revenues after discount and fees of $48,645 and $18,060, respectively.</w:t>
      </w:r>
    </w:p>
    <w:p>
      <w:pPr>
        <w:spacing w:after="0" w:line="6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During 2020, the Company has an agreement with a counter party to sell LCFSs at one of our RNG facilities for a period of 7 years at a fixed contract price which has a certain predetermined floor and ceiling price per LCFS. The counter party has the right to apply any excess payment made calculated as the difference between adjusted Oil Price Information Service and the floor price per the contract, against future sales of LCFSs during the contract term. As of June 30, 2024, the Company recorded $2,522 as part of Other long-term liabilities on the condensed consolidated balance sheet.</w:t>
      </w:r>
    </w:p>
    <w:p>
      <w:pPr>
        <w:spacing w:after="0" w:line="77"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During the third and fourth quarters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("MMBtus"). One of these contracts has a term of 3 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three months ended June 30, 2024 and 2023, the Company earned net revenues of $4,671 and $4,525, respectively under the contracts which were recorded as part of Revenues - Renewable Power in the condensed consolidated statement of operations. For the six months ended June 30, 2024 and 2023, the Company earned net revenues of $8,288 and $9,693, respectively under the contracts which were recorded as part of Revenues - Renewable Power in the condensed consolidated statement of operations.</w:t>
      </w:r>
    </w:p>
    <w:p>
      <w:pPr>
        <w:spacing w:after="0" w:line="8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Sales of Environmental Attributes such as RINs, renewable energy credits ("RECs"), ISCC Carbon Credits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spacing w:after="0" w:line="6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6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from time-to-time enters into fuel purchase agreements with customers whereby the Company is contracted to design and build a Fueling Station on the customer's property in exchange for the</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Company providing CNG/RNG to the customer for a determined number of years. In accordance with the standards of ASC 840,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3"/>
          <w:szCs w:val="13"/>
          <w:color w:val="auto"/>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 w:cs="Times New Roman" w:eastAsia="Times New Roman" w:hAnsi="Times New Roman"/>
          <w:sz w:val="13"/>
          <w:szCs w:val="13"/>
          <w:i w:val="1"/>
          <w:iCs w:val="1"/>
          <w:color w:val="auto"/>
        </w:rPr>
        <w:t>Leases.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Disaggregation of Revenue</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shows the disaggregation of revenue according to product line: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20" w:name="page21"/>
    <w:bookmarkEnd w:id="20"/>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140"/>
        </w:trPr>
        <w:tc>
          <w:tcPr>
            <w:tcW w:w="6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20" w:type="dxa"/>
            <w:vAlign w:val="bottom"/>
          </w:tcPr>
          <w:p>
            <w:pPr>
              <w:spacing w:after="0"/>
              <w:rPr>
                <w:sz w:val="12"/>
                <w:szCs w:val="12"/>
                <w:color w:val="auto"/>
              </w:rPr>
            </w:pPr>
          </w:p>
        </w:tc>
      </w:tr>
      <w:tr>
        <w:trPr>
          <w:trHeight w:val="176"/>
        </w:trPr>
        <w:tc>
          <w:tcPr>
            <w:tcW w:w="6180" w:type="dxa"/>
            <w:vAlign w:val="bottom"/>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20" w:type="dxa"/>
            <w:vAlign w:val="bottom"/>
            <w:tcBorders>
              <w:bottom w:val="single" w:sz="8" w:color="auto"/>
            </w:tcBorders>
          </w:tcPr>
          <w:p>
            <w:pPr>
              <w:spacing w:after="0"/>
              <w:rPr>
                <w:sz w:val="15"/>
                <w:szCs w:val="15"/>
                <w:color w:val="auto"/>
              </w:rPr>
            </w:pPr>
          </w:p>
        </w:tc>
      </w:tr>
      <w:tr>
        <w:trPr>
          <w:trHeight w:val="156"/>
        </w:trPr>
        <w:tc>
          <w:tcPr>
            <w:tcW w:w="6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6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Renewable Power sales</w:t>
            </w:r>
          </w:p>
        </w:tc>
        <w:tc>
          <w:tcPr>
            <w:tcW w:w="72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6,833</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12,652</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17,996</w:t>
            </w:r>
          </w:p>
        </w:tc>
      </w:tr>
      <w:tr>
        <w:trPr>
          <w:trHeight w:val="156"/>
        </w:trPr>
        <w:tc>
          <w:tcPr>
            <w:tcW w:w="6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Third party construction</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15,093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22,247</w:t>
            </w:r>
          </w:p>
        </w:tc>
      </w:tr>
      <w:tr>
        <w:trPr>
          <w:trHeight w:val="24"/>
        </w:trPr>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6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w:t>
            </w:r>
          </w:p>
        </w:tc>
        <w:tc>
          <w:tcPr>
            <w:tcW w:w="7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5,102</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10,437</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8,904</w:t>
            </w:r>
          </w:p>
        </w:tc>
      </w:tr>
      <w:tr>
        <w:trPr>
          <w:trHeight w:val="156"/>
        </w:trPr>
        <w:tc>
          <w:tcPr>
            <w:tcW w:w="6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Brown gas sales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15,351</w:t>
            </w:r>
          </w:p>
        </w:tc>
      </w:tr>
      <w:tr>
        <w:trPr>
          <w:trHeight w:val="24"/>
        </w:trPr>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Environmental credits </w:t>
            </w:r>
            <w:r>
              <w:rPr>
                <w:rFonts w:ascii="Times New Roman" w:cs="Times New Roman" w:eastAsia="Times New Roman" w:hAnsi="Times New Roman"/>
                <w:sz w:val="15"/>
                <w:szCs w:val="15"/>
                <w:color w:val="auto"/>
                <w:vertAlign w:val="superscript"/>
              </w:rPr>
              <w:t>(1)</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42,370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17,690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30,368</w:t>
            </w:r>
          </w:p>
        </w:tc>
      </w:tr>
      <w:tr>
        <w:trPr>
          <w:trHeight w:val="156"/>
        </w:trPr>
        <w:tc>
          <w:tcPr>
            <w:tcW w:w="6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Parts sales</w:t>
            </w: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w:t>
            </w:r>
          </w:p>
        </w:tc>
      </w:tr>
      <w:tr>
        <w:trPr>
          <w:trHeight w:val="24"/>
        </w:trPr>
        <w:tc>
          <w:tcPr>
            <w:tcW w:w="6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7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6"/>
        </w:trPr>
        <w:tc>
          <w:tcPr>
            <w:tcW w:w="6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revenue from contracts with customers</w:t>
            </w: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69,805</w:t>
            </w: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54,146</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133,766</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96,202</w:t>
            </w:r>
          </w:p>
        </w:tc>
      </w:tr>
      <w:tr>
        <w:trPr>
          <w:trHeight w:val="24"/>
        </w:trPr>
        <w:tc>
          <w:tcPr>
            <w:tcW w:w="6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0"/>
        </w:trPr>
        <w:tc>
          <w:tcPr>
            <w:tcW w:w="61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2"/>
                <w:szCs w:val="12"/>
                <w:color w:val="auto"/>
              </w:rPr>
              <w:t xml:space="preserve">Lease revenue </w:t>
            </w:r>
            <w:r>
              <w:rPr>
                <w:rFonts w:ascii="Times New Roman" w:cs="Times New Roman" w:eastAsia="Times New Roman" w:hAnsi="Times New Roman"/>
                <w:sz w:val="15"/>
                <w:szCs w:val="15"/>
                <w:color w:val="auto"/>
                <w:vertAlign w:val="superscript"/>
              </w:rPr>
              <w:t>(2)</w:t>
            </w: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1,797</w:t>
            </w:r>
          </w:p>
        </w:tc>
      </w:tr>
      <w:tr>
        <w:trPr>
          <w:trHeight w:val="168"/>
        </w:trPr>
        <w:tc>
          <w:tcPr>
            <w:tcW w:w="61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revenue</w:t>
            </w:r>
          </w:p>
        </w:tc>
        <w:tc>
          <w:tcPr>
            <w:tcW w:w="7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70,950</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55,042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135,902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97,999</w:t>
            </w:r>
          </w:p>
        </w:tc>
      </w:tr>
      <w:tr>
        <w:trPr>
          <w:trHeight w:val="20"/>
        </w:trPr>
        <w:tc>
          <w:tcPr>
            <w:tcW w:w="6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80" w:firstLine="240"/>
        <w:spacing w:after="0" w:line="231" w:lineRule="auto"/>
        <w:tabs>
          <w:tab w:leader="none" w:pos="387"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Includes revenues of $4,671 and $4,525, respectively, for the three months ended June 30, 2024 and 2023, from customers domiciled outside of United States. For the six months ended June 30, 2024 and 2023, revenues include $8,288 and $9,693, respectively, from customers domiciled outside of United States.</w:t>
      </w:r>
    </w:p>
    <w:p>
      <w:pPr>
        <w:spacing w:after="0" w:line="118" w:lineRule="exact"/>
        <w:rPr>
          <w:rFonts w:ascii="Times New Roman" w:cs="Times New Roman" w:eastAsia="Times New Roman" w:hAnsi="Times New Roman"/>
          <w:sz w:val="18"/>
          <w:szCs w:val="18"/>
          <w:color w:val="auto"/>
          <w:vertAlign w:val="superscript"/>
        </w:rPr>
      </w:pPr>
    </w:p>
    <w:p>
      <w:pPr>
        <w:ind w:right="80" w:firstLine="240"/>
        <w:spacing w:after="0" w:line="210" w:lineRule="auto"/>
        <w:tabs>
          <w:tab w:leader="none" w:pos="39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Lease revenue relates to approximately twenty-nine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w:t>
      </w:r>
    </w:p>
    <w:p>
      <w:pPr>
        <w:spacing w:after="0" w:line="128"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For the three months ended June 30, 2024 and 2023, 12% and 27%, respectively of revenue was recognized over time, and the remainder was for products and services transferred at a point in time. For the six months ended June 30, 2024 and 2023, 14% and 23%, respectively of revenue was recognized over time, and the remainder was for products and services transferred at a point in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income</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shows the items consisting of items recorded as Other income:</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4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56"/>
        </w:trPr>
        <w:tc>
          <w:tcPr>
            <w:tcW w:w="4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4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on warrant exchange</w:t>
            </w:r>
          </w:p>
        </w:tc>
        <w:tc>
          <w:tcPr>
            <w:tcW w:w="420" w:type="dxa"/>
            <w:vAlign w:val="bottom"/>
            <w:tcBorders>
              <w:bottom w:val="single" w:sz="8" w:color="CCEEFF"/>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r>
      <w:tr>
        <w:trPr>
          <w:trHeight w:val="180"/>
        </w:trPr>
        <w:tc>
          <w:tcPr>
            <w:tcW w:w="40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xml:space="preserve">Gain on deconsolidation of VIEs </w:t>
            </w:r>
            <w:r>
              <w:rPr>
                <w:rFonts w:ascii="Times New Roman" w:cs="Times New Roman" w:eastAsia="Times New Roman" w:hAnsi="Times New Roman"/>
                <w:sz w:val="15"/>
                <w:szCs w:val="15"/>
                <w:color w:val="auto"/>
                <w:vertAlign w:val="superscript"/>
              </w:rPr>
              <w:t>(1)</w:t>
            </w:r>
          </w:p>
        </w:tc>
        <w:tc>
          <w:tcPr>
            <w:tcW w:w="4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122,873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122,873</w:t>
            </w:r>
          </w:p>
        </w:tc>
      </w:tr>
      <w:tr>
        <w:trPr>
          <w:trHeight w:val="180"/>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Gain on transfer of non-financial asset in exchange for services received </w:t>
            </w:r>
            <w:r>
              <w:rPr>
                <w:rFonts w:ascii="Times New Roman" w:cs="Times New Roman" w:eastAsia="Times New Roman" w:hAnsi="Times New Roman"/>
                <w:sz w:val="15"/>
                <w:szCs w:val="15"/>
                <w:color w:val="auto"/>
                <w:vertAlign w:val="superscript"/>
              </w:rPr>
              <w:t>(2)</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123,109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123,041</w:t>
            </w:r>
          </w:p>
        </w:tc>
      </w:tr>
      <w:tr>
        <w:trPr>
          <w:trHeight w:val="20"/>
        </w:trPr>
        <w:tc>
          <w:tcPr>
            <w:tcW w:w="4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0" w:hanging="120"/>
        <w:spacing w:after="0"/>
        <w:tabs>
          <w:tab w:leader="none" w:pos="600"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non-cash gain on deconsolidation of Emerald and Sapphire on May 30, 2023.</w:t>
      </w:r>
    </w:p>
    <w:p>
      <w:pPr>
        <w:spacing w:after="0" w:line="147" w:lineRule="exact"/>
        <w:rPr>
          <w:rFonts w:ascii="Times New Roman" w:cs="Times New Roman" w:eastAsia="Times New Roman" w:hAnsi="Times New Roman"/>
          <w:sz w:val="15"/>
          <w:szCs w:val="15"/>
          <w:color w:val="auto"/>
          <w:vertAlign w:val="superscript"/>
        </w:rPr>
      </w:pPr>
    </w:p>
    <w:p>
      <w:pPr>
        <w:ind w:left="600" w:hanging="120"/>
        <w:spacing w:after="0"/>
        <w:tabs>
          <w:tab w:leader="none" w:pos="600"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the fair value of RINs transferred as consideration for services received.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Balances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44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50"/>
        </w:trPr>
        <w:tc>
          <w:tcPr>
            <w:tcW w:w="8200" w:type="dxa"/>
            <w:vAlign w:val="bottom"/>
          </w:tcPr>
          <w:p>
            <w:pPr>
              <w:spacing w:after="0"/>
              <w:rPr>
                <w:sz w:val="13"/>
                <w:szCs w:val="13"/>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5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Accounts receivable, net</w:t>
            </w:r>
          </w:p>
        </w:tc>
        <w:tc>
          <w:tcPr>
            <w:tcW w:w="104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24,220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27,623</w:t>
            </w:r>
          </w:p>
        </w:tc>
        <w:tc>
          <w:tcPr>
            <w:tcW w:w="0" w:type="dxa"/>
            <w:vAlign w:val="bottom"/>
          </w:tcPr>
          <w:p>
            <w:pPr>
              <w:spacing w:after="0"/>
              <w:rPr>
                <w:sz w:val="1"/>
                <w:szCs w:val="1"/>
                <w:color w:val="auto"/>
              </w:rPr>
            </w:pPr>
          </w:p>
        </w:tc>
      </w:tr>
      <w:tr>
        <w:trPr>
          <w:trHeight w:val="159"/>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Contract assets: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 and estimated earnings in excess of billings</w:t>
            </w:r>
          </w:p>
        </w:tc>
        <w:tc>
          <w:tcPr>
            <w:tcW w:w="104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4,630</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retainage, net</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Contract assets total</w:t>
            </w: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Contract liabilities: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Billings in excess of costs and estimated earnings</w:t>
            </w:r>
          </w:p>
        </w:tc>
        <w:tc>
          <w:tcPr>
            <w:tcW w:w="104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6,314</w:t>
            </w:r>
          </w:p>
        </w:tc>
        <w:tc>
          <w:tcPr>
            <w:tcW w:w="0" w:type="dxa"/>
            <w:vAlign w:val="bottom"/>
          </w:tcPr>
          <w:p>
            <w:pPr>
              <w:spacing w:after="0"/>
              <w:rPr>
                <w:sz w:val="1"/>
                <w:szCs w:val="1"/>
                <w:color w:val="auto"/>
              </w:rPr>
            </w:pPr>
          </w:p>
        </w:tc>
      </w:tr>
      <w:tr>
        <w:trPr>
          <w:trHeight w:val="168"/>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Contract liabilities total</w:t>
            </w:r>
          </w:p>
        </w:tc>
        <w:tc>
          <w:tcPr>
            <w:tcW w:w="1040" w:type="dxa"/>
            <w:vAlign w:val="bottom"/>
            <w:tcBorders>
              <w:top w:val="single" w:sz="8" w:color="auto"/>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During the six months ended June 30, 2024, the Company recognized revenue of $3,746 that was included in "Contract liabilities" at December 31, 2023. During the six months ended June 30, 2023, the Company recognized revenue of $8,013 that was included in "Contract liabilities" at December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Environmental credits held for sale</w:t>
      </w:r>
    </w:p>
    <w:p>
      <w:pPr>
        <w:spacing w:after="0" w:line="12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3"/>
          <w:szCs w:val="13"/>
          <w:color w:val="auto"/>
        </w:rPr>
        <w:t>The Company provides dispensing and credit monetization services to OPAL owned facilities and third-party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reviewed to ensure it is recorded at lower of cost and net realizable value at each balance sheet date. Due to the historically higher LCFS pricing, the fair value at contract inception may be significantly higher than the net realizable value of the environmental credits generated at the period-end balance sheet date. For the three months ended June 30, 2024 and 2023, the Company recorded $3,694 and $1,797 as part of Cost of sales - Fuel Station Services in its condensed consolidated statements of operations to adjust environmental credits held for sale to lower of cost and net realizable value. For the six months ended June 30, 2024 and 2023, the Company recorded $6,850 and $3,015 as part of Cost of sales - Fuel Station Services in its condensed consolidated statements of operations to adjust environmental credits held for sale to lower of cost and net realizable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Fuel Station Services Construction Backlog</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Company's remaining performance obligations ("backlog") represent the unrecognized revenue value of its contract commitments. The Company's backlog may significantly vary each reporting period based on the timing of major new contract commitments. At June 30, 2024, the Company had a backlog of $42,814 of which $37,427 is anticipated to be recognized as revenue in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Major Maintenance</w:t>
      </w:r>
    </w:p>
    <w:p>
      <w:pPr>
        <w:spacing w:after="0" w:line="19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Major maintenance is a component of maintenance expense and encompasses overhauls of internal combustion engines, gas compressors and electrical generators. Major maintenance is expensed as incurred. Major maintenance expense was $2,464 and $2,154 for the three months ended June 30, 2024 and 2023 respectively, and is included in cost of sales — Renewable Power in the condensed consolidated statements of operations. For the six months ended June 30, 2024 and 2023 respectively, major maintenance expense included in cost of sales — Renewable Power was $5,373 and $4,230,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Vulnerability Due to Certain Concentrations</w:t>
      </w:r>
    </w:p>
    <w:p>
      <w:pPr>
        <w:spacing w:after="0" w:line="19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color w:val="auto"/>
        </w:rPr>
        <w:t>the nonperformance of the holders of its deposits, the Company does not expect the settlement of these transactions to have a material effect on its results of operations, cash flows or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12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 xml:space="preserve">The Company accounts for income taxes in accordance with ASC Topic 740, </w:t>
      </w:r>
      <w:r>
        <w:rPr>
          <w:rFonts w:ascii="Times New Roman" w:cs="Times New Roman" w:eastAsia="Times New Roman" w:hAnsi="Times New Roman"/>
          <w:sz w:val="13"/>
          <w:szCs w:val="13"/>
          <w:i w:val="1"/>
          <w:iCs w:val="1"/>
          <w:color w:val="auto"/>
        </w:rPr>
        <w:t>Accounting for Income Taxes</w:t>
      </w:r>
      <w:r>
        <w:rPr>
          <w:rFonts w:ascii="Times New Roman" w:cs="Times New Roman" w:eastAsia="Times New Roman" w:hAnsi="Times New Roman"/>
          <w:sz w:val="13"/>
          <w:szCs w:val="13"/>
          <w:color w:val="auto"/>
        </w:rPr>
        <w:t xml:space="preserve">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w:t>
      </w:r>
      <w:r>
        <w:rPr>
          <w:rFonts w:ascii="Times New Roman" w:cs="Times New Roman" w:eastAsia="Times New Roman" w:hAnsi="Times New Roman"/>
          <w:sz w:val="13"/>
          <w:szCs w:val="13"/>
          <w:i w:val="1"/>
          <w:iCs w:val="1"/>
          <w:color w:val="auto"/>
        </w:rPr>
        <w:t>Income Taxes; Interim Reporting</w:t>
      </w:r>
      <w:r>
        <w:rPr>
          <w:rFonts w:ascii="Times New Roman" w:cs="Times New Roman" w:eastAsia="Times New Roman" w:hAnsi="Times New Roman"/>
          <w:sz w:val="13"/>
          <w:szCs w:val="13"/>
          <w:color w:val="auto"/>
        </w:rPr>
        <w:t>. For interim periods, the Company estimates the annual effective income tax rate and applies the estimated rate to the year-to-date income or loss before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Significant Customers, Vendors and Concentration of Credit Risk</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For the three and six months ended June 30, 2024, two customers accounted for 53% of the revenue, respectively. For the three and six months ended June 30, 2023, three customers accounted for 47% and 46% of the revenue, respectively. At June 30, 2024, two customers accounted for 53% of accounts receivable. At December 31, 2023, two customers accounted for 54% of accounts receivable.</w:t>
      </w:r>
    </w:p>
    <w:p>
      <w:pPr>
        <w:spacing w:after="0" w:line="6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June 30, 2024</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one vendor accounted for 30% of the accounts payable. As of December 31, 2023, one vendor accounted for 32% of the accounts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Investment in Other Entities</w:t>
      </w:r>
    </w:p>
    <w:p>
      <w:pPr>
        <w:spacing w:after="0" w:line="11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77"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We continue to evaluate operational developments and the impact of the anticipated expansion of the operations of our existing equity method investments.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reclassified our portion of income (loss) from equity method investments to Operating income for all periods presented.</w:t>
      </w:r>
    </w:p>
    <w:p>
      <w:pPr>
        <w:spacing w:after="0" w:line="8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has elected to apply the cumulative earnings approach for classifying distributions received from equity method investees. Distributions are classified as cash inflows from operating activities unless they exceed the investor's cumulative equity in earnings, in which case the excess is classified as cash inflows from investing activities.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shows the movement in Investment in Other Entities: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8"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3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Pine Bend</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Noble Road</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GREP</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SJI</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Paragon</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Total</w:t>
            </w:r>
          </w:p>
        </w:tc>
      </w:tr>
      <w:tr>
        <w:trPr>
          <w:trHeight w:val="160"/>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Percentage of ownership</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0"/>
        </w:trPr>
        <w:tc>
          <w:tcPr>
            <w:tcW w:w="3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70"/>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21,062</w:t>
            </w:r>
          </w:p>
        </w:tc>
        <w:tc>
          <w:tcPr>
            <w:tcW w:w="8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22,174</w:t>
            </w:r>
          </w:p>
        </w:tc>
        <w:tc>
          <w:tcPr>
            <w:tcW w:w="8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2,015</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1,567</w:t>
            </w:r>
          </w:p>
        </w:tc>
        <w:tc>
          <w:tcPr>
            <w:tcW w:w="8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160,281</w:t>
            </w:r>
          </w:p>
        </w:tc>
        <w:tc>
          <w:tcPr>
            <w:tcW w:w="8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207,099</w:t>
            </w:r>
          </w:p>
        </w:tc>
      </w:tr>
      <w:tr>
        <w:trPr>
          <w:trHeight w:val="1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from equity method investment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2,135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3,030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6,248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10,864</w:t>
            </w:r>
          </w:p>
        </w:tc>
      </w:tr>
      <w:tr>
        <w:trPr>
          <w:trHeight w:val="170"/>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 by the Company</w:t>
            </w:r>
          </w:p>
        </w:tc>
        <w:tc>
          <w:tcPr>
            <w:tcW w:w="2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4,050</w:t>
            </w:r>
          </w:p>
        </w:tc>
        <w:tc>
          <w:tcPr>
            <w:tcW w:w="8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8,550</w:t>
            </w:r>
          </w:p>
        </w:tc>
      </w:tr>
      <w:tr>
        <w:trPr>
          <w:trHeight w:val="133"/>
        </w:trPr>
        <w:tc>
          <w:tcPr>
            <w:tcW w:w="31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Distributions from return on investment in equity</w:t>
            </w: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77"/>
        </w:trPr>
        <w:tc>
          <w:tcPr>
            <w:tcW w:w="31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3"/>
                <w:szCs w:val="13"/>
                <w:color w:val="auto"/>
              </w:rPr>
              <w:t xml:space="preserve">method investment </w:t>
            </w:r>
            <w:r>
              <w:rPr>
                <w:rFonts w:ascii="Times New Roman" w:cs="Times New Roman" w:eastAsia="Times New Roman" w:hAnsi="Times New Roman"/>
                <w:sz w:val="17"/>
                <w:szCs w:val="17"/>
                <w:color w:val="auto"/>
                <w:vertAlign w:val="superscript"/>
              </w:rPr>
              <w:t>(1</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(2,042)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(2,850)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(3,777)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(8,669)</w:t>
            </w:r>
          </w:p>
        </w:tc>
      </w:tr>
      <w:tr>
        <w:trPr>
          <w:trHeight w:val="133"/>
        </w:trPr>
        <w:tc>
          <w:tcPr>
            <w:tcW w:w="31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Distributions from return of investment in equity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77"/>
        </w:trPr>
        <w:tc>
          <w:tcPr>
            <w:tcW w:w="3160" w:type="dxa"/>
            <w:vAlign w:val="bottom"/>
          </w:tcPr>
          <w:p>
            <w:pPr>
              <w:ind w:left="20"/>
              <w:spacing w:after="0" w:line="177" w:lineRule="exact"/>
              <w:rPr>
                <w:sz w:val="20"/>
                <w:szCs w:val="20"/>
                <w:color w:val="auto"/>
              </w:rPr>
            </w:pPr>
            <w:r>
              <w:rPr>
                <w:rFonts w:ascii="Times New Roman" w:cs="Times New Roman" w:eastAsia="Times New Roman" w:hAnsi="Times New Roman"/>
                <w:sz w:val="13"/>
                <w:szCs w:val="13"/>
                <w:color w:val="auto"/>
              </w:rPr>
              <w:t xml:space="preserve">method investment </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5"/>
                <w:szCs w:val="15"/>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(2,364)</w:t>
            </w:r>
          </w:p>
        </w:tc>
        <w:tc>
          <w:tcPr>
            <w:tcW w:w="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(2,922)</w:t>
            </w:r>
          </w:p>
        </w:tc>
      </w:tr>
      <w:tr>
        <w:trPr>
          <w:trHeight w:val="1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r>
      <w:tr>
        <w:trPr>
          <w:trHeight w:val="170"/>
        </w:trPr>
        <w:tc>
          <w:tcPr>
            <w:tcW w:w="31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Amortization of basis difference </w:t>
            </w:r>
            <w:r>
              <w:rPr>
                <w:rFonts w:ascii="Times New Roman" w:cs="Times New Roman" w:eastAsia="Times New Roman" w:hAnsi="Times New Roman"/>
                <w:sz w:val="17"/>
                <w:szCs w:val="17"/>
                <w:color w:val="auto"/>
                <w:vertAlign w:val="superscript"/>
              </w:rPr>
              <w:t>(3)</w:t>
            </w:r>
          </w:p>
        </w:tc>
        <w:tc>
          <w:tcPr>
            <w:tcW w:w="20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(2,470)</w:t>
            </w:r>
          </w:p>
        </w:tc>
        <w:tc>
          <w:tcPr>
            <w:tcW w:w="8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w:t>
            </w:r>
          </w:p>
        </w:tc>
      </w:tr>
      <w:tr>
        <w:trPr>
          <w:trHeight w:val="18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30, 2024</w:t>
            </w: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20,504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22,059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5,809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162,483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212,579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140" w:hanging="140"/>
        <w:spacing w:after="0"/>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as part of cash flows from operating activities for the six months ended June 30, 2024.</w:t>
      </w:r>
    </w:p>
    <w:p>
      <w:pPr>
        <w:spacing w:after="0" w:line="104" w:lineRule="exact"/>
        <w:rPr>
          <w:rFonts w:ascii="Times New Roman" w:cs="Times New Roman" w:eastAsia="Times New Roman" w:hAnsi="Times New Roman"/>
          <w:sz w:val="17"/>
          <w:szCs w:val="17"/>
          <w:color w:val="auto"/>
          <w:vertAlign w:val="superscript"/>
        </w:rPr>
      </w:pPr>
    </w:p>
    <w:p>
      <w:pPr>
        <w:ind w:left="140" w:hanging="140"/>
        <w:spacing w:after="0"/>
        <w:tabs>
          <w:tab w:leader="none" w:pos="14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as part of cash flows from investing activities for the six months ended June 30, 2024.</w:t>
      </w:r>
    </w:p>
    <w:p>
      <w:pPr>
        <w:spacing w:after="0" w:line="117" w:lineRule="exact"/>
        <w:rPr>
          <w:rFonts w:ascii="Times New Roman" w:cs="Times New Roman" w:eastAsia="Times New Roman" w:hAnsi="Times New Roman"/>
          <w:sz w:val="17"/>
          <w:szCs w:val="17"/>
          <w:color w:val="auto"/>
          <w:vertAlign w:val="superscript"/>
        </w:rPr>
      </w:pPr>
    </w:p>
    <w:p>
      <w:pPr>
        <w:ind w:left="240" w:right="3220" w:hanging="240"/>
        <w:spacing w:after="0" w:line="429" w:lineRule="auto"/>
        <w:tabs>
          <w:tab w:leader="none" w:pos="134"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Reflected in Income from equity method investments in the condensed consolidated statement of operations for the six months ended June 30, 2024. The following table summarizes the net income from equity method investments: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6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5"/>
        </w:trPr>
        <w:tc>
          <w:tcPr>
            <w:tcW w:w="49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102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25,567</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6,925</w:t>
            </w: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50,974</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14,464</w:t>
            </w:r>
          </w:p>
        </w:tc>
      </w:tr>
      <w:tr>
        <w:trPr>
          <w:trHeight w:val="156"/>
        </w:trPr>
        <w:tc>
          <w:tcPr>
            <w:tcW w:w="4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8,225</w:t>
            </w: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9,876</w:t>
            </w:r>
          </w:p>
        </w:tc>
      </w:tr>
      <w:tr>
        <w:trPr>
          <w:trHeight w:val="24"/>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6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8,693</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w:t>
            </w:r>
          </w:p>
        </w:tc>
        <w:tc>
          <w:tcPr>
            <w:tcW w:w="4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19,397</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(2,899)</w:t>
            </w:r>
          </w:p>
        </w:tc>
      </w:tr>
      <w:tr>
        <w:trPr>
          <w:trHeight w:val="200"/>
        </w:trPr>
        <w:tc>
          <w:tcPr>
            <w:tcW w:w="4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Net (loss) income from equity method investments </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r>
    </w:tbl>
    <w:p>
      <w:pPr>
        <w:spacing w:after="0" w:line="217" w:lineRule="exact"/>
        <w:rPr>
          <w:sz w:val="20"/>
          <w:szCs w:val="20"/>
          <w:color w:val="auto"/>
        </w:rPr>
      </w:pPr>
    </w:p>
    <w:p>
      <w:pPr>
        <w:ind w:left="120" w:hanging="120"/>
        <w:spacing w:after="0"/>
        <w:tabs>
          <w:tab w:leader="none" w:pos="12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Net income from equity method investments represents our portion of the net income from equity method investments including amortization of any basis differences.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Property, Plant, and Equipment, Net</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Property, plant, and equipment, net, consisted of the following as of June 30, 2024 and December 31, 2023:</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0"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0"/>
        </w:trPr>
        <w:tc>
          <w:tcPr>
            <w:tcW w:w="8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40" w:type="dxa"/>
            <w:vAlign w:val="bottom"/>
          </w:tcPr>
          <w:p>
            <w:pPr>
              <w:spacing w:after="0"/>
              <w:rPr>
                <w:sz w:val="12"/>
                <w:szCs w:val="12"/>
                <w:color w:val="auto"/>
              </w:rPr>
            </w:pP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4"/>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Plant and equipment</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262,264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205,188</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CNG/RNG fueling stations</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51,749</w:t>
            </w:r>
          </w:p>
        </w:tc>
      </w:tr>
      <w:tr>
        <w:trPr>
          <w:trHeight w:val="24"/>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Construction in progress </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175,060</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Buildings</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2,585</w:t>
            </w:r>
          </w:p>
        </w:tc>
      </w:tr>
      <w:tr>
        <w:trPr>
          <w:trHeight w:val="24"/>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w:t>
            </w: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Service equipment</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2,481</w:t>
            </w:r>
          </w:p>
        </w:tc>
      </w:tr>
      <w:tr>
        <w:trPr>
          <w:trHeight w:val="24"/>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Leasehold improvements</w:t>
            </w: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Vehicles</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w:t>
            </w:r>
          </w:p>
        </w:tc>
      </w:tr>
      <w:tr>
        <w:trPr>
          <w:trHeight w:val="24"/>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Office furniture and equipment</w:t>
            </w: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Computer software</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r>
      <w:tr>
        <w:trPr>
          <w:trHeight w:val="24"/>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 lease - finance lease</w:t>
            </w: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6,469</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Vehicles - finance leases</w:t>
            </w: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w:t>
            </w:r>
          </w:p>
        </w:tc>
      </w:tr>
      <w:tr>
        <w:trPr>
          <w:trHeight w:val="24"/>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r>
      <w:tr>
        <w:trPr>
          <w:trHeight w:val="146"/>
        </w:trPr>
        <w:tc>
          <w:tcPr>
            <w:tcW w:w="8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494,983</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449,894</w:t>
            </w:r>
          </w:p>
        </w:tc>
      </w:tr>
      <w:tr>
        <w:trPr>
          <w:trHeight w:val="24"/>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3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(109,528)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(110,401)</w:t>
            </w:r>
          </w:p>
        </w:tc>
      </w:tr>
      <w:tr>
        <w:trPr>
          <w:trHeight w:val="168"/>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385,455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339,493</w:t>
            </w:r>
          </w:p>
        </w:tc>
      </w:tr>
      <w:tr>
        <w:trPr>
          <w:trHeight w:val="20"/>
        </w:trPr>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(1) Includes $1,055 and $5,475 of capitalized interest on our OPAL Term Loan facility for the six months ended June 30, 2024 and for the year ended December 31, 2023.</w:t>
      </w:r>
    </w:p>
    <w:p>
      <w:pPr>
        <w:spacing w:after="0" w:line="91"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On October 20, 2023, our wholly owned subsidiary entered into an Asset Purchase and Sale Agreement (for the purposes of this paragraph, the “Agreement”) with Washington Gas Light Company ("WGL"). The subsidiary constructed an RNG production facility at the Prince William County landfill located in Manassas, Virginia,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is on or prior to October 20, 2024. During the second quarter of 2024, the agreement has been amended to move the closing date to first quarter of 2025. As of June 30, 2024, we have recorded capital expenditure of $2,881 which is included in the Property, Plant and Equipment on our condensed consolidated balance sheet.</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 xml:space="preserve">As of June 30, 2024, the Construction in progress consists of capital expenditures on construction of RNG generation facilities including, but not limited to Polk County, Cottonwood, Central Valley RNG projects and RNG dispensing facilities. Polk County is expected to be operational in the fourth quarter of 2024. The remaining facilities except Central Valley RNG projects, for which costs are in construction in progress as of June 30, 2024, are expected to be operational during 2025. Regarding the Central Valley RNG projects, please refer to Note 17. </w:t>
      </w:r>
      <w:r>
        <w:rPr>
          <w:rFonts w:ascii="Times New Roman" w:cs="Times New Roman" w:eastAsia="Times New Roman" w:hAnsi="Times New Roman"/>
          <w:sz w:val="13"/>
          <w:szCs w:val="13"/>
          <w:i w:val="1"/>
          <w:iCs w:val="1"/>
          <w:color w:val="auto"/>
        </w:rPr>
        <w:t>Commitments and Contingencies</w:t>
      </w:r>
      <w:r>
        <w:rPr>
          <w:rFonts w:ascii="Times New Roman" w:cs="Times New Roman" w:eastAsia="Times New Roman" w:hAnsi="Times New Roman"/>
          <w:sz w:val="13"/>
          <w:szCs w:val="13"/>
          <w:color w:val="auto"/>
        </w:rPr>
        <w:t xml:space="preserve"> for additional information.</w:t>
      </w:r>
    </w:p>
    <w:p>
      <w:pPr>
        <w:spacing w:after="0" w:line="4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Depreciation expense on property, plant, and equipment for the three months ended June 30, 2024 and 2023 was $4,076 and $3,372, respectively. The depreciation expense for the six months ended June 30, 2024 and June 30, 2023 was $7,569 and $6,677,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Intangible Assets, Net</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Intangible assets, net, consisted of the following at June 30, 2024 and December 31, 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3"/>
          </w:tcPr>
          <w:p>
            <w:pPr>
              <w:ind w:left="112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4"/>
        </w:trPr>
        <w:tc>
          <w:tcPr>
            <w:tcW w:w="4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47"/>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r>
      <w:tr>
        <w:trPr>
          <w:trHeight w:val="140"/>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40"/>
        </w:trPr>
        <w:tc>
          <w:tcPr>
            <w:tcW w:w="4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Intangible</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r>
      <w:tr>
        <w:trPr>
          <w:trHeight w:val="150"/>
        </w:trPr>
        <w:tc>
          <w:tcPr>
            <w:tcW w:w="4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60" w:type="dxa"/>
            <w:vAlign w:val="bottom"/>
          </w:tcPr>
          <w:p>
            <w:pPr>
              <w:spacing w:after="0"/>
              <w:rPr>
                <w:sz w:val="13"/>
                <w:szCs w:val="13"/>
                <w:color w:val="auto"/>
              </w:rPr>
            </w:pP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Period</w:t>
            </w:r>
          </w:p>
        </w:tc>
      </w:tr>
      <w:tr>
        <w:trPr>
          <w:trHeight w:val="166"/>
        </w:trPr>
        <w:tc>
          <w:tcPr>
            <w:tcW w:w="4440" w:type="dxa"/>
            <w:vAlign w:val="bottom"/>
          </w:tcPr>
          <w:p>
            <w:pPr>
              <w:spacing w:after="0"/>
              <w:rPr>
                <w:sz w:val="14"/>
                <w:szCs w:val="14"/>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46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(Years)</w:t>
            </w:r>
          </w:p>
        </w:tc>
      </w:tr>
      <w:tr>
        <w:trPr>
          <w:trHeight w:val="15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Power purchase agreements</w:t>
            </w:r>
          </w:p>
        </w:tc>
        <w:tc>
          <w:tcPr>
            <w:tcW w:w="110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8,999</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(7,536)</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1,463</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r>
      <w:tr>
        <w:trPr>
          <w:trHeight w:val="24"/>
        </w:trPr>
        <w:tc>
          <w:tcPr>
            <w:tcW w:w="4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47"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5"/>
        </w:trPr>
        <w:tc>
          <w:tcPr>
            <w:tcW w:w="4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Transmission/distribution interconnection</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24"/>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8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Intellectual property</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43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9"/>
              </w:rPr>
              <w:t>(40)</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intangible assets</w:t>
            </w:r>
          </w:p>
        </w:tc>
        <w:tc>
          <w:tcPr>
            <w:tcW w:w="1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10,642</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(9,176)</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gridSpan w:val="5"/>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37"/>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50"/>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40"/>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8"/>
              </w:rPr>
              <w:t>Intangible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Amortization</w:t>
            </w:r>
          </w:p>
        </w:tc>
      </w:tr>
      <w:tr>
        <w:trPr>
          <w:trHeight w:val="140"/>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Period</w:t>
            </w:r>
          </w:p>
        </w:tc>
      </w:tr>
      <w:tr>
        <w:trPr>
          <w:trHeight w:val="176"/>
        </w:trPr>
        <w:tc>
          <w:tcPr>
            <w:tcW w:w="4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(years)</w:t>
            </w:r>
          </w:p>
        </w:tc>
        <w:tc>
          <w:tcPr>
            <w:tcW w:w="320" w:type="dxa"/>
            <w:vAlign w:val="bottom"/>
          </w:tcPr>
          <w:p>
            <w:pPr>
              <w:spacing w:after="0"/>
              <w:rPr>
                <w:sz w:val="15"/>
                <w:szCs w:val="15"/>
                <w:color w:val="auto"/>
              </w:rPr>
            </w:pPr>
          </w:p>
        </w:tc>
      </w:tr>
      <w:tr>
        <w:trPr>
          <w:trHeight w:val="15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Power purchase agreements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(7,926)</w:t>
            </w:r>
          </w:p>
        </w:tc>
        <w:tc>
          <w:tcPr>
            <w:tcW w:w="22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320" w:type="dxa"/>
            <w:vAlign w:val="bottom"/>
          </w:tcPr>
          <w:p>
            <w:pPr>
              <w:spacing w:after="0"/>
              <w:rPr>
                <w:sz w:val="13"/>
                <w:szCs w:val="13"/>
                <w:color w:val="auto"/>
              </w:rPr>
            </w:pPr>
          </w:p>
        </w:tc>
      </w:tr>
      <w:tr>
        <w:trPr>
          <w:trHeight w:val="156"/>
        </w:trPr>
        <w:tc>
          <w:tcPr>
            <w:tcW w:w="4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Transmission/distribution interconnection</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320" w:type="dxa"/>
            <w:vAlign w:val="bottom"/>
          </w:tcPr>
          <w:p>
            <w:pPr>
              <w:spacing w:after="0"/>
              <w:rPr>
                <w:sz w:val="13"/>
                <w:szCs w:val="13"/>
                <w:color w:val="auto"/>
              </w:rPr>
            </w:pPr>
          </w:p>
        </w:tc>
      </w:tr>
      <w:tr>
        <w:trPr>
          <w:trHeight w:val="24"/>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8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Intellectual property</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320" w:type="dxa"/>
            <w:vAlign w:val="bottom"/>
          </w:tcPr>
          <w:p>
            <w:pPr>
              <w:spacing w:after="0"/>
              <w:rPr>
                <w:sz w:val="15"/>
                <w:szCs w:val="15"/>
                <w:color w:val="auto"/>
              </w:rPr>
            </w:pPr>
          </w:p>
        </w:tc>
      </w:tr>
      <w:tr>
        <w:trPr>
          <w:trHeight w:val="168"/>
        </w:trPr>
        <w:tc>
          <w:tcPr>
            <w:tcW w:w="4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(9,038)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5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Amortization expense for the three and six months ended June 30, 2024 was $71 and $138, respectively. Amortization expense for the three and six months ended June 30, 2023 was $153 and $313, respectively. At June 30, 2024, estimated future amortization expense for intangible assets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Six months ended December 31, 2024</w:t>
            </w: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r>
      <w:tr>
        <w:trPr>
          <w:trHeight w:val="156"/>
        </w:trPr>
        <w:tc>
          <w:tcPr>
            <w:tcW w:w="9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Fiscal year:</w:t>
            </w: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4"/>
        </w:trPr>
        <w:tc>
          <w:tcPr>
            <w:tcW w:w="9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2025</w:t>
            </w: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w:t>
            </w:r>
          </w:p>
        </w:tc>
      </w:tr>
      <w:tr>
        <w:trPr>
          <w:trHeight w:val="156"/>
        </w:trPr>
        <w:tc>
          <w:tcPr>
            <w:tcW w:w="9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r>
      <w:tr>
        <w:trPr>
          <w:trHeight w:val="24"/>
        </w:trPr>
        <w:tc>
          <w:tcPr>
            <w:tcW w:w="9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2027</w:t>
            </w: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156"/>
        </w:trPr>
        <w:tc>
          <w:tcPr>
            <w:tcW w:w="9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2028</w:t>
            </w:r>
          </w:p>
        </w:tc>
        <w:tc>
          <w:tcPr>
            <w:tcW w:w="6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24"/>
        </w:trPr>
        <w:tc>
          <w:tcPr>
            <w:tcW w:w="9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r>
      <w:tr>
        <w:trPr>
          <w:trHeight w:val="146"/>
        </w:trPr>
        <w:tc>
          <w:tcPr>
            <w:tcW w:w="9800" w:type="dxa"/>
            <w:vAlign w:val="bottom"/>
          </w:tcPr>
          <w:p>
            <w:pPr>
              <w:spacing w:after="0"/>
              <w:rPr>
                <w:sz w:val="12"/>
                <w:szCs w:val="12"/>
                <w:color w:val="auto"/>
              </w:rPr>
            </w:pPr>
          </w:p>
        </w:tc>
        <w:tc>
          <w:tcPr>
            <w:tcW w:w="62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1,466</w:t>
            </w:r>
          </w:p>
        </w:tc>
      </w:tr>
      <w:tr>
        <w:trPr>
          <w:trHeight w:val="24"/>
        </w:trPr>
        <w:tc>
          <w:tcPr>
            <w:tcW w:w="9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Goodwill</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changes in goodwill, if any, by reporting segment from the beginning of the period to the end of the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RNG Fuel</w:t>
            </w:r>
          </w:p>
        </w:tc>
        <w:tc>
          <w:tcPr>
            <w:tcW w:w="1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Fuel Station Services</w:t>
            </w:r>
          </w:p>
        </w:tc>
        <w:tc>
          <w:tcPr>
            <w:tcW w:w="340" w:type="dxa"/>
            <w:vAlign w:val="bottom"/>
          </w:tcPr>
          <w:p>
            <w:pPr>
              <w:spacing w:after="0"/>
              <w:rPr>
                <w:sz w:val="13"/>
                <w:szCs w:val="13"/>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4"/>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0"/>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51,155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3,453</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54,608</w:t>
            </w:r>
          </w:p>
        </w:tc>
      </w:tr>
      <w:tr>
        <w:trPr>
          <w:trHeight w:val="168"/>
        </w:trPr>
        <w:tc>
          <w:tcPr>
            <w:tcW w:w="6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2024</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51,155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3,453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54,608</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Borrowings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borrowings under the various debt facilities as of June 30, 2024 and December 31, 2023:</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41"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59"/>
        </w:trPr>
        <w:tc>
          <w:tcPr>
            <w:tcW w:w="7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4"/>
        </w:trPr>
        <w:tc>
          <w:tcPr>
            <w:tcW w:w="7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OPAL Term Loan</w:t>
            </w:r>
          </w:p>
        </w:tc>
        <w:tc>
          <w:tcPr>
            <w:tcW w:w="5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211,618</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186,618</w:t>
            </w:r>
          </w:p>
        </w:tc>
      </w:tr>
      <w:tr>
        <w:trPr>
          <w:trHeight w:val="156"/>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5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(10,086)</w:t>
            </w:r>
          </w:p>
        </w:tc>
      </w:tr>
      <w:tr>
        <w:trPr>
          <w:trHeight w:val="24"/>
        </w:trPr>
        <w:tc>
          <w:tcPr>
            <w:tcW w:w="7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6"/>
        </w:trPr>
        <w:tc>
          <w:tcPr>
            <w:tcW w:w="7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OPAL Term Loan, net of debt issuance costs</w:t>
            </w:r>
          </w:p>
        </w:tc>
        <w:tc>
          <w:tcPr>
            <w:tcW w:w="5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198,342</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176,532</w:t>
            </w:r>
          </w:p>
        </w:tc>
      </w:tr>
      <w:tr>
        <w:trPr>
          <w:trHeight w:val="24"/>
        </w:trPr>
        <w:tc>
          <w:tcPr>
            <w:tcW w:w="7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Sunoma Loan</w:t>
            </w:r>
          </w:p>
        </w:tc>
        <w:tc>
          <w:tcPr>
            <w:tcW w:w="5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21,672</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22,453</w:t>
            </w:r>
          </w:p>
        </w:tc>
      </w:tr>
      <w:tr>
        <w:trPr>
          <w:trHeight w:val="156"/>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unamortized debt issuance costs</w:t>
            </w:r>
          </w:p>
        </w:tc>
        <w:tc>
          <w:tcPr>
            <w:tcW w:w="5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w:t>
            </w:r>
          </w:p>
        </w:tc>
      </w:tr>
      <w:tr>
        <w:trPr>
          <w:trHeight w:val="24"/>
        </w:trPr>
        <w:tc>
          <w:tcPr>
            <w:tcW w:w="7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r>
      <w:tr>
        <w:trPr>
          <w:trHeight w:val="146"/>
        </w:trPr>
        <w:tc>
          <w:tcPr>
            <w:tcW w:w="7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Sunoma Loan, net of debt issuance costs</w:t>
            </w:r>
          </w:p>
        </w:tc>
        <w:tc>
          <w:tcPr>
            <w:tcW w:w="5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19,193</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20,010</w:t>
            </w:r>
          </w:p>
        </w:tc>
      </w:tr>
      <w:tr>
        <w:trPr>
          <w:trHeight w:val="24"/>
        </w:trPr>
        <w:tc>
          <w:tcPr>
            <w:tcW w:w="7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Non-current borrowings total</w:t>
            </w: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217,535</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196,542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June 30, 2024, principal maturities of debt are expected as follows, excluding any undrawn debt facilities as of the date of the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60" w:type="dxa"/>
            <w:vAlign w:val="bottom"/>
            <w:tcBorders>
              <w:bottom w:val="single" w:sz="8" w:color="BFE4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OPAL Term Loan</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Sunoma Loan</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7"/>
        </w:trPr>
        <w:tc>
          <w:tcPr>
            <w:tcW w:w="56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Six months ending December 31, 2024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w:t>
            </w:r>
          </w:p>
        </w:tc>
      </w:tr>
      <w:tr>
        <w:trPr>
          <w:trHeight w:val="156"/>
        </w:trPr>
        <w:tc>
          <w:tcPr>
            <w:tcW w:w="5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Fiscal year: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10,094</w:t>
            </w:r>
          </w:p>
        </w:tc>
      </w:tr>
      <w:tr>
        <w:trPr>
          <w:trHeight w:val="156"/>
        </w:trPr>
        <w:tc>
          <w:tcPr>
            <w:tcW w:w="5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9,907</w:t>
            </w:r>
          </w:p>
        </w:tc>
      </w:tr>
      <w:tr>
        <w:trPr>
          <w:trHeight w:val="24"/>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9,746</w:t>
            </w:r>
          </w:p>
        </w:tc>
      </w:tr>
      <w:tr>
        <w:trPr>
          <w:trHeight w:val="178"/>
        </w:trPr>
        <w:tc>
          <w:tcPr>
            <w:tcW w:w="5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187,576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189,789</w:t>
            </w: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12,928</w:t>
            </w:r>
          </w:p>
        </w:tc>
      </w:tr>
      <w:tr>
        <w:trPr>
          <w:trHeight w:val="148"/>
        </w:trPr>
        <w:tc>
          <w:tcPr>
            <w:tcW w:w="56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211,618</w:t>
            </w:r>
          </w:p>
        </w:tc>
        <w:tc>
          <w:tcPr>
            <w:tcW w:w="10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21,672</w:t>
            </w:r>
          </w:p>
        </w:tc>
        <w:tc>
          <w:tcPr>
            <w:tcW w:w="8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233,290</w:t>
            </w:r>
          </w:p>
        </w:tc>
      </w:tr>
      <w:tr>
        <w:trPr>
          <w:trHeight w:val="24"/>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OPAL Term Loan</w:t>
      </w:r>
    </w:p>
    <w:p>
      <w:pPr>
        <w:spacing w:after="0" w:line="15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October 22, 2021, OPAL Fuels Intermediate Holding Company LLC (“OPAL Intermediate Holdco”), an indirect wholly-owned subsidiary of the Company, entered into a $125,000 term loan agreement (the "OPAL Term Loan") with a syndicate of lenders.</w:t>
      </w:r>
    </w:p>
    <w:p>
      <w:pPr>
        <w:spacing w:after="0" w:line="54"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spacing w:after="0" w:line="80"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Credit Agreement provides for up to $450.0 million of initial and delayed draw term loans (with such delayed draw term loans available for up to 18 months after closing) and $50.0 million of revolving loans. The proceeds from the facility are expected to be used to fund other general corporate purposes of the Borrower and Guarantors. The Company paid transaction fees and expenses in the amount of approximately $9,976. The amounts outstanding under the Credit Agreement are secured by the assets of the indirect subsidiaries of OPAL Intermediate Holdco.</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As of June 30, 2024 and December 31, 2023, the outstanding loan balance (current and non-current) excluding deferred financing costs was $211,618 and $186,618, respectively. During the second quarter of 2024, the Company drew down an additional $25,000. Additionally, the Company utilized $13,694 of availability under the revolver loan to provide for the issuance of letters of credit to support the operations of the Borrower and the Guarantors.</w:t>
      </w:r>
    </w:p>
    <w:p>
      <w:pPr>
        <w:spacing w:after="0" w:line="6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outstanding loans under the Credit Agreement initially bear interest at an annual rate of Term SOFR plus 3.5%, increasing by 0.25% per annum during the term. Commencing March 31, 2025, the outstanding principal amount of the term loans amortizes at a rate of 1% per quarter and the Borrower is obligated to pay a leverage based cash sweep ranging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9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color w:val="auto"/>
        </w:rPr>
        <w:t>from 25% to 100% of distributable cash of Borrower and the Guarantors, and subject to certain other mandatory prepayment requirements. The term loans and revolving loans mature on September 1, 2028.</w:t>
      </w:r>
    </w:p>
    <w:p>
      <w:pPr>
        <w:spacing w:after="0" w:line="111"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June 30, 2024, the Company is in compliance with the financial covenants under the OPAL Term Loan. Additionally, the OPAL Term Loan contains restrictions on distributions and additional indebtedness.</w:t>
      </w:r>
    </w:p>
    <w:p>
      <w:pPr>
        <w:spacing w:after="0" w:line="147"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Sunoma Loan</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August 27, 2020, Sunoma, an indirect wholly-owned subsidiary of the Company entered into a debt agreement (the "Sunoma Loan Agreement") with Live Oak Banking Company for an aggregate principal amount of $20,000. Sunoma paid $635 as financing fees. The amounts outstanding under the Sunoma Loan are secured by the assets of Sunoma.</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Sunoma Loan Agreement contains certain financial covenants which require Sunoma to maintain (i) maximum debt to net worth ratio not to exceed 5:1 (ii) a minimum current ratio not less than 1.0 and</w:t>
      </w:r>
    </w:p>
    <w:p>
      <w:pPr>
        <w:spacing w:after="0" w:line="23" w:lineRule="exact"/>
        <w:rPr>
          <w:sz w:val="20"/>
          <w:szCs w:val="20"/>
          <w:color w:val="auto"/>
        </w:rPr>
      </w:pPr>
    </w:p>
    <w:p>
      <w:pPr>
        <w:spacing w:after="0" w:line="274" w:lineRule="auto"/>
        <w:tabs>
          <w:tab w:leader="none" w:pos="24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minimum debt service coverage ratio of trailing four quarters not less than 1.25. On July 19, 2022, Sunoma completed the conversion of the construction loan into a permanent loan and increased the commitment from $20,000 to $23,000. As of June 30, 2024, Sunoma in compliance with the financial covenants under the Sunoma Loan Agreement.</w:t>
      </w:r>
    </w:p>
    <w:p>
      <w:pPr>
        <w:spacing w:after="0" w:line="76"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borrowings under the Sunoma Loan Agreement bear interest at the rate of prime rate plus 3.5% or 7.75% and have a maturity date of July 19, 2033. The Company is required to pay a quarterly amortization of principal of $380 beginning in October 2023.</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June 30, 2024 and December 31, 2023, the outstanding loan balance (current and non-current) excluding deferred financing costs was $21,672 and $22,453, respectively.</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The significant assets of Sunoma are parenthesized in the condensed consolidated balance sheets as June 30, 2024 and December 31, 2023. See Note 12. </w:t>
      </w:r>
      <w:r>
        <w:rPr>
          <w:rFonts w:ascii="Times New Roman" w:cs="Times New Roman" w:eastAsia="Times New Roman" w:hAnsi="Times New Roman"/>
          <w:sz w:val="13"/>
          <w:szCs w:val="13"/>
          <w:i w:val="1"/>
          <w:iCs w:val="1"/>
          <w:color w:val="auto"/>
        </w:rPr>
        <w:t>Variable Interest Entities</w:t>
      </w:r>
      <w:r>
        <w:rPr>
          <w:rFonts w:ascii="Times New Roman" w:cs="Times New Roman" w:eastAsia="Times New Roman" w:hAnsi="Times New Roman"/>
          <w:sz w:val="13"/>
          <w:szCs w:val="13"/>
          <w:color w:val="auto"/>
        </w:rPr>
        <w:t xml:space="preserve">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Convertible Note Payable</w:t>
      </w:r>
    </w:p>
    <w:p>
      <w:pPr>
        <w:spacing w:after="0" w:line="10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May 1, 2021, the Company acquired the remaining ownership interests in Beacon and signed an unsecured, contingently convertible note (the "Convertible Note Payable") with Ares for a total aggregate amount for $50,000 at an interest rate of 8.00% per annum.</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repaid the outstanding balance in full on September 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Municipality Loan</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FM3, an indirect wholly-owned subsidiary of the Company, entered into a loan agreement for the construction of an interconnection that was initially funded by the municipality. The loan was fully repaid in April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Senior Secured Credit Facility</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28" w:name="page29"/>
    <w:bookmarkEnd w:id="28"/>
    <w:p>
      <w:pPr>
        <w:ind w:left="240"/>
        <w:spacing w:after="0"/>
        <w:rPr>
          <w:sz w:val="20"/>
          <w:szCs w:val="20"/>
          <w:color w:val="auto"/>
        </w:rPr>
      </w:pPr>
      <w:r>
        <w:rPr>
          <w:rFonts w:ascii="Times New Roman" w:cs="Times New Roman" w:eastAsia="Times New Roman" w:hAnsi="Times New Roman"/>
          <w:sz w:val="13"/>
          <w:szCs w:val="13"/>
          <w:color w:val="auto"/>
        </w:rPr>
        <w:t>On March 20, 2023, the Company repaid in full the remaining outstanding loan under this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2024</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and six months ended June 30, 2024, the weighted average effective interest rate including amortization of debt issuance costs on OPAL Term Loan was 9.3% and 7.9%,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and six months ended June 30, 2024, the interest rate on the Sunoma Loan was 8.5% and 8.4%,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2023</w:t>
      </w:r>
    </w:p>
    <w:p>
      <w:pPr>
        <w:spacing w:after="0" w:line="163" w:lineRule="exact"/>
        <w:rPr>
          <w:sz w:val="20"/>
          <w:szCs w:val="20"/>
          <w:color w:val="auto"/>
        </w:rPr>
      </w:pPr>
    </w:p>
    <w:p>
      <w:pPr>
        <w:ind w:firstLine="24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June 30, 2023, the weighted average effective interest rate on the Senior Secured Credit Facility including amortization of debt issuance costs on Senior Secured Credit Facility was 5.6% including a margin plus LIBOR. The facility was fully repaid in March 2023.</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and six months ended June 30, 2023, the weighted average effective interest rate on OPAL Term Loan including amortization of debt issuance costs was 9.2% and 8.8%.</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three and six months ended June 30, 2023, the interest rate on the Sunoma loan was 8.0%.</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and six months ended June 30, 2023, the payment-in-kind interest rate on Convertible Note Payable was 8.0%.</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three and six months ended June 30, 2023, the weighted average interest rate on Municipality loan was 3.0%.</w:t>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Company's total interest expense for the three and six months ended June 30,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760" w:type="dxa"/>
            <w:vAlign w:val="bottom"/>
            <w:shd w:val="clear" w:color="auto" w:fill="CCEEFF"/>
          </w:tcPr>
          <w:p>
            <w:pPr>
              <w:spacing w:after="0"/>
              <w:rPr>
                <w:sz w:val="14"/>
                <w:szCs w:val="14"/>
                <w:color w:val="auto"/>
              </w:rPr>
            </w:pPr>
          </w:p>
        </w:tc>
      </w:tr>
      <w:tr>
        <w:trPr>
          <w:trHeight w:val="197"/>
        </w:trPr>
        <w:tc>
          <w:tcPr>
            <w:tcW w:w="5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3"/>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60" w:type="dxa"/>
            <w:vAlign w:val="bottom"/>
            <w:tcBorders>
              <w:bottom w:val="single" w:sz="8" w:color="CCEEFF"/>
            </w:tcBorders>
            <w:shd w:val="clear" w:color="auto" w:fill="CCEEFF"/>
          </w:tcPr>
          <w:p>
            <w:pPr>
              <w:spacing w:after="0"/>
              <w:rPr>
                <w:sz w:val="17"/>
                <w:szCs w:val="17"/>
                <w:color w:val="auto"/>
              </w:rPr>
            </w:pPr>
          </w:p>
        </w:tc>
      </w:tr>
      <w:tr>
        <w:trPr>
          <w:trHeight w:val="175"/>
        </w:trPr>
        <w:tc>
          <w:tcPr>
            <w:tcW w:w="5060" w:type="dxa"/>
            <w:vAlign w:val="bottom"/>
            <w:tcBorders>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Secured Credit Facility</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Note Payable mark-to-market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r>
      <w:tr>
        <w:trPr>
          <w:trHeight w:val="19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Sunoma Loan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r>
      <w:tr>
        <w:trPr>
          <w:trHeight w:val="190"/>
        </w:trPr>
        <w:tc>
          <w:tcPr>
            <w:tcW w:w="5060" w:type="dxa"/>
            <w:vAlign w:val="bottom"/>
          </w:tcPr>
          <w:p>
            <w:pPr>
              <w:ind w:left="20"/>
              <w:spacing w:after="0" w:line="190" w:lineRule="exact"/>
              <w:rPr>
                <w:sz w:val="20"/>
                <w:szCs w:val="20"/>
                <w:color w:val="auto"/>
              </w:rPr>
            </w:pPr>
            <w:r>
              <w:rPr>
                <w:rFonts w:ascii="Times New Roman" w:cs="Times New Roman" w:eastAsia="Times New Roman" w:hAnsi="Times New Roman"/>
                <w:sz w:val="13"/>
                <w:szCs w:val="13"/>
                <w:color w:val="auto"/>
              </w:rPr>
              <w:t xml:space="preserve">OPAL Term Loan </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9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loan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 fees and other finance fees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19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on finance leases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9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w:t>
            </w:r>
          </w:p>
        </w:tc>
      </w:tr>
      <w:tr>
        <w:trPr>
          <w:trHeight w:val="180"/>
        </w:trPr>
        <w:tc>
          <w:tcPr>
            <w:tcW w:w="5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interest expense</w:t>
            </w:r>
          </w:p>
        </w:tc>
        <w:tc>
          <w:tcPr>
            <w:tcW w:w="860" w:type="dxa"/>
            <w:vAlign w:val="bottom"/>
            <w:gridSpan w:val="2"/>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4,989</w:t>
            </w:r>
          </w:p>
        </w:tc>
        <w:tc>
          <w:tcPr>
            <w:tcW w:w="100" w:type="dxa"/>
            <w:vAlign w:val="bottom"/>
          </w:tcPr>
          <w:p>
            <w:pPr>
              <w:spacing w:after="0"/>
              <w:rPr>
                <w:sz w:val="15"/>
                <w:szCs w:val="15"/>
                <w:color w:val="auto"/>
              </w:rPr>
            </w:pPr>
          </w:p>
        </w:tc>
        <w:tc>
          <w:tcPr>
            <w:tcW w:w="860" w:type="dxa"/>
            <w:vAlign w:val="bottom"/>
          </w:tcPr>
          <w:p>
            <w:pPr>
              <w:jc w:val="right"/>
              <w:ind w:right="71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8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8,950</w:t>
            </w:r>
          </w:p>
        </w:tc>
        <w:tc>
          <w:tcPr>
            <w:tcW w:w="100" w:type="dxa"/>
            <w:vAlign w:val="bottom"/>
          </w:tcPr>
          <w:p>
            <w:pPr>
              <w:spacing w:after="0"/>
              <w:rPr>
                <w:sz w:val="15"/>
                <w:szCs w:val="15"/>
                <w:color w:val="auto"/>
              </w:rPr>
            </w:pPr>
          </w:p>
        </w:tc>
        <w:tc>
          <w:tcPr>
            <w:tcW w:w="4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w:t>
            </w: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line="279" w:lineRule="auto"/>
        <w:tabs>
          <w:tab w:leader="none" w:pos="123" w:val="left"/>
        </w:tabs>
        <w:numPr>
          <w:ilvl w:val="0"/>
          <w:numId w:val="1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Excludes $640 and $2,074 of interest capitalized and recorded as part of Property, Plant and Equipment for the three and six months ended June 30, 2024, respectively. Excludes $1,981 and $3,785 of interest capitalized and recorded as part of Property, Plant and Equipment for the three and six months ended June 30, 2023,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are the type of contracts that fall under ASC 842:</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i w:val="1"/>
          <w:iCs w:val="1"/>
          <w:color w:val="auto"/>
        </w:rPr>
        <w:t>Lessor contracts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Fuel Provider agreements</w:t>
      </w:r>
    </w:p>
    <w:p>
      <w:pPr>
        <w:spacing w:after="0" w:line="18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Power Purchase agreements</w:t>
      </w:r>
    </w:p>
    <w:p>
      <w:pPr>
        <w:spacing w:after="0" w:line="17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w:t>
      </w:r>
    </w:p>
    <w:p>
      <w:pPr>
        <w:spacing w:after="0" w:line="12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Included in Fuel Station Service revenues are $935 and $1,707 related to the lease portion of the FPAs for the three and six months ended June 30, 2024, respectively. It includes $632 and $1,202 related to the lease portion of the FPAs for the three and six months ended June 30, 2023, respectively.</w:t>
      </w:r>
    </w:p>
    <w:p>
      <w:pPr>
        <w:spacing w:after="0" w:line="11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Included in Renewable Power revenues are $210 and $429 related to the lease element of the PPAs for the three and six months ended June 30, 2024, respectively. Includes $264 and $595 related to the lease element of the PPAs for the three and six ended June 30, 2023,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Lessee contracts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Ground/Site leases</w:t>
      </w:r>
    </w:p>
    <w:p>
      <w:pPr>
        <w:spacing w:after="0" w:line="173" w:lineRule="exact"/>
        <w:rPr>
          <w:sz w:val="20"/>
          <w:szCs w:val="20"/>
          <w:color w:val="auto"/>
        </w:rPr>
      </w:pPr>
    </w:p>
    <w:p>
      <w:pPr>
        <w:jc w:val="both"/>
        <w:ind w:firstLine="480"/>
        <w:spacing w:after="0" w:line="269" w:lineRule="auto"/>
        <w:rPr>
          <w:sz w:val="20"/>
          <w:szCs w:val="20"/>
          <w:color w:val="auto"/>
        </w:rPr>
      </w:pPr>
      <w:r>
        <w:rPr>
          <w:rFonts w:ascii="Times New Roman" w:cs="Times New Roman" w:eastAsia="Times New Roman" w:hAnsi="Times New Roman"/>
          <w:sz w:val="13"/>
          <w:szCs w:val="13"/>
          <w:color w:val="auto"/>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MD Digester ("MD") and VS Digester ("VS"). During the second quarter of 2024, the Company revised the commercial operation date for its leases for MD and VS by between 20 to 24 months which changed the lease term for both the leases. Beginning in the second quarter of 2024 the Company treated this as a lease modification and increased its right-of-use asset and corresponding lease liability by $1,218 on its condensed consolidated balance sheet as of June 30, 2024, using the incremental borrowing rate of 7.28%.</w:t>
      </w:r>
    </w:p>
    <w:p>
      <w:pPr>
        <w:spacing w:after="0" w:line="130"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On December 27, 2023, OPAL entered into an Amended and Restated Lease Agreement with a counter party which amended the payment terms to include a minimum volume requirement that requires OPAL to pay lease payments of $1 per GGE of CNG pumped with annual minimum volumes for the lease term.</w:t>
      </w:r>
    </w:p>
    <w:p>
      <w:pPr>
        <w:spacing w:after="0" w:line="114"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Office lease</w:t>
      </w:r>
    </w:p>
    <w:p>
      <w:pPr>
        <w:spacing w:after="0" w:line="173"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Company determined that the three site leases and the one office lease are operating leases.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30" w:name="page31"/>
    <w:bookmarkEnd w:id="30"/>
    <w:p>
      <w:pPr>
        <w:jc w:val="both"/>
        <w:ind w:firstLine="480"/>
        <w:spacing w:after="0" w:line="273" w:lineRule="auto"/>
        <w:rPr>
          <w:sz w:val="20"/>
          <w:szCs w:val="20"/>
          <w:color w:val="auto"/>
        </w:rPr>
      </w:pPr>
      <w:r>
        <w:rPr>
          <w:rFonts w:ascii="Times New Roman" w:cs="Times New Roman" w:eastAsia="Times New Roman" w:hAnsi="Times New Roman"/>
          <w:sz w:val="13"/>
          <w:szCs w:val="13"/>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the underlying asset for the lease term and the related lease liability represents an obligation to make lease payments pursuant to the contractual terms of the lease agreement.</w:t>
      </w:r>
    </w:p>
    <w:p>
      <w:pPr>
        <w:spacing w:after="0" w:line="290"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Based on the above guidance, the lease expense for the site leases is included as part of Cost of sales - RNG Fuel in its condensed consolidated statement of operations for the three and six months ended June 30, 2024 and 2023. The lease expense for the office lease is recorded as part of Selling, general and administrative expenses in its condensed consolidated statement of operations for the three and months ended June 30,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Vehicle leases</w:t>
      </w:r>
    </w:p>
    <w:p>
      <w:pPr>
        <w:spacing w:after="0" w:line="173"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The Company leases approximately 104 vehicles in our FM3 and OPAL Fuel Station Services subsidiaries. The leases contain repurchase options at the end of the lease term and the sum total of the lease payments represents substantially the fair value of the asset.</w:t>
      </w:r>
    </w:p>
    <w:p>
      <w:pPr>
        <w:spacing w:after="0" w:line="114" w:lineRule="exact"/>
        <w:rPr>
          <w:sz w:val="20"/>
          <w:szCs w:val="20"/>
          <w:color w:val="auto"/>
        </w:rPr>
      </w:pPr>
    </w:p>
    <w:p>
      <w:pPr>
        <w:jc w:val="both"/>
        <w:ind w:firstLine="480"/>
        <w:spacing w:after="0" w:line="275" w:lineRule="auto"/>
        <w:rPr>
          <w:sz w:val="20"/>
          <w:szCs w:val="20"/>
          <w:color w:val="auto"/>
        </w:rPr>
      </w:pPr>
      <w:r>
        <w:rPr>
          <w:rFonts w:ascii="Times New Roman" w:cs="Times New Roman" w:eastAsia="Times New Roman" w:hAnsi="Times New Roman"/>
          <w:sz w:val="13"/>
          <w:szCs w:val="13"/>
          <w:color w:val="auto"/>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condensed statement of operations for the three and six months ended June 30,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Lease Disclosures Under ASC 842</w:t>
      </w:r>
    </w:p>
    <w:p>
      <w:pPr>
        <w:spacing w:after="0" w:line="175"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13"/>
          <w:szCs w:val="13"/>
          <w:color w:val="auto"/>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Right-of-use assets and Lease liabilities as of June 30, 2024 and December 31, 2023 are as follows: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0"/>
        </w:trPr>
        <w:tc>
          <w:tcPr>
            <w:tcW w:w="2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5020" w:type="dxa"/>
            <w:vAlign w:val="bottom"/>
            <w:tcBorders>
              <w:top w:val="single" w:sz="8" w:color="auto"/>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3"/>
                <w:szCs w:val="13"/>
                <w:b w:val="1"/>
                <w:bCs w:val="1"/>
                <w:color w:val="auto"/>
              </w:rPr>
              <w:t>Location in Balance Sheet</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74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70"/>
        </w:trPr>
        <w:tc>
          <w:tcPr>
            <w:tcW w:w="23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Operating leases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tc>
        <w:tc>
          <w:tcPr>
            <w:tcW w:w="5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Site leases</w:t>
            </w:r>
          </w:p>
        </w:tc>
        <w:tc>
          <w:tcPr>
            <w:tcW w:w="5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12,438</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11,330</w:t>
            </w:r>
          </w:p>
        </w:tc>
      </w:tr>
      <w:tr>
        <w:trPr>
          <w:trHeight w:val="17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lease</w:t>
            </w:r>
          </w:p>
        </w:tc>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r>
      <w:tr>
        <w:trPr>
          <w:trHeight w:val="160"/>
        </w:trPr>
        <w:tc>
          <w:tcPr>
            <w:tcW w:w="2380" w:type="dxa"/>
            <w:vAlign w:val="bottom"/>
            <w:tcBorders>
              <w:bottom w:val="single" w:sz="8" w:color="CCEEFF"/>
            </w:tcBorders>
          </w:tcPr>
          <w:p>
            <w:pPr>
              <w:spacing w:after="0"/>
              <w:rPr>
                <w:sz w:val="13"/>
                <w:szCs w:val="13"/>
                <w:color w:val="auto"/>
              </w:rPr>
            </w:pPr>
          </w:p>
        </w:tc>
        <w:tc>
          <w:tcPr>
            <w:tcW w:w="50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13,185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12,301</w:t>
            </w:r>
          </w:p>
        </w:tc>
      </w:tr>
      <w:tr>
        <w:trPr>
          <w:trHeight w:val="150"/>
        </w:trPr>
        <w:tc>
          <w:tcPr>
            <w:tcW w:w="23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Finance leases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tc>
        <w:tc>
          <w:tcPr>
            <w:tcW w:w="5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 leases</w:t>
            </w:r>
          </w:p>
        </w:tc>
        <w:tc>
          <w:tcPr>
            <w:tcW w:w="5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r>
      <w:tr>
        <w:trPr>
          <w:trHeight w:val="17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Site lease</w:t>
            </w:r>
          </w:p>
        </w:tc>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6,468</w:t>
            </w:r>
          </w:p>
        </w:tc>
      </w:tr>
      <w:tr>
        <w:trPr>
          <w:trHeight w:val="160"/>
        </w:trPr>
        <w:tc>
          <w:tcPr>
            <w:tcW w:w="2380" w:type="dxa"/>
            <w:vAlign w:val="bottom"/>
            <w:tcBorders>
              <w:bottom w:val="single" w:sz="8" w:color="CCEEFF"/>
            </w:tcBorders>
          </w:tcPr>
          <w:p>
            <w:pPr>
              <w:spacing w:after="0"/>
              <w:rPr>
                <w:sz w:val="13"/>
                <w:szCs w:val="13"/>
                <w:color w:val="auto"/>
              </w:rPr>
            </w:pPr>
          </w:p>
        </w:tc>
        <w:tc>
          <w:tcPr>
            <w:tcW w:w="50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8,384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9,048</w:t>
            </w:r>
          </w:p>
        </w:tc>
      </w:tr>
      <w:tr>
        <w:trPr>
          <w:trHeight w:val="180"/>
        </w:trPr>
        <w:tc>
          <w:tcPr>
            <w:tcW w:w="2380" w:type="dxa"/>
            <w:vAlign w:val="bottom"/>
            <w:shd w:val="clear" w:color="auto" w:fill="CCEEFF"/>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r>
      <w:tr>
        <w:trPr>
          <w:trHeight w:val="16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right-of-use assets</w:t>
            </w:r>
          </w:p>
        </w:tc>
        <w:tc>
          <w:tcPr>
            <w:tcW w:w="502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21,569</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21,349</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30"/>
        </w:trPr>
        <w:tc>
          <w:tcPr>
            <w:tcW w:w="23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2"/>
                <w:szCs w:val="12"/>
                <w:color w:val="auto"/>
              </w:rPr>
              <w:t xml:space="preserve">Liabilities </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w:t>
            </w:r>
          </w:p>
        </w:tc>
        <w:tc>
          <w:tcPr>
            <w:tcW w:w="5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Sites leases</w:t>
            </w:r>
          </w:p>
        </w:tc>
        <w:tc>
          <w:tcPr>
            <w:tcW w:w="5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Lease liabilities - current portion</w:t>
            </w: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4"/>
                <w:szCs w:val="14"/>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lease</w:t>
            </w:r>
          </w:p>
        </w:tc>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Lease liabilities - current portion</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 leases - finance</w:t>
            </w:r>
          </w:p>
        </w:tc>
        <w:tc>
          <w:tcPr>
            <w:tcW w:w="5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r>
      <w:tr>
        <w:trPr>
          <w:trHeight w:val="17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Site leases - finance</w:t>
            </w:r>
          </w:p>
        </w:tc>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r>
      <w:tr>
        <w:trPr>
          <w:trHeight w:val="160"/>
        </w:trPr>
        <w:tc>
          <w:tcPr>
            <w:tcW w:w="2380" w:type="dxa"/>
            <w:vAlign w:val="bottom"/>
            <w:tcBorders>
              <w:bottom w:val="single" w:sz="8" w:color="CCEEFF"/>
            </w:tcBorders>
          </w:tcPr>
          <w:p>
            <w:pPr>
              <w:spacing w:after="0"/>
              <w:rPr>
                <w:sz w:val="13"/>
                <w:szCs w:val="13"/>
                <w:color w:val="auto"/>
              </w:rPr>
            </w:pPr>
          </w:p>
        </w:tc>
        <w:tc>
          <w:tcPr>
            <w:tcW w:w="50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1,975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2,036</w:t>
            </w:r>
          </w:p>
        </w:tc>
      </w:tr>
      <w:tr>
        <w:trPr>
          <w:trHeight w:val="180"/>
        </w:trPr>
        <w:tc>
          <w:tcPr>
            <w:tcW w:w="2380" w:type="dxa"/>
            <w:vAlign w:val="bottom"/>
            <w:shd w:val="clear" w:color="auto" w:fill="CCEEFF"/>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Sites leases</w:t>
            </w:r>
          </w:p>
        </w:tc>
        <w:tc>
          <w:tcPr>
            <w:tcW w:w="5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Lease liabilities - non-current portion</w:t>
            </w: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11,222</w:t>
            </w:r>
          </w:p>
        </w:tc>
      </w:tr>
      <w:tr>
        <w:trPr>
          <w:trHeight w:val="17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lease</w:t>
            </w:r>
          </w:p>
        </w:tc>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Lease liabilities - non-current portion</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r>
      <w:tr>
        <w:trPr>
          <w:trHeight w:val="17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Vehicle leases - finance</w:t>
            </w:r>
          </w:p>
        </w:tc>
        <w:tc>
          <w:tcPr>
            <w:tcW w:w="502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1,801</w:t>
            </w:r>
          </w:p>
        </w:tc>
      </w:tr>
      <w:tr>
        <w:trPr>
          <w:trHeight w:val="17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Site leases - finance</w:t>
            </w:r>
          </w:p>
        </w:tc>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5,587</w:t>
            </w:r>
          </w:p>
        </w:tc>
      </w:tr>
      <w:tr>
        <w:trPr>
          <w:trHeight w:val="160"/>
        </w:trPr>
        <w:tc>
          <w:tcPr>
            <w:tcW w:w="2380" w:type="dxa"/>
            <w:vAlign w:val="bottom"/>
            <w:tcBorders>
              <w:bottom w:val="single" w:sz="8" w:color="CCEEFF"/>
            </w:tcBorders>
          </w:tcPr>
          <w:p>
            <w:pPr>
              <w:spacing w:after="0"/>
              <w:rPr>
                <w:sz w:val="13"/>
                <w:szCs w:val="13"/>
                <w:color w:val="auto"/>
              </w:rPr>
            </w:pPr>
          </w:p>
        </w:tc>
        <w:tc>
          <w:tcPr>
            <w:tcW w:w="50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19,212</w:t>
            </w:r>
          </w:p>
        </w:tc>
      </w:tr>
      <w:tr>
        <w:trPr>
          <w:trHeight w:val="180"/>
        </w:trPr>
        <w:tc>
          <w:tcPr>
            <w:tcW w:w="2380" w:type="dxa"/>
            <w:vAlign w:val="bottom"/>
            <w:shd w:val="clear" w:color="auto" w:fill="CCEEFF"/>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r>
      <w:tr>
        <w:trPr>
          <w:trHeight w:val="160"/>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lease liabilities</w:t>
            </w:r>
          </w:p>
        </w:tc>
        <w:tc>
          <w:tcPr>
            <w:tcW w:w="502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21,897</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21,248</w:t>
            </w:r>
          </w:p>
        </w:tc>
      </w:tr>
      <w:tr>
        <w:trPr>
          <w:trHeight w:val="20"/>
        </w:trPr>
        <w:tc>
          <w:tcPr>
            <w:tcW w:w="23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280"/>
        <w:spacing w:after="0" w:line="445" w:lineRule="auto"/>
        <w:tabs>
          <w:tab w:leader="none" w:pos="134"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Operating lease right-of-use asset and Operating lease liabilities represent the present value of lease payments for the remaining term of the lease. The discount rate used ranged from 2.30% to 7.28%. The table below presents components of the Company's lease expense for the three and six months ended June 30, 2024 and 2023:</w:t>
      </w:r>
    </w:p>
    <w:tbl>
      <w:tblPr>
        <w:tblLayout w:type="fixed"/>
        <w:tblInd w:w="0" w:type="dxa"/>
        <w:tblCellMar>
          <w:top w:w="0" w:type="dxa"/>
          <w:left w:w="0" w:type="dxa"/>
          <w:bottom w:w="0" w:type="dxa"/>
          <w:right w:w="0" w:type="dxa"/>
        </w:tblCellMar>
      </w:tblPr>
      <w:tr>
        <w:trPr>
          <w:trHeight w:val="174"/>
        </w:trPr>
        <w:tc>
          <w:tcPr>
            <w:tcW w:w="25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0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 in Statement of Operations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380" w:type="dxa"/>
            <w:vAlign w:val="bottom"/>
            <w:tcBorders>
              <w:top w:val="single" w:sz="8" w:color="auto"/>
              <w:bottom w:val="single" w:sz="8" w:color="auto"/>
            </w:tcBorders>
            <w:gridSpan w:val="5"/>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2180" w:type="dxa"/>
            <w:vAlign w:val="bottom"/>
            <w:tcBorders>
              <w:top w:val="single" w:sz="8" w:color="auto"/>
              <w:bottom w:val="single" w:sz="8" w:color="auto"/>
            </w:tcBorders>
            <w:gridSpan w:val="4"/>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0"/>
        </w:trPr>
        <w:tc>
          <w:tcPr>
            <w:tcW w:w="256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expense for site leases</w:t>
            </w: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sales - RNG Fuel</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70"/>
        </w:trPr>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expense for office lease</w:t>
            </w:r>
          </w:p>
        </w:tc>
        <w:tc>
          <w:tcPr>
            <w:tcW w:w="3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Selling, general, administrative expenses</w:t>
            </w: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30"/>
        </w:trPr>
        <w:tc>
          <w:tcPr>
            <w:tcW w:w="25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Amortization of right-of-use assets - finance</w:t>
            </w:r>
          </w:p>
        </w:tc>
        <w:tc>
          <w:tcPr>
            <w:tcW w:w="3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8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leases</w:t>
            </w: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amortization and accretion expense</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30"/>
        </w:trPr>
        <w:tc>
          <w:tcPr>
            <w:tcW w:w="25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Interest expense on lease liabilities - finance</w:t>
            </w:r>
          </w:p>
        </w:tc>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8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leases</w:t>
            </w:r>
          </w:p>
        </w:tc>
        <w:tc>
          <w:tcPr>
            <w:tcW w:w="3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Interest and financing expense, net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85"/>
        </w:trPr>
        <w:tc>
          <w:tcPr>
            <w:tcW w:w="2560" w:type="dxa"/>
            <w:vAlign w:val="bottom"/>
            <w:tcBorders>
              <w:bottom w:val="single" w:sz="8" w:color="CCEEFF"/>
            </w:tcBorders>
            <w:shd w:val="clear" w:color="auto" w:fill="CCEEFF"/>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does not have material short term lease expense for the three and six months ended June 30, 2024 and 2023.</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8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color w:val="auto"/>
        </w:rPr>
        <w:t>The Company did not enter into any operating leases greater than 12 months for the six months ended June 30,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remaining lease term (years)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June 30, 2024</w:t>
            </w:r>
          </w:p>
        </w:tc>
      </w:tr>
      <w:tr>
        <w:trPr>
          <w:trHeight w:val="16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leases</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 years</w:t>
            </w: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leases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years</w:t>
            </w: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discount rate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7.05 %</w:t>
            </w:r>
          </w:p>
        </w:tc>
      </w:tr>
      <w:tr>
        <w:trPr>
          <w:trHeight w:val="173"/>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Financing leases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6.60 %</w:t>
            </w:r>
          </w:p>
        </w:tc>
      </w:tr>
      <w:tr>
        <w:trPr>
          <w:trHeight w:val="378"/>
        </w:trPr>
        <w:tc>
          <w:tcPr>
            <w:tcW w:w="80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The table below provides the total amount of lease payments on an undiscounted basis on our lease contracts as of June 30, 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3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60"/>
        </w:trPr>
        <w:tc>
          <w:tcPr>
            <w:tcW w:w="34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Site leases</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Office leases</w:t>
            </w:r>
          </w:p>
        </w:tc>
        <w:tc>
          <w:tcPr>
            <w:tcW w:w="2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Vehicle leases</w:t>
            </w: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Site lease - Finance</w:t>
            </w: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6.1 %</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0"/>
        </w:trPr>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Six months ending December 31, 2024</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00" w:type="dxa"/>
            <w:vAlign w:val="bottom"/>
          </w:tcPr>
          <w:p>
            <w:pPr>
              <w:spacing w:after="0"/>
              <w:rPr>
                <w:sz w:val="14"/>
                <w:szCs w:val="14"/>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w:t>
            </w: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w:t>
            </w: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tcPr>
          <w:p>
            <w:pPr>
              <w:spacing w:after="0"/>
              <w:rPr>
                <w:sz w:val="14"/>
                <w:szCs w:val="14"/>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2,551</w:t>
            </w: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w:t>
            </w: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300" w:type="dxa"/>
            <w:vAlign w:val="bottom"/>
          </w:tcPr>
          <w:p>
            <w:pPr>
              <w:spacing w:after="0"/>
              <w:rPr>
                <w:sz w:val="14"/>
                <w:szCs w:val="14"/>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19,971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23,258</w:t>
            </w:r>
          </w:p>
        </w:tc>
      </w:tr>
      <w:tr>
        <w:trPr>
          <w:trHeight w:val="160"/>
        </w:trPr>
        <w:tc>
          <w:tcPr>
            <w:tcW w:w="34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25,023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2,859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7,620</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36,382</w:t>
            </w:r>
          </w:p>
        </w:tc>
      </w:tr>
      <w:tr>
        <w:trPr>
          <w:trHeight w:val="180"/>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Present value of lease liability</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12,520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2,276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6,242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21,897</w:t>
            </w:r>
          </w:p>
        </w:tc>
      </w:tr>
      <w:tr>
        <w:trPr>
          <w:trHeight w:val="200"/>
        </w:trPr>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 current portion</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r>
      <w:tr>
        <w:trPr>
          <w:trHeight w:val="17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Lease liabilities - non-current portion</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12,315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1,505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5,771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19,922</w:t>
            </w:r>
          </w:p>
        </w:tc>
      </w:tr>
      <w:tr>
        <w:trPr>
          <w:trHeight w:val="16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lease liabilities</w:t>
            </w: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12,520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2,276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6,242</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21,897</w:t>
            </w:r>
          </w:p>
        </w:tc>
      </w:tr>
      <w:tr>
        <w:trPr>
          <w:trHeight w:val="180"/>
        </w:trPr>
        <w:tc>
          <w:tcPr>
            <w:tcW w:w="3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based on incremental borrowing rate</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12,503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14,485</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Derivative Financial Instruments and Fair Value Measurements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 swaps</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interest rate swaps in place as of June 30, 2024:</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effect of interest rate swaps on the condensed consolidated statement of operations were as follows: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58"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21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210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Location of (Loss) Gain Recognized in Operations from Derivatives</w:t>
            </w:r>
          </w:p>
        </w:tc>
        <w:tc>
          <w:tcPr>
            <w:tcW w:w="0" w:type="dxa"/>
            <w:vAlign w:val="bottom"/>
          </w:tcPr>
          <w:p>
            <w:pPr>
              <w:spacing w:after="0"/>
              <w:rPr>
                <w:sz w:val="1"/>
                <w:szCs w:val="1"/>
                <w:color w:val="auto"/>
              </w:rPr>
            </w:pPr>
          </w:p>
        </w:tc>
      </w:tr>
      <w:tr>
        <w:trPr>
          <w:trHeight w:val="15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swaps</w:t>
            </w:r>
          </w:p>
        </w:tc>
        <w:tc>
          <w:tcPr>
            <w:tcW w:w="90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2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Swaption</w:t>
            </w:r>
          </w:p>
        </w:tc>
        <w:tc>
          <w:tcPr>
            <w:tcW w:w="90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8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periodic settlements</w:t>
            </w:r>
          </w:p>
        </w:tc>
        <w:tc>
          <w:tcPr>
            <w:tcW w:w="9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00" w:type="dxa"/>
            <w:vAlign w:val="bottom"/>
            <w:tcBorders>
              <w:bottom w:val="single" w:sz="8" w:color="CCEEFF"/>
            </w:tcBorders>
            <w:shd w:val="clear" w:color="auto" w:fill="CCEEFF"/>
          </w:tcPr>
          <w:p>
            <w:pPr>
              <w:spacing w:after="0"/>
              <w:rPr>
                <w:sz w:val="15"/>
                <w:szCs w:val="15"/>
                <w:color w:val="auto"/>
              </w:rPr>
            </w:pPr>
          </w:p>
        </w:tc>
        <w:tc>
          <w:tcPr>
            <w:tcW w:w="4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w:t>
            </w:r>
          </w:p>
        </w:tc>
        <w:tc>
          <w:tcPr>
            <w:tcW w:w="10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derivative instruments, net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Commodity swap contracts</w:t>
      </w:r>
    </w:p>
    <w:p>
      <w:pPr>
        <w:spacing w:after="0" w:line="125"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74"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 xml:space="preserve">The Company entered into an International Swaps and Derivatives Association ("ISDA") agreement with Mendocino Capital LLC (“NextEra”), a related party in November 2019. Pursuant to the agreement, the Company entered into two additional commodity swaps in October 2022 for a periods of one to two years with contract prices ranging between $65.50 and $68.50 per MWh. The swaps are expected to be settled by physical delivery on a monthly basis. The Company elected the normal purchase and normal sale exclusion and will not apply fair value accounting under ASC 815, </w:t>
      </w:r>
      <w:r>
        <w:rPr>
          <w:rFonts w:ascii="Times New Roman" w:cs="Times New Roman" w:eastAsia="Times New Roman" w:hAnsi="Times New Roman"/>
          <w:sz w:val="13"/>
          <w:szCs w:val="13"/>
          <w:i w:val="1"/>
          <w:iCs w:val="1"/>
          <w:color w:val="auto"/>
        </w:rPr>
        <w:t>Derivatives and hedging</w:t>
      </w:r>
      <w:r>
        <w:rPr>
          <w:rFonts w:ascii="Times New Roman" w:cs="Times New Roman" w:eastAsia="Times New Roman" w:hAnsi="Times New Roman"/>
          <w:sz w:val="13"/>
          <w:szCs w:val="13"/>
          <w:color w:val="auto"/>
        </w:rPr>
        <w:t>. The Company will continue to assess its normal purchase and normal sale election on a quarterly basis.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entered into a new commodity swap with NextEra in November 2022 for a period of two years at a contract price of $81.50 per MWh.</w:t>
      </w:r>
    </w:p>
    <w:p>
      <w:pPr>
        <w:spacing w:after="0" w:line="121"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In November 2023, the Company entered into an electricity supply agreement with a utility provider for purchase of electricity to be used at one of our RNG facilities for a period of two years with a monthly notional quantity ranging between 1,875 and 2,145 kilo-watt hour ("kWh") and with fixed contract price $0.0599 per kWh. The forward contract is expected to be settled by physical delivery of electricity on a monthly basis. The Company elected the normal purchase normal sale exclusion and will not apply fair value accounting under ASC 815. The Company will continue to assess its normal purchase and normal sale election on a quarterly basis.</w:t>
      </w:r>
    </w:p>
    <w:p>
      <w:pPr>
        <w:spacing w:after="0" w:line="70" w:lineRule="exact"/>
        <w:rPr>
          <w:sz w:val="20"/>
          <w:szCs w:val="20"/>
          <w:color w:val="auto"/>
        </w:rPr>
      </w:pPr>
    </w:p>
    <w:p>
      <w:pPr>
        <w:ind w:right="240"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summarizes the commodity swaps in place as of June 30, 2024 and December 31, 2023. There were no new commodity swap contracts entered during the three and six months ended June 30, 2024.</w:t>
      </w:r>
    </w:p>
    <w:p>
      <w:pPr>
        <w:spacing w:after="0" w:line="164" w:lineRule="exact"/>
        <w:rPr>
          <w:sz w:val="20"/>
          <w:szCs w:val="20"/>
          <w:color w:val="auto"/>
        </w:rPr>
      </w:pPr>
    </w:p>
    <w:tbl>
      <w:tblPr>
        <w:tblLayout w:type="fixed"/>
        <w:tblInd w:w="240" w:type="dxa"/>
        <w:tblCellMar>
          <w:top w:w="0" w:type="dxa"/>
          <w:left w:w="0" w:type="dxa"/>
          <w:bottom w:w="0" w:type="dxa"/>
          <w:right w:w="0" w:type="dxa"/>
        </w:tblCellMar>
      </w:tblPr>
      <w:tr>
        <w:trPr>
          <w:trHeight w:val="140"/>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Notional Quantity per Year</w:t>
            </w: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71"/>
        </w:trPr>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2"/>
                <w:szCs w:val="12"/>
                <w:b w:val="1"/>
                <w:bCs w:val="1"/>
                <w:color w:val="auto"/>
              </w:rPr>
              <w:t>Trade Date</w:t>
            </w:r>
          </w:p>
        </w:tc>
        <w:tc>
          <w:tcPr>
            <w:tcW w:w="8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Period From</w:t>
            </w:r>
          </w:p>
        </w:tc>
        <w:tc>
          <w:tcPr>
            <w:tcW w:w="12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Period To</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(“MWh”)</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Average Contract Price (per MWh)</w:t>
            </w:r>
          </w:p>
        </w:tc>
      </w:tr>
      <w:tr>
        <w:trPr>
          <w:trHeight w:val="14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October 17, 2022</w:t>
            </w:r>
          </w:p>
        </w:tc>
        <w:tc>
          <w:tcPr>
            <w:tcW w:w="8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1, 2023</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68.50</w:t>
            </w:r>
          </w:p>
        </w:tc>
      </w:tr>
      <w:tr>
        <w:trPr>
          <w:trHeight w:val="18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November 17, 2022</w:t>
            </w: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January 1, 2023</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81.50</w:t>
            </w:r>
          </w:p>
        </w:tc>
      </w:tr>
    </w:tbl>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effect of commodity swaps on the condensed consolidated statements of operations for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52" w:right="319" w:bottom="1440" w:gutter="0" w:footer="0" w:header="0"/>
        </w:sectPr>
      </w:pPr>
    </w:p>
    <w:bookmarkStart w:id="34" w:name="page35"/>
    <w:bookmarkEnd w:id="34"/>
    <w:tbl>
      <w:tblPr>
        <w:tblLayout w:type="fixed"/>
        <w:tblInd w:w="2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80" w:type="dxa"/>
            <w:vAlign w:val="bottom"/>
          </w:tcPr>
          <w:p>
            <w:pPr>
              <w:spacing w:after="0"/>
              <w:rPr>
                <w:sz w:val="14"/>
                <w:szCs w:val="14"/>
                <w:color w:val="auto"/>
              </w:rPr>
            </w:pPr>
          </w:p>
        </w:tc>
        <w:tc>
          <w:tcPr>
            <w:tcW w:w="178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7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Derivatives not designated as hedging instruments</w:t>
            </w:r>
          </w:p>
        </w:tc>
        <w:tc>
          <w:tcPr>
            <w:tcW w:w="33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2"/>
                <w:szCs w:val="12"/>
                <w:b w:val="1"/>
                <w:bCs w:val="1"/>
                <w:color w:val="auto"/>
              </w:rPr>
              <w:t>Location of (loss) gain recognized</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Commodity swaps - realized (loss) gain</w:t>
            </w:r>
          </w:p>
        </w:tc>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Revenues - Renewable Power</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color w:val="auto"/>
                <w:w w:val="99"/>
              </w:rPr>
              <w:t>509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r>
      <w:tr>
        <w:trPr>
          <w:trHeight w:val="158"/>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Commodity swaps - unrealized gain (loss)</w:t>
            </w:r>
          </w:p>
        </w:tc>
        <w:tc>
          <w:tcPr>
            <w:tcW w:w="33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2"/>
                <w:szCs w:val="12"/>
                <w:color w:val="auto"/>
              </w:rPr>
              <w:t>Revenues - Renewable Power</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2"/>
                <w:szCs w:val="12"/>
                <w:color w:val="auto"/>
                <w:w w:val="99"/>
              </w:rPr>
              <w:t>(160)</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762</w:t>
            </w:r>
          </w:p>
        </w:tc>
      </w:tr>
      <w:tr>
        <w:trPr>
          <w:trHeight w:val="17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 and unrealized gain (loss)</w:t>
            </w:r>
          </w:p>
        </w:tc>
        <w:tc>
          <w:tcPr>
            <w:tcW w:w="33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Revenues - Renewable Power</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center"/>
              <w:ind w:left="320"/>
              <w:spacing w:after="0"/>
              <w:rPr>
                <w:sz w:val="20"/>
                <w:szCs w:val="20"/>
                <w:color w:val="auto"/>
              </w:rPr>
            </w:pPr>
            <w:r>
              <w:rPr>
                <w:rFonts w:ascii="Times New Roman" w:cs="Times New Roman" w:eastAsia="Times New Roman" w:hAnsi="Times New Roman"/>
                <w:sz w:val="12"/>
                <w:szCs w:val="12"/>
                <w:color w:val="auto"/>
                <w:w w:val="99"/>
              </w:rPr>
              <w:t>349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derivative assets and liabilities related to commodity swaps as of June 30, 2024 and December 31, 2023:</w:t>
      </w:r>
    </w:p>
    <w:p>
      <w:pPr>
        <w:spacing w:after="0" w:line="200" w:lineRule="exact"/>
        <w:rPr>
          <w:sz w:val="20"/>
          <w:szCs w:val="20"/>
          <w:color w:val="auto"/>
        </w:rPr>
      </w:pP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70"/>
        </w:trPr>
        <w:tc>
          <w:tcPr>
            <w:tcW w:w="386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Location of Fair value recognized in Balance Sheet</w:t>
            </w:r>
          </w:p>
        </w:tc>
      </w:tr>
      <w:tr>
        <w:trPr>
          <w:trHeight w:val="15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Derivatives designated as economic hedges</w:t>
            </w:r>
          </w:p>
        </w:tc>
        <w:tc>
          <w:tcPr>
            <w:tcW w:w="1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r>
      <w:tr>
        <w:trPr>
          <w:trHeight w:val="173"/>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unrealized gain on commodity swaps</w:t>
            </w:r>
          </w:p>
        </w:tc>
        <w:tc>
          <w:tcPr>
            <w:tcW w:w="1620" w:type="dxa"/>
            <w:vAlign w:val="bottom"/>
          </w:tcPr>
          <w:p>
            <w:pPr>
              <w:jc w:val="right"/>
              <w:ind w:right="147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15"/>
                <w:szCs w:val="15"/>
                <w:color w:val="auto"/>
              </w:rPr>
            </w:pPr>
          </w:p>
        </w:tc>
        <w:tc>
          <w:tcPr>
            <w:tcW w:w="1700" w:type="dxa"/>
            <w:vAlign w:val="bottom"/>
          </w:tcPr>
          <w:p>
            <w:pPr>
              <w:jc w:val="right"/>
              <w:ind w:right="1553"/>
              <w:spacing w:after="0"/>
              <w:rPr>
                <w:sz w:val="20"/>
                <w:szCs w:val="20"/>
                <w:color w:val="auto"/>
              </w:rPr>
            </w:pPr>
            <w:r>
              <w:rPr>
                <w:rFonts w:ascii="Times New Roman" w:cs="Times New Roman" w:eastAsia="Times New Roman" w:hAnsi="Times New Roman"/>
                <w:sz w:val="13"/>
                <w:szCs w:val="13"/>
                <w:color w:val="auto"/>
                <w:w w:val="91"/>
              </w:rPr>
              <w:t>$</w:t>
            </w:r>
          </w:p>
        </w:tc>
        <w:tc>
          <w:tcPr>
            <w:tcW w:w="34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633  Derivative financial asset, current portion</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derivative liabilities</w:t>
      </w:r>
    </w:p>
    <w:p>
      <w:pPr>
        <w:spacing w:after="0" w:line="95" w:lineRule="exact"/>
        <w:rPr>
          <w:sz w:val="20"/>
          <w:szCs w:val="20"/>
          <w:color w:val="auto"/>
        </w:rPr>
      </w:pPr>
    </w:p>
    <w:p>
      <w:pPr>
        <w:jc w:val="both"/>
        <w:ind w:right="80" w:firstLine="480"/>
        <w:spacing w:after="0" w:line="273" w:lineRule="auto"/>
        <w:rPr>
          <w:sz w:val="20"/>
          <w:szCs w:val="20"/>
          <w:color w:val="auto"/>
        </w:rPr>
      </w:pPr>
      <w:r>
        <w:rPr>
          <w:rFonts w:ascii="Times New Roman" w:cs="Times New Roman" w:eastAsia="Times New Roman" w:hAnsi="Times New Roman"/>
          <w:sz w:val="13"/>
          <w:szCs w:val="13"/>
          <w:color w:val="auto"/>
        </w:rPr>
        <w:t>On July 21, 2022, the Company recorded derivative liabilities for the outstanding public warrants and private warrants, put option to Meteora, the Sponsor Earnout Awards and the OPAL Earnout Awards. The private and public warrants were exchanged into Class A common stock in the fourth quarter of 2022. The put option with Meteora expired in January 2023. The change in fair value on Sponsor Earnout and OPAL Earnout Awards is recorded as change in fair value of derivative instruments, net in the condensed consolidated statement of operations for the three and six months ended June 30, 2024 and 2023.</w:t>
      </w:r>
    </w:p>
    <w:p>
      <w:pPr>
        <w:spacing w:after="0" w:line="200" w:lineRule="exact"/>
        <w:rPr>
          <w:sz w:val="20"/>
          <w:szCs w:val="20"/>
          <w:color w:val="auto"/>
        </w:rPr>
      </w:pPr>
    </w:p>
    <w:p>
      <w:pPr>
        <w:spacing w:after="0" w:line="271" w:lineRule="exact"/>
        <w:rPr>
          <w:sz w:val="20"/>
          <w:szCs w:val="20"/>
          <w:color w:val="auto"/>
        </w:rPr>
      </w:pPr>
    </w:p>
    <w:p>
      <w:pPr>
        <w:jc w:val="both"/>
        <w:ind w:right="80" w:firstLine="480"/>
        <w:spacing w:after="0" w:line="294" w:lineRule="auto"/>
        <w:rPr>
          <w:sz w:val="20"/>
          <w:szCs w:val="20"/>
          <w:color w:val="auto"/>
        </w:rPr>
      </w:pPr>
      <w:r>
        <w:rPr>
          <w:rFonts w:ascii="Times New Roman" w:cs="Times New Roman" w:eastAsia="Times New Roman" w:hAnsi="Times New Roman"/>
          <w:sz w:val="13"/>
          <w:szCs w:val="13"/>
          <w:color w:val="auto"/>
        </w:rPr>
        <w:t>The following table summarizes the effect of change in fair value of other derivative liabilities on the condensed consolidated statements of operations for the three and six months ended June 30, 2024 and 2023:</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320"/>
        </w:trPr>
        <w:tc>
          <w:tcPr>
            <w:tcW w:w="26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Derivative liability</w:t>
            </w: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2000" w:type="dxa"/>
            <w:vAlign w:val="bottom"/>
            <w:tcBorders>
              <w:top w:val="single" w:sz="8" w:color="auto"/>
              <w:bottom w:val="single" w:sz="8" w:color="auto"/>
            </w:tcBorders>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auto"/>
              <w:bottom w:val="single" w:sz="8" w:color="auto"/>
            </w:tcBorders>
            <w:gridSpan w:val="5"/>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80" w:type="dxa"/>
            <w:vAlign w:val="bottom"/>
            <w:tcBorders>
              <w:top w:val="single" w:sz="8" w:color="CCEEFF"/>
            </w:tcBorders>
            <w:shd w:val="clear" w:color="auto" w:fill="CCEEFF"/>
          </w:tcPr>
          <w:p>
            <w:pPr>
              <w:spacing w:after="0"/>
              <w:rPr>
                <w:sz w:val="24"/>
                <w:szCs w:val="24"/>
                <w:color w:val="auto"/>
              </w:rPr>
            </w:pPr>
          </w:p>
        </w:tc>
        <w:tc>
          <w:tcPr>
            <w:tcW w:w="284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Location of (Loss) Gain Recognized in Operations</w:t>
            </w:r>
          </w:p>
        </w:tc>
      </w:tr>
      <w:tr>
        <w:trPr>
          <w:trHeight w:val="170"/>
        </w:trPr>
        <w:tc>
          <w:tcPr>
            <w:tcW w:w="2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4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2"/>
                <w:szCs w:val="12"/>
                <w:b w:val="1"/>
                <w:bCs w:val="1"/>
                <w:color w:val="auto"/>
              </w:rPr>
              <w:t>from Derivatives</w:t>
            </w:r>
          </w:p>
        </w:tc>
      </w:tr>
      <w:tr>
        <w:trPr>
          <w:trHeight w:val="180"/>
        </w:trPr>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170"/>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Put option to Meteora</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Sponsor Earnout Awards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r>
      <w:tr>
        <w:trPr>
          <w:trHeight w:val="170"/>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OPAL Earnout Awards</w:t>
            </w: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85"/>
        </w:trPr>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4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Change in fair value of derivative instruments, net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Fair value measurements</w:t>
      </w:r>
    </w:p>
    <w:p>
      <w:pPr>
        <w:spacing w:after="0" w:line="95"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34"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The carrying value of the Company's long-term debt, which are considered Level 2 in the fair value hierarchy, of $217,535 and $196,542 as of June 30, 2024 and December 31, 2023, respectively, approximates its fair value because our interest rate is variable and reflects current market rates.</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387" w:right="239" w:bottom="1440" w:gutter="0" w:footer="0" w:header="0"/>
        </w:sectPr>
      </w:pPr>
    </w:p>
    <w:bookmarkStart w:id="35" w:name="page36"/>
    <w:bookmarkEnd w:id="35"/>
    <w:p>
      <w:pPr>
        <w:jc w:val="both"/>
        <w:spacing w:after="0" w:line="297" w:lineRule="auto"/>
        <w:rPr>
          <w:sz w:val="20"/>
          <w:szCs w:val="20"/>
          <w:color w:val="auto"/>
        </w:rPr>
      </w:pPr>
      <w:r>
        <w:rPr>
          <w:rFonts w:ascii="Times New Roman" w:cs="Times New Roman" w:eastAsia="Times New Roman" w:hAnsi="Times New Roman"/>
          <w:sz w:val="13"/>
          <w:szCs w:val="13"/>
          <w:color w:val="auto"/>
        </w:rPr>
        <w:t xml:space="preserve">The Company follows ASC 820, </w:t>
      </w:r>
      <w:r>
        <w:rPr>
          <w:rFonts w:ascii="Times New Roman" w:cs="Times New Roman" w:eastAsia="Times New Roman" w:hAnsi="Times New Roman"/>
          <w:sz w:val="13"/>
          <w:szCs w:val="13"/>
          <w:i w:val="1"/>
          <w:iCs w:val="1"/>
          <w:color w:val="auto"/>
        </w:rPr>
        <w:t>Fair Value Measurement</w:t>
      </w:r>
      <w:r>
        <w:rPr>
          <w:rFonts w:ascii="Times New Roman" w:cs="Times New Roman" w:eastAsia="Times New Roman" w:hAnsi="Times New Roman"/>
          <w:sz w:val="13"/>
          <w:szCs w:val="13"/>
          <w:color w:val="auto"/>
        </w:rPr>
        <w:t>, regarding fair value measurements which establishes a three-tier fair value hierarchy and prioritizes the inputs used in valuation techniques that measure fair value. These tiers include:</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Level 1 — defined as observable inputs such as quoted prices for identical instruments in active markets;</w:t>
      </w:r>
    </w:p>
    <w:p>
      <w:pPr>
        <w:spacing w:after="0" w:line="111" w:lineRule="exact"/>
        <w:rPr>
          <w:sz w:val="20"/>
          <w:szCs w:val="20"/>
          <w:color w:val="auto"/>
        </w:rPr>
      </w:pPr>
    </w:p>
    <w:p>
      <w:pPr>
        <w:ind w:left="240"/>
        <w:spacing w:after="0" w:line="294" w:lineRule="auto"/>
        <w:rPr>
          <w:sz w:val="20"/>
          <w:szCs w:val="20"/>
          <w:color w:val="auto"/>
        </w:rPr>
      </w:pPr>
      <w:r>
        <w:rPr>
          <w:rFonts w:ascii="Times New Roman" w:cs="Times New Roman" w:eastAsia="Times New Roman" w:hAnsi="Times New Roman"/>
          <w:sz w:val="13"/>
          <w:szCs w:val="13"/>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Level 3 — defined as unobservable inputs in which little or no market data exists, therefore requiring an entity to develop its own assumptions.</w:t>
      </w:r>
    </w:p>
    <w:p>
      <w:pPr>
        <w:spacing w:after="0" w:line="91"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47"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5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fair value of the Sponsor Earnout Awards as of June 30, 2024 was determined using a Monte Carlo valuation model with a distribution of potential outcomes on a daily basis over the four year post-close period. Assumptions used in the valuation are as follows:</w:t>
      </w:r>
    </w:p>
    <w:p>
      <w:pPr>
        <w:spacing w:after="0" w:line="134" w:lineRule="exact"/>
        <w:rPr>
          <w:sz w:val="20"/>
          <w:szCs w:val="20"/>
          <w:color w:val="auto"/>
        </w:rPr>
      </w:pPr>
    </w:p>
    <w:p>
      <w:pPr>
        <w:ind w:left="480" w:hanging="240"/>
        <w:spacing w:after="0"/>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stock price — The Company's closing stock price of $4.09 as of June 30, 2024;</w:t>
      </w:r>
    </w:p>
    <w:p>
      <w:pPr>
        <w:spacing w:after="0" w:line="14" w:lineRule="exact"/>
        <w:rPr>
          <w:rFonts w:ascii="Times New Roman" w:cs="Times New Roman" w:eastAsia="Times New Roman" w:hAnsi="Times New Roman"/>
          <w:sz w:val="13"/>
          <w:szCs w:val="13"/>
          <w:color w:val="auto"/>
        </w:rPr>
      </w:pPr>
    </w:p>
    <w:p>
      <w:pPr>
        <w:ind w:left="480" w:hanging="240"/>
        <w:spacing w:after="0"/>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volatility —50% based on historical and implied volatilities of selected industry peers deemed to be comparable to our business corresponding to the expected term of the awards;</w:t>
      </w:r>
    </w:p>
    <w:p>
      <w:pPr>
        <w:spacing w:after="0" w:line="9" w:lineRule="exact"/>
        <w:rPr>
          <w:rFonts w:ascii="Times New Roman" w:cs="Times New Roman" w:eastAsia="Times New Roman" w:hAnsi="Times New Roman"/>
          <w:sz w:val="13"/>
          <w:szCs w:val="13"/>
          <w:color w:val="auto"/>
        </w:rPr>
      </w:pPr>
    </w:p>
    <w:p>
      <w:pPr>
        <w:ind w:left="480" w:right="120" w:hanging="240"/>
        <w:spacing w:after="0" w:line="242" w:lineRule="auto"/>
        <w:tabs>
          <w:tab w:leader="none" w:pos="47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Risk-free interest rate — 4.50% based on the U.S. Treasury yield curve in effect at the time of issuance for zero-coupon U.S. Treasury notes with maturities corresponding to the expected 4.1 year term of the earnout period;</w:t>
      </w:r>
    </w:p>
    <w:p>
      <w:pPr>
        <w:ind w:left="480" w:hanging="240"/>
        <w:spacing w:after="0"/>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 yield - zero.</w:t>
      </w:r>
    </w:p>
    <w:p>
      <w:pPr>
        <w:spacing w:after="0" w:line="257"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fair value of the OPAL Earnout Awards as of June 30, 2024 and December 31, 2023 was determined to be zero as their expiration date is December 31, 2024 and the Company does not expect to achieve the earn-out target.</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There were no transfers of assets between Level 1, Level 2, or Level 3 of the fair value hierarchy as of June 30, 2024.</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assets and liabilities that are measured at fair value on a recurring basis include the following as of June 30, 2024 and December 31, 2023, set forth by level, within the fair value hierarchy: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86"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9"/>
        </w:trPr>
        <w:tc>
          <w:tcPr>
            <w:tcW w:w="5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Fair value as of June 30, 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9"/>
        </w:trPr>
        <w:tc>
          <w:tcPr>
            <w:tcW w:w="504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0"/>
        </w:trPr>
        <w:tc>
          <w:tcPr>
            <w:tcW w:w="504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Liabilities:</w:t>
            </w:r>
          </w:p>
        </w:tc>
        <w:tc>
          <w:tcPr>
            <w:tcW w:w="10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7,594</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7,594</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Earnout liabilities</w:t>
            </w:r>
          </w:p>
        </w:tc>
        <w:tc>
          <w:tcPr>
            <w:tcW w:w="10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Cash and cash equivalents and restricted cash - current and non-current </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22,449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22,449</w:t>
            </w: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 term investments</w:t>
            </w: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8,585</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Commodity swap contracts</w:t>
            </w:r>
          </w:p>
        </w:tc>
        <w:tc>
          <w:tcPr>
            <w:tcW w:w="10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r>
      <w:tr>
        <w:trPr>
          <w:trHeight w:val="376"/>
        </w:trPr>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Fair value as of December 31, 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9"/>
        </w:trPr>
        <w:tc>
          <w:tcPr>
            <w:tcW w:w="504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5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Liabilities:</w:t>
            </w:r>
          </w:p>
        </w:tc>
        <w:tc>
          <w:tcPr>
            <w:tcW w:w="10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6,728</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6,728</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Earnout liabilities</w:t>
            </w:r>
          </w:p>
        </w:tc>
        <w:tc>
          <w:tcPr>
            <w:tcW w:w="10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r>
      <w:tr>
        <w:trPr>
          <w:trHeight w:val="156"/>
        </w:trPr>
        <w:tc>
          <w:tcPr>
            <w:tcW w:w="5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xml:space="preserve">Cash and cash equivalents and restricted cash - current and non-current </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47,242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47,242</w:t>
            </w:r>
          </w:p>
        </w:tc>
      </w:tr>
      <w:tr>
        <w:trPr>
          <w:trHeight w:val="15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Short term investments</w:t>
            </w: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9,875</w:t>
            </w: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Commodity swap contracts</w:t>
            </w:r>
          </w:p>
        </w:tc>
        <w:tc>
          <w:tcPr>
            <w:tcW w:w="10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w:t>
            </w:r>
          </w:p>
        </w:tc>
      </w:tr>
      <w:tr>
        <w:trPr>
          <w:trHeight w:val="24"/>
        </w:trPr>
        <w:tc>
          <w:tcPr>
            <w:tcW w:w="5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27" w:lineRule="exact"/>
        <w:rPr>
          <w:sz w:val="20"/>
          <w:szCs w:val="20"/>
          <w:color w:val="auto"/>
        </w:rPr>
      </w:pPr>
    </w:p>
    <w:p>
      <w:pPr>
        <w:ind w:left="120" w:hanging="120"/>
        <w:spacing w:after="0"/>
        <w:tabs>
          <w:tab w:leader="none" w:pos="120" w:val="left"/>
        </w:tabs>
        <w:numPr>
          <w:ilvl w:val="0"/>
          <w:numId w:val="1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balances in money market accounts of $6,356 and $31,965, respectively as of June 30, 2024 and December 31, 2023.</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 xml:space="preserve">A summary of changes in the fair values of the Company’s Level 3 instruments, attributable to asset retirement obligations, for the six months ended June 30, 2024 is included in Note 2, </w:t>
      </w:r>
      <w:r>
        <w:rPr>
          <w:rFonts w:ascii="Times New Roman" w:cs="Times New Roman" w:eastAsia="Times New Roman" w:hAnsi="Times New Roman"/>
          <w:sz w:val="13"/>
          <w:szCs w:val="13"/>
          <w:i w:val="1"/>
          <w:iCs w:val="1"/>
          <w:color w:val="auto"/>
        </w:rPr>
        <w:t>Summary of Significant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Accounting Policies</w:t>
      </w:r>
      <w:r>
        <w:rPr>
          <w:rFonts w:ascii="Times New Roman" w:cs="Times New Roman" w:eastAsia="Times New Roman" w:hAnsi="Times New Roman"/>
          <w:sz w:val="13"/>
          <w:szCs w:val="13"/>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Related Parties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Related parties are represented by Fortistar and other affiliates, subsidiaries and other entities under common control with Fortistar or NextEra.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 of non-controlling interests to Related Parties</w:t>
      </w:r>
    </w:p>
    <w:p>
      <w:pPr>
        <w:spacing w:after="0" w:line="11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 xml:space="preserve">On November 29, 2021, as part of an exchange agreement, OPAL Fuels issued 14 newly authorized common units and 300,000 Series A-1 preferred units to Hillman RNG Investments, LLC, a Delaware limited liability company and an affiliate of Fortistar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$605 and $1,209 for the three and six months ended June 30, 2024, respectively. The Company recorded paid-in-kind preferred dividend of $675 and $1,330 for the three and six months ended June 30, 2023, respectively. Please see Note 13. </w:t>
      </w:r>
      <w:r>
        <w:rPr>
          <w:rFonts w:ascii="Times New Roman" w:cs="Times New Roman" w:eastAsia="Times New Roman" w:hAnsi="Times New Roman"/>
          <w:sz w:val="13"/>
          <w:szCs w:val="13"/>
          <w:i w:val="1"/>
          <w:iCs w:val="1"/>
          <w:color w:val="auto"/>
        </w:rPr>
        <w:t xml:space="preserve">Redeemable non-controlling interests, Redeemable preferred non-controlling interests and Stockholders' Deficit, </w:t>
      </w:r>
      <w:r>
        <w:rPr>
          <w:rFonts w:ascii="Times New Roman" w:cs="Times New Roman" w:eastAsia="Times New Roman" w:hAnsi="Times New Roman"/>
          <w:sz w:val="13"/>
          <w:szCs w:val="13"/>
          <w:color w:val="auto"/>
        </w:rPr>
        <w:t>for additional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Issuance of Redeemable preferred non-controlling interests</w:t>
      </w:r>
    </w:p>
    <w:p>
      <w:pPr>
        <w:spacing w:after="0" w:line="19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preferred dividend of $2,013 and $4,027 for the three and six months ended June 30, 2024, respectively. The Company recorded paid-in-kind preferred dividend of $2,174 and $4,282 for the three and six months ended June 30, 2023, respectively. Please see Note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7" w:right="319" w:bottom="1440" w:gutter="0" w:footer="0" w:header="0"/>
        </w:sectPr>
      </w:pPr>
    </w:p>
    <w:bookmarkStart w:id="37" w:name="page38"/>
    <w:bookmarkEnd w:id="37"/>
    <w:p>
      <w:pPr>
        <w:ind w:left="200" w:hanging="200"/>
        <w:spacing w:after="0"/>
        <w:tabs>
          <w:tab w:leader="none" w:pos="2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Redeemable non-controlling interests, Redeemable preferred non-controlling interests and Stockholders' Deficit</w:t>
      </w:r>
      <w:r>
        <w:rPr>
          <w:rFonts w:ascii="Times New Roman" w:cs="Times New Roman" w:eastAsia="Times New Roman" w:hAnsi="Times New Roman"/>
          <w:sz w:val="13"/>
          <w:szCs w:val="13"/>
          <w:color w:val="auto"/>
        </w:rPr>
        <w:t>,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Purchase and sale agreement for environmental attributes</w:t>
      </w:r>
    </w:p>
    <w:p>
      <w:pPr>
        <w:spacing w:after="0" w:line="193"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six months ended June 30, 2024, the Company earned net revenues after discount and fees of $15,881 and $31,376, respectively, under this contract which was recorded as part of Revenues - RNG Fuel and revenues of $9,528 and $17,269, respectively, under this contract which was recorded as part of Revenues - Fuel Station Services. For the three and six months ended June 30, 2023, the Company earned net revenues after discount and fees of $9,412 and $14,127, respectively, under this contract which was recorded as part of Revenues - RNG Fuel and revenues of $2,440 and $3,933, respectively, under this contract which was recorded as part of Revenues - Fuel Station Services. Please see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 xml:space="preserve"> for additional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Commodity swap contracts under ISDA and REC sales contracts</w:t>
      </w:r>
    </w:p>
    <w:p>
      <w:pPr>
        <w:spacing w:after="0" w:line="18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 xml:space="preserve">The Company entered into an ISDA agreement with NextEra in November 2019. Pursuant to the agreement, the Company enters into commodity swap contracts on a periodic basis. As of June 30, 2024 and December 31, 2023, there were two commodity swap contracts outstanding. The Company records the realized and unrealized gain (loss) on these commodity swap contracts as part of Revenues - Renewable Power. Please see Note 9. </w:t>
      </w:r>
      <w:r>
        <w:rPr>
          <w:rFonts w:ascii="Times New Roman" w:cs="Times New Roman" w:eastAsia="Times New Roman" w:hAnsi="Times New Roman"/>
          <w:sz w:val="13"/>
          <w:szCs w:val="13"/>
          <w:i w:val="1"/>
          <w:iCs w:val="1"/>
          <w:color w:val="auto"/>
        </w:rPr>
        <w:t>Derivative Financial Instruments and Fair Value Measurements</w:t>
      </w:r>
      <w:r>
        <w:rPr>
          <w:rFonts w:ascii="Times New Roman" w:cs="Times New Roman" w:eastAsia="Times New Roman" w:hAnsi="Times New Roman"/>
          <w:sz w:val="13"/>
          <w:szCs w:val="13"/>
          <w:color w:val="auto"/>
        </w:rPr>
        <w:t xml:space="preserve"> for additional information. Additionally, the Company has contracts to sell RECs and capacity to NextEra on multiple Renewable Power facilities at market price. The Company recorded $1,804 and $1,747 as revenues earned under these contracts for the three months ended June 30, 2024 and 2023. The Company recorded $3,330 and $3,274 as revenues earned for the six months ended June 30, 2024 and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Purchase of investments from Related Parties</w:t>
      </w:r>
    </w:p>
    <w:p>
      <w:pPr>
        <w:spacing w:after="0" w:line="123"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3"/>
          <w:szCs w:val="13"/>
          <w:color w:val="auto"/>
        </w:rPr>
        <w:t>In August 2021, the Company acquired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$220 and $566 as its share of net loss for the three months ended June 30, 2024 and 2023. The Company recorded a net loss of $291 and $436 as its share of net loss for the six months ended June 30, 2024 and 2023.</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Revenues contracts with equity method investment entities</w:t>
      </w:r>
    </w:p>
    <w:p>
      <w:pPr>
        <w:spacing w:after="0" w:line="11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The Company's wholly owned subsidiary, OPAL Fuel Station Services contracted with Pine Bend in December 2020, Noble Road in March 2021, Biotown in July 2021 and Emerald in December 2021 to dispense RNG and to generate and market resulting RINs. The Company receives non-cash consideration in the form of RINs or LCFSs for providing these services and recognizes the RINs and LCFSs received as inventory based on their estimated fair value at contract inception. Additionally, OPAL Fuel Station Services provides the same services to all wholly-owned subsidiaries of the Company. The revenues earned from the wholly-owned entities are fully eliminated in the condensed consolidated financial statements.</w:t>
      </w:r>
    </w:p>
    <w:p>
      <w:pPr>
        <w:spacing w:after="0" w:line="80"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The term of these contracts each runs for a term of 10 years. The Company receives non-cash consideration in the form of RINs or LCFSs for providing these services and recognizes the RINs or LCFSs received as inventory based on their estimated fair value at contract inception. Pine Bend and Noble Road came online in the first and third quarter of 2022 and Emerald in the third quarter of 2023. For the three months ended June 30, 2024 and 2023, the Company earned environmental processing fees of $2,100 and $555, net of intersegment elimination, under this agreement which are included in Fuel Station Services revenues in the condensed consolidated statements of operations. For the six months ended June 30, 2024 and 2023, the Company earned environmental processing fees of $4,439 and $1,141, net of</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color w:val="auto"/>
        </w:rPr>
        <w:t>intersegment elimination, under this agreement which are included in Fuel Station Services revenues in the condensed consolidated statements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Service agreements with Related Parties</w:t>
      </w:r>
    </w:p>
    <w:p>
      <w:pPr>
        <w:spacing w:after="0" w:line="12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with an auto renewal option on an annual basis, unless either party chooses to terminate with a written notice of 180 days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six months ended June 30, 2024 and 2023, there have been no material services provided by the Company's employees to Fortistar.</w:t>
      </w:r>
    </w:p>
    <w:p>
      <w:pPr>
        <w:spacing w:after="0" w:line="104"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initial term of the agreement was for thirty-six months and renews automatically on an annual basis unless the termination occurs earlier due to dissolution of the Company or it is terminated by the Company’s secured lenders in certain circumstances.</w:t>
      </w:r>
    </w:p>
    <w:p>
      <w:pPr>
        <w:spacing w:after="0" w:line="80"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On October 10, 2023, the board of directors of the Company appointed Mr. Scott Contino as Interim CFO. Mr. 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 on a cumulative basis. For the three and six months ended June 30, 2024, the Company paid $150 and $300, respectively which is included in Selling, general and administrative expenses in the condensed consolidated statement of operations.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various fees recorded under the agreements described above which are included in "Selling, general, and administrative" expenses: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0"/>
        </w:trPr>
        <w:tc>
          <w:tcPr>
            <w:tcW w:w="45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Staffing and management services</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r>
      <w:tr>
        <w:trPr>
          <w:trHeight w:val="170"/>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 - fixed compensation</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7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IT services</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r>
      <w:tr>
        <w:trPr>
          <w:trHeight w:val="160"/>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2,773</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The following table presents the various balances for related parties included in our condensed consolidated balance sheets as of June 30, 2024 and December 31,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39" w:name="page40"/>
    <w:bookmarkEnd w:id="39"/>
    <w:tbl>
      <w:tblPr>
        <w:tblLayout w:type="fixed"/>
        <w:tblInd w:w="32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Location in Balance Sheet</w:t>
            </w: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0"/>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40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spacing w:after="0"/>
              <w:rPr>
                <w:sz w:val="13"/>
                <w:szCs w:val="13"/>
                <w:color w:val="auto"/>
              </w:rPr>
            </w:pPr>
          </w:p>
        </w:tc>
      </w:tr>
      <w:tr>
        <w:trPr>
          <w:trHeight w:val="160"/>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Trade AR - NextEra</w:t>
            </w:r>
          </w:p>
        </w:tc>
        <w:tc>
          <w:tcPr>
            <w:tcW w:w="4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Accounts receivable, related party</w:t>
            </w: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14,738</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18,696</w:t>
            </w:r>
          </w:p>
        </w:tc>
      </w:tr>
      <w:tr>
        <w:trPr>
          <w:trHeight w:val="15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4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Payables to equity method investment entities</w:t>
            </w:r>
          </w:p>
        </w:tc>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5,692</w:t>
            </w: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NextEra</w:t>
            </w: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r>
      <w:tr>
        <w:trPr>
          <w:trHeight w:val="17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Staffing and management services - Fortistar</w:t>
            </w:r>
          </w:p>
        </w:tc>
        <w:tc>
          <w:tcPr>
            <w:tcW w:w="4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IT services - Costar</w:t>
            </w:r>
          </w:p>
        </w:tc>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related party</w:t>
            </w: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60"/>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 related party</w:t>
            </w:r>
          </w:p>
        </w:tc>
        <w:tc>
          <w:tcPr>
            <w:tcW w:w="4060" w:type="dxa"/>
            <w:vAlign w:val="bottom"/>
          </w:tcPr>
          <w:p>
            <w:pPr>
              <w:spacing w:after="0"/>
              <w:rPr>
                <w:sz w:val="13"/>
                <w:szCs w:val="13"/>
                <w:color w:val="auto"/>
              </w:rPr>
            </w:pPr>
          </w:p>
        </w:tc>
        <w:tc>
          <w:tcPr>
            <w:tcW w:w="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8,169</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7,024</w:t>
            </w:r>
          </w:p>
        </w:tc>
      </w:tr>
      <w:tr>
        <w:trPr>
          <w:trHeight w:val="20"/>
        </w:trPr>
        <w:tc>
          <w:tcPr>
            <w:tcW w:w="2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Reportable Segments and Geographic Information</w:t>
      </w:r>
    </w:p>
    <w:p>
      <w:pPr>
        <w:spacing w:after="0" w:line="12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The Company is organized into four operating segments based on the characteristics of its renewable power generation, dispensing portfolio, and the nature of other products and services. The Company changed its internal reporting to report revenues from RECs and ISCC Carbon Credits from RNG Fuel to the Renewable Power segment during the third quarter of 2023. This is primarily to reflect a strategic business change to identify all revenues earned from Environmental Attributes generated from Renewable Power facilities in the same segment. Therefore, the Company reclassified revenues of $5,800 and $11,245, respectively for the three and six months ended June 30, 2023, earned from sale of RECs and ISCC Carbon Credits from Revenues - RNG Fuel to Revenues - Renewable Power.</w:t>
      </w:r>
    </w:p>
    <w:p>
      <w:pPr>
        <w:spacing w:after="0" w:line="7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20" w:lineRule="exact"/>
        <w:rPr>
          <w:sz w:val="20"/>
          <w:szCs w:val="20"/>
          <w:color w:val="auto"/>
        </w:rPr>
      </w:pPr>
    </w:p>
    <w:p>
      <w:pPr>
        <w:ind w:left="600" w:hanging="360"/>
        <w:spacing w:after="0"/>
        <w:tabs>
          <w:tab w:leader="none" w:pos="600" w:val="left"/>
        </w:tabs>
        <w:numPr>
          <w:ilvl w:val="0"/>
          <w:numId w:val="19"/>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 xml:space="preserve">RNG Fuel. </w:t>
      </w:r>
      <w:r>
        <w:rPr>
          <w:rFonts w:ascii="Times New Roman" w:cs="Times New Roman" w:eastAsia="Times New Roman" w:hAnsi="Times New Roman"/>
          <w:sz w:val="13"/>
          <w:szCs w:val="13"/>
          <w:color w:val="auto"/>
        </w:rPr>
        <w:t>The RNG Fuel segment relates to all RNG supply directly related to the generation and sale of brown gas and environmental credits, and consists of:</w:t>
      </w:r>
    </w:p>
    <w:p>
      <w:pPr>
        <w:spacing w:after="0" w:line="264" w:lineRule="exact"/>
        <w:rPr>
          <w:rFonts w:ascii="Arial" w:cs="Arial" w:eastAsia="Arial" w:hAnsi="Arial"/>
          <w:sz w:val="13"/>
          <w:szCs w:val="13"/>
          <w:color w:val="auto"/>
        </w:rPr>
      </w:pPr>
    </w:p>
    <w:p>
      <w:pPr>
        <w:ind w:left="1080" w:hanging="359"/>
        <w:spacing w:after="0"/>
        <w:tabs>
          <w:tab w:leader="none" w:pos="108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 and construction – RNG facilities in which long term gas right contracts have been, or are in the process of being ratified and the construction of RNG generation facilities.</w:t>
      </w:r>
    </w:p>
    <w:p>
      <w:pPr>
        <w:spacing w:after="0" w:line="14"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supply operating facilities – This includes the generation, extraction, and sale of RNG - plus associated RINs and LCFSs from landfills.</w:t>
      </w:r>
    </w:p>
    <w:p>
      <w:pPr>
        <w:spacing w:after="0" w:line="257" w:lineRule="exact"/>
        <w:rPr>
          <w:sz w:val="20"/>
          <w:szCs w:val="20"/>
          <w:color w:val="auto"/>
        </w:rPr>
      </w:pPr>
    </w:p>
    <w:p>
      <w:pPr>
        <w:jc w:val="both"/>
        <w:ind w:firstLine="120"/>
        <w:spacing w:after="0" w:line="264" w:lineRule="auto"/>
        <w:rPr>
          <w:sz w:val="20"/>
          <w:szCs w:val="20"/>
          <w:color w:val="auto"/>
        </w:rPr>
      </w:pPr>
      <w:r>
        <w:rPr>
          <w:rFonts w:ascii="Times New Roman" w:cs="Times New Roman" w:eastAsia="Times New Roman" w:hAnsi="Times New Roman"/>
          <w:sz w:val="13"/>
          <w:szCs w:val="13"/>
          <w:color w:val="auto"/>
        </w:rPr>
        <w:t>For the three and six months ended June 30, 2024, the Company has accounted for its interests in Pine Bend, Reynolds, Noble Road, GREP, Paragon and SJI under the equity method of accounting and the results of operations of Beacon, New River, Polk County, Cottonwood, Central Valley, Prince William and Sunoma were consolidated in its condensed consolidated statement of operations. For the three and six months ended June 30, 2023, the Company has accounted for its interests in Pine Bend, Reynolds, Noble Road and GREP under the equity method of accounting and the results of operations of Beacon, New River, Central Valley, Prince William and Sunoma were consolidated in its condensed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month of June 2023.</w:t>
      </w:r>
    </w:p>
    <w:p>
      <w:pPr>
        <w:spacing w:after="0" w:line="54" w:lineRule="exact"/>
        <w:rPr>
          <w:sz w:val="20"/>
          <w:szCs w:val="20"/>
          <w:color w:val="auto"/>
        </w:rPr>
      </w:pPr>
    </w:p>
    <w:p>
      <w:pPr>
        <w:jc w:val="both"/>
        <w:ind w:firstLine="120"/>
        <w:spacing w:after="0" w:line="294" w:lineRule="auto"/>
        <w:rPr>
          <w:sz w:val="20"/>
          <w:szCs w:val="20"/>
          <w:color w:val="auto"/>
        </w:rPr>
      </w:pPr>
      <w:r>
        <w:rPr>
          <w:rFonts w:ascii="Times New Roman" w:cs="Times New Roman" w:eastAsia="Times New Roman" w:hAnsi="Times New Roman"/>
          <w:sz w:val="13"/>
          <w:szCs w:val="13"/>
          <w:color w:val="auto"/>
        </w:rPr>
        <w:t>As of June 30, 2024, Central Valley, Polk County, Cottonwood, projects included in SJI Joint Venture (Atlantic and Burlington) and Sapphire are not operational. Prince William commenced operations during the second quarter of 2024.</w:t>
      </w:r>
    </w:p>
    <w:p>
      <w:pPr>
        <w:spacing w:after="0" w:line="60" w:lineRule="exact"/>
        <w:rPr>
          <w:sz w:val="20"/>
          <w:szCs w:val="20"/>
          <w:color w:val="auto"/>
        </w:rPr>
      </w:pPr>
    </w:p>
    <w:p>
      <w:pPr>
        <w:ind w:left="600" w:hanging="360"/>
        <w:spacing w:after="0" w:line="300" w:lineRule="auto"/>
        <w:tabs>
          <w:tab w:leader="none" w:pos="59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Fuel Station Services. </w:t>
      </w:r>
      <w:r>
        <w:rPr>
          <w:rFonts w:ascii="Times New Roman" w:cs="Times New Roman" w:eastAsia="Times New Roman" w:hAnsi="Times New Roman"/>
          <w:sz w:val="13"/>
          <w:szCs w:val="13"/>
          <w:color w:val="auto"/>
        </w:rPr>
        <w:t>Through its Fuel Station Services segment</w:t>
      </w:r>
      <w:r>
        <w:rPr>
          <w:rFonts w:ascii="Times New Roman" w:cs="Times New Roman" w:eastAsia="Times New Roman" w:hAnsi="Times New Roman"/>
          <w:sz w:val="13"/>
          <w:szCs w:val="13"/>
          <w:b w:val="1"/>
          <w:bCs w:val="1"/>
          <w:color w:val="auto"/>
        </w:rPr>
        <w:t>, t</w:t>
      </w:r>
      <w:r>
        <w:rPr>
          <w:rFonts w:ascii="Times New Roman" w:cs="Times New Roman" w:eastAsia="Times New Roman" w:hAnsi="Times New Roman"/>
          <w:sz w:val="13"/>
          <w:szCs w:val="13"/>
          <w:color w:val="auto"/>
        </w:rPr>
        <w:t>he Company provides construction and maintenance services to third-party owners of vehicle Fueling Stations and performs fuel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dispensing activities including generation and minting of environmental credits. This segment includes: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30" w:right="319" w:bottom="1440" w:gutter="0" w:footer="0" w:header="0"/>
        </w:sectPr>
      </w:pPr>
    </w:p>
    <w:bookmarkStart w:id="40" w:name="page41"/>
    <w:bookmarkEnd w:id="40"/>
    <w:p>
      <w:pPr>
        <w:ind w:left="1080" w:hanging="359"/>
        <w:spacing w:after="0"/>
        <w:tabs>
          <w:tab w:leader="none" w:pos="108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and maintenance contracts for RNG/CNG fueling sites. Includes a manufacturing division that builds compact fueling systems and defueling systems.</w:t>
      </w:r>
    </w:p>
    <w:p>
      <w:pPr>
        <w:spacing w:after="0" w:line="23" w:lineRule="exact"/>
        <w:rPr>
          <w:rFonts w:ascii="Times New Roman" w:cs="Times New Roman" w:eastAsia="Times New Roman" w:hAnsi="Times New Roman"/>
          <w:sz w:val="13"/>
          <w:szCs w:val="13"/>
          <w:color w:val="auto"/>
        </w:rPr>
      </w:pPr>
    </w:p>
    <w:p>
      <w:pPr>
        <w:ind w:left="1080" w:hanging="359"/>
        <w:spacing w:after="0" w:line="242" w:lineRule="auto"/>
        <w:tabs>
          <w:tab w:leader="none" w:pos="1087"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Third Party CNG Construction of Fueling Stations - Design/build and serve as general contractor for typically Guarantee Maximum Price or fixed priced contracts for customers usually lasting less than one year.</w:t>
      </w:r>
    </w:p>
    <w:p>
      <w:pPr>
        <w:ind w:left="1080" w:hanging="359"/>
        <w:spacing w:after="0" w:line="272" w:lineRule="auto"/>
        <w:tabs>
          <w:tab w:leader="none" w:pos="1077"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133" w:lineRule="exact"/>
        <w:rPr>
          <w:rFonts w:ascii="Times New Roman" w:cs="Times New Roman" w:eastAsia="Times New Roman" w:hAnsi="Times New Roman"/>
          <w:sz w:val="13"/>
          <w:szCs w:val="13"/>
          <w:color w:val="auto"/>
        </w:rPr>
      </w:pPr>
    </w:p>
    <w:p>
      <w:pPr>
        <w:ind w:left="600" w:hanging="360"/>
        <w:spacing w:after="0" w:line="284" w:lineRule="auto"/>
        <w:tabs>
          <w:tab w:leader="none" w:pos="59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Renewable Power Portfolio. </w:t>
      </w:r>
      <w:r>
        <w:rPr>
          <w:rFonts w:ascii="Times New Roman" w:cs="Times New Roman" w:eastAsia="Times New Roman" w:hAnsi="Times New Roman"/>
          <w:sz w:val="13"/>
          <w:szCs w:val="13"/>
          <w:color w:val="auto"/>
        </w:rPr>
        <w:t>The Renewable Power portfolio segment generates renewable power through methane-rich landfills and digester gas collection systems which is then sold to public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utilities throughout the United States. The Renewable Power portfolio operates primarily in Southern California.</w:t>
      </w:r>
    </w:p>
    <w:p>
      <w:pPr>
        <w:spacing w:after="0" w:line="136"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Corporate. </w:t>
      </w:r>
      <w:r>
        <w:rPr>
          <w:rFonts w:ascii="Times New Roman" w:cs="Times New Roman" w:eastAsia="Times New Roman" w:hAnsi="Times New Roman"/>
          <w:sz w:val="13"/>
          <w:szCs w:val="13"/>
          <w:color w:val="auto"/>
        </w:rPr>
        <w:t>This segment consists of activities managed and maintained at the Company corporate level primarily including but not limited to:</w:t>
      </w:r>
    </w:p>
    <w:p>
      <w:pPr>
        <w:spacing w:after="0" w:line="8" w:lineRule="exact"/>
        <w:rPr>
          <w:rFonts w:ascii="Times New Roman" w:cs="Times New Roman" w:eastAsia="Times New Roman" w:hAnsi="Times New Roman"/>
          <w:sz w:val="13"/>
          <w:szCs w:val="13"/>
          <w:b w:val="1"/>
          <w:bCs w:val="1"/>
          <w:color w:val="auto"/>
        </w:rPr>
      </w:pPr>
    </w:p>
    <w:p>
      <w:pPr>
        <w:ind w:left="1080" w:hanging="359"/>
        <w:spacing w:after="0"/>
        <w:tabs>
          <w:tab w:leader="none" w:pos="108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 accounting, finance, sales activities such as: payroll, stock compensation expense, travel and other related costs.</w:t>
      </w:r>
    </w:p>
    <w:p>
      <w:pPr>
        <w:ind w:left="1080" w:hanging="359"/>
        <w:spacing w:after="0"/>
        <w:tabs>
          <w:tab w:leader="none" w:pos="108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Insurance, professional fees (audit, tax, legal etc.).</w:t>
      </w:r>
    </w:p>
    <w:p>
      <w:pPr>
        <w:spacing w:after="0" w:line="9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 The Company evaluates performance based on net income.</w:t>
      </w:r>
    </w:p>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40"/>
        </w:trPr>
        <w:tc>
          <w:tcPr>
            <w:tcW w:w="4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860" w:type="dxa"/>
            <w:vAlign w:val="bottom"/>
          </w:tcPr>
          <w:p>
            <w:pPr>
              <w:spacing w:after="0"/>
              <w:rPr>
                <w:sz w:val="12"/>
                <w:szCs w:val="12"/>
                <w:color w:val="auto"/>
              </w:rPr>
            </w:pPr>
          </w:p>
        </w:tc>
      </w:tr>
      <w:tr>
        <w:trPr>
          <w:trHeight w:val="176"/>
        </w:trPr>
        <w:tc>
          <w:tcPr>
            <w:tcW w:w="4800" w:type="dxa"/>
            <w:vAlign w:val="bottom"/>
          </w:tcPr>
          <w:p>
            <w:pPr>
              <w:spacing w:after="0"/>
              <w:rPr>
                <w:sz w:val="15"/>
                <w:szCs w:val="15"/>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56"/>
        </w:trPr>
        <w:tc>
          <w:tcPr>
            <w:tcW w:w="4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0"/>
        </w:trPr>
        <w:tc>
          <w:tcPr>
            <w:tcW w:w="480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Revenues:</w:t>
            </w:r>
          </w:p>
        </w:tc>
        <w:tc>
          <w:tcPr>
            <w:tcW w:w="8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r>
      <w:tr>
        <w:trPr>
          <w:trHeight w:val="156"/>
        </w:trPr>
        <w:tc>
          <w:tcPr>
            <w:tcW w:w="4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12,248</w:t>
            </w:r>
          </w:p>
        </w:tc>
        <w:tc>
          <w:tcPr>
            <w:tcW w:w="80" w:type="dxa"/>
            <w:vAlign w:val="bottom"/>
          </w:tcPr>
          <w:p>
            <w:pPr>
              <w:spacing w:after="0"/>
              <w:rPr>
                <w:sz w:val="13"/>
                <w:szCs w:val="13"/>
                <w:color w:val="auto"/>
              </w:rPr>
            </w:pPr>
          </w:p>
        </w:tc>
        <w:tc>
          <w:tcPr>
            <w:tcW w:w="620" w:type="dxa"/>
            <w:vAlign w:val="bottom"/>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14,455</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22,331</w:t>
            </w:r>
          </w:p>
        </w:tc>
        <w:tc>
          <w:tcPr>
            <w:tcW w:w="100" w:type="dxa"/>
            <w:vAlign w:val="bottom"/>
          </w:tcPr>
          <w:p>
            <w:pPr>
              <w:spacing w:after="0"/>
              <w:rPr>
                <w:sz w:val="13"/>
                <w:szCs w:val="13"/>
                <w:color w:val="auto"/>
              </w:rPr>
            </w:pPr>
          </w:p>
        </w:tc>
        <w:tc>
          <w:tcPr>
            <w:tcW w:w="480" w:type="dxa"/>
            <w:vAlign w:val="bottom"/>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29,818</w:t>
            </w:r>
          </w:p>
        </w:tc>
      </w:tr>
      <w:tr>
        <w:trPr>
          <w:trHeight w:val="24"/>
        </w:trPr>
        <w:tc>
          <w:tcPr>
            <w:tcW w:w="4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RNG Fuel </w:t>
            </w:r>
            <w:r>
              <w:rPr>
                <w:rFonts w:ascii="Times New Roman" w:cs="Times New Roman" w:eastAsia="Times New Roman" w:hAnsi="Times New Roman"/>
                <w:sz w:val="15"/>
                <w:szCs w:val="15"/>
                <w:color w:val="auto"/>
                <w:vertAlign w:val="superscript"/>
              </w:rPr>
              <w:t>(1)</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44,738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17,556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87,530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31,844</w:t>
            </w:r>
          </w:p>
        </w:tc>
      </w:tr>
      <w:tr>
        <w:trPr>
          <w:trHeight w:val="180"/>
        </w:trPr>
        <w:tc>
          <w:tcPr>
            <w:tcW w:w="4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Fuel Station Services </w:t>
            </w:r>
            <w:r>
              <w:rPr>
                <w:rFonts w:ascii="Times New Roman" w:cs="Times New Roman" w:eastAsia="Times New Roman" w:hAnsi="Times New Roman"/>
                <w:sz w:val="15"/>
                <w:szCs w:val="15"/>
                <w:color w:val="auto"/>
                <w:vertAlign w:val="superscript"/>
              </w:rPr>
              <w:t>(2)</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45,547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34,155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58,730</w:t>
            </w:r>
          </w:p>
        </w:tc>
      </w:tr>
      <w:tr>
        <w:trPr>
          <w:trHeight w:val="180"/>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5"/>
                <w:szCs w:val="15"/>
                <w:color w:val="auto"/>
                <w:vertAlign w:val="superscript"/>
              </w:rPr>
              <w:t>(3)</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56"/>
        </w:trPr>
        <w:tc>
          <w:tcPr>
            <w:tcW w:w="4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Intersegment eliminations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(4,199)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(7,946)</w:t>
            </w:r>
          </w:p>
        </w:tc>
      </w:tr>
      <w:tr>
        <w:trPr>
          <w:trHeight w:val="24"/>
        </w:trPr>
        <w:tc>
          <w:tcPr>
            <w:tcW w:w="4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4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8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(25,567)</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(6,925)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(50,974)</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(14,464)</w:t>
            </w:r>
          </w:p>
        </w:tc>
      </w:tr>
      <w:tr>
        <w:trPr>
          <w:trHeight w:val="146"/>
        </w:trPr>
        <w:tc>
          <w:tcPr>
            <w:tcW w:w="4800" w:type="dxa"/>
            <w:vAlign w:val="bottom"/>
          </w:tcPr>
          <w:p>
            <w:pPr>
              <w:spacing w:after="0"/>
              <w:rPr>
                <w:sz w:val="12"/>
                <w:szCs w:val="12"/>
                <w:color w:val="auto"/>
              </w:rPr>
            </w:pPr>
          </w:p>
        </w:tc>
        <w:tc>
          <w:tcPr>
            <w:tcW w:w="840" w:type="dxa"/>
            <w:vAlign w:val="bottom"/>
            <w:tcBorders>
              <w:top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70,950</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55,042</w:t>
            </w:r>
          </w:p>
        </w:tc>
        <w:tc>
          <w:tcPr>
            <w:tcW w:w="80" w:type="dxa"/>
            <w:vAlign w:val="bottom"/>
          </w:tcPr>
          <w:p>
            <w:pPr>
              <w:spacing w:after="0"/>
              <w:rPr>
                <w:sz w:val="12"/>
                <w:szCs w:val="12"/>
                <w:color w:val="auto"/>
              </w:rPr>
            </w:pPr>
          </w:p>
        </w:tc>
        <w:tc>
          <w:tcPr>
            <w:tcW w:w="3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135,902</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97,999</w:t>
            </w:r>
          </w:p>
        </w:tc>
      </w:tr>
      <w:tr>
        <w:trPr>
          <w:trHeight w:val="24"/>
        </w:trPr>
        <w:tc>
          <w:tcPr>
            <w:tcW w:w="4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w:t>
      </w:r>
    </w:p>
    <w:p>
      <w:pPr>
        <w:spacing w:after="0" w:line="46" w:lineRule="exact"/>
        <w:rPr>
          <w:sz w:val="20"/>
          <w:szCs w:val="20"/>
          <w:color w:val="auto"/>
        </w:rPr>
      </w:pPr>
    </w:p>
    <w:p>
      <w:pPr>
        <w:ind w:left="120" w:hanging="120"/>
        <w:spacing w:after="0"/>
        <w:tabs>
          <w:tab w:leader="none" w:pos="1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revenues from our equity method investments.</w:t>
      </w:r>
    </w:p>
    <w:p>
      <w:pPr>
        <w:spacing w:after="0" w:line="37" w:lineRule="exact"/>
        <w:rPr>
          <w:rFonts w:ascii="Times New Roman" w:cs="Times New Roman" w:eastAsia="Times New Roman" w:hAnsi="Times New Roman"/>
          <w:sz w:val="14"/>
          <w:szCs w:val="14"/>
          <w:color w:val="auto"/>
          <w:vertAlign w:val="superscript"/>
        </w:rPr>
      </w:pPr>
    </w:p>
    <w:p>
      <w:pPr>
        <w:ind w:left="120" w:hanging="120"/>
        <w:spacing w:after="0" w:line="213" w:lineRule="auto"/>
        <w:tabs>
          <w:tab w:leader="none" w:pos="1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intersegment revenues eliminated in the condensed consolidated financial statements.</w:t>
      </w:r>
    </w:p>
    <w:p>
      <w:pPr>
        <w:spacing w:after="0" w:line="47" w:lineRule="exact"/>
        <w:rPr>
          <w:rFonts w:ascii="Times New Roman" w:cs="Times New Roman" w:eastAsia="Times New Roman" w:hAnsi="Times New Roman"/>
          <w:sz w:val="14"/>
          <w:szCs w:val="14"/>
          <w:color w:val="auto"/>
          <w:vertAlign w:val="superscript"/>
        </w:rPr>
      </w:pPr>
    </w:p>
    <w:p>
      <w:pPr>
        <w:ind w:left="120" w:hanging="120"/>
        <w:spacing w:after="0" w:line="213" w:lineRule="auto"/>
        <w:tabs>
          <w:tab w:leader="none" w:pos="1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Other includes management fee revenues earned from operations and management of unconsolidated entities and Fortistar Contracting LLC.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820" w:type="dxa"/>
            <w:vAlign w:val="bottom"/>
          </w:tcPr>
          <w:p>
            <w:pPr>
              <w:spacing w:after="0"/>
              <w:rPr>
                <w:sz w:val="12"/>
                <w:szCs w:val="12"/>
                <w:color w:val="auto"/>
              </w:rPr>
            </w:pPr>
          </w:p>
        </w:tc>
      </w:tr>
      <w:tr>
        <w:trPr>
          <w:trHeight w:val="176"/>
        </w:trPr>
        <w:tc>
          <w:tcPr>
            <w:tcW w:w="546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20" w:type="dxa"/>
            <w:vAlign w:val="bottom"/>
            <w:tcBorders>
              <w:bottom w:val="single" w:sz="8" w:color="auto"/>
            </w:tcBorders>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5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54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Interest and Financing Expense, net:</w:t>
            </w:r>
          </w:p>
        </w:tc>
        <w:tc>
          <w:tcPr>
            <w:tcW w:w="8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r>
      <w:tr>
        <w:trPr>
          <w:trHeight w:val="156"/>
        </w:trPr>
        <w:tc>
          <w:tcPr>
            <w:tcW w:w="5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3"/>
                <w:szCs w:val="13"/>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r>
      <w:tr>
        <w:trPr>
          <w:trHeight w:val="24"/>
        </w:trPr>
        <w:tc>
          <w:tcPr>
            <w:tcW w:w="5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0"/>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RNG Fuel</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(1,594)</w:t>
            </w:r>
          </w:p>
        </w:tc>
      </w:tr>
      <w:tr>
        <w:trPr>
          <w:trHeight w:val="178"/>
        </w:trPr>
        <w:tc>
          <w:tcPr>
            <w:tcW w:w="5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Fuel Station Services</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r>
      <w:tr>
        <w:trPr>
          <w:trHeight w:val="182"/>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r>
      <w:tr>
        <w:trPr>
          <w:trHeight w:val="156"/>
        </w:trPr>
        <w:tc>
          <w:tcPr>
            <w:tcW w:w="5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r>
      <w:tr>
        <w:trPr>
          <w:trHeight w:val="24"/>
        </w:trPr>
        <w:tc>
          <w:tcPr>
            <w:tcW w:w="5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5"/>
        </w:trPr>
        <w:tc>
          <w:tcPr>
            <w:tcW w:w="5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(4,989)</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08" w:right="319" w:bottom="1440" w:gutter="0" w:footer="0" w:header="0"/>
        </w:sectPr>
      </w:pPr>
    </w:p>
    <w:bookmarkStart w:id="41" w:name="page42"/>
    <w:bookmarkEnd w:id="41"/>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5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60" w:type="dxa"/>
            <w:vAlign w:val="bottom"/>
          </w:tcPr>
          <w:p>
            <w:pPr>
              <w:spacing w:after="0"/>
              <w:rPr>
                <w:sz w:val="12"/>
                <w:szCs w:val="12"/>
                <w:color w:val="auto"/>
              </w:rPr>
            </w:pPr>
          </w:p>
        </w:tc>
      </w:tr>
      <w:tr>
        <w:trPr>
          <w:trHeight w:val="176"/>
        </w:trPr>
        <w:tc>
          <w:tcPr>
            <w:tcW w:w="5280" w:type="dxa"/>
            <w:vAlign w:val="bottom"/>
          </w:tcPr>
          <w:p>
            <w:pPr>
              <w:spacing w:after="0"/>
              <w:rPr>
                <w:sz w:val="15"/>
                <w:szCs w:val="15"/>
                <w:color w:val="auto"/>
              </w:rPr>
            </w:pPr>
          </w:p>
        </w:tc>
        <w:tc>
          <w:tcPr>
            <w:tcW w:w="2220" w:type="dxa"/>
            <w:vAlign w:val="bottom"/>
            <w:gridSpan w:val="6"/>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260" w:type="dxa"/>
            <w:vAlign w:val="bottom"/>
          </w:tcPr>
          <w:p>
            <w:pPr>
              <w:spacing w:after="0"/>
              <w:rPr>
                <w:sz w:val="15"/>
                <w:szCs w:val="15"/>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6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5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0"/>
        </w:trPr>
        <w:tc>
          <w:tcPr>
            <w:tcW w:w="528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Depreciation, Amortization, and Accretion:</w:t>
            </w:r>
          </w:p>
        </w:tc>
        <w:tc>
          <w:tcPr>
            <w:tcW w:w="7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r>
      <w:tr>
        <w:trPr>
          <w:trHeight w:val="156"/>
        </w:trPr>
        <w:tc>
          <w:tcPr>
            <w:tcW w:w="5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Renewable Power</w:t>
            </w:r>
          </w:p>
        </w:tc>
        <w:tc>
          <w:tcPr>
            <w:tcW w:w="700" w:type="dxa"/>
            <w:vAlign w:val="bottom"/>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w:t>
            </w:r>
          </w:p>
        </w:tc>
        <w:tc>
          <w:tcPr>
            <w:tcW w:w="8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2,901</w:t>
            </w:r>
          </w:p>
        </w:tc>
      </w:tr>
      <w:tr>
        <w:trPr>
          <w:trHeight w:val="24"/>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0"/>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RNG Fuel</w:t>
            </w:r>
          </w:p>
        </w:tc>
        <w:tc>
          <w:tcPr>
            <w:tcW w:w="7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2,292</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5,282</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4,316</w:t>
            </w:r>
          </w:p>
        </w:tc>
      </w:tr>
      <w:tr>
        <w:trPr>
          <w:trHeight w:val="156"/>
        </w:trPr>
        <w:tc>
          <w:tcPr>
            <w:tcW w:w="5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Fuel Station Services</w:t>
            </w: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1,638</w:t>
            </w:r>
          </w:p>
        </w:tc>
      </w:tr>
      <w:tr>
        <w:trPr>
          <w:trHeight w:val="24"/>
        </w:trPr>
        <w:tc>
          <w:tcPr>
            <w:tcW w:w="5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(1)</w:t>
            </w:r>
          </w:p>
        </w:tc>
        <w:tc>
          <w:tcPr>
            <w:tcW w:w="7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56"/>
        </w:trPr>
        <w:tc>
          <w:tcPr>
            <w:tcW w:w="52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w:t>
            </w:r>
          </w:p>
        </w:tc>
      </w:tr>
      <w:tr>
        <w:trPr>
          <w:trHeight w:val="24"/>
        </w:trPr>
        <w:tc>
          <w:tcPr>
            <w:tcW w:w="5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5"/>
        </w:trPr>
        <w:tc>
          <w:tcPr>
            <w:tcW w:w="5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60"/>
        <w:spacing w:after="0"/>
        <w:tabs>
          <w:tab w:leader="none" w:pos="38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1"/>
          <w:szCs w:val="11"/>
          <w:color w:val="auto"/>
        </w:rPr>
        <w:t>Other includes amortization of intangible assets and depreciation expense not allocated to any segment.</w:t>
      </w: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6"/>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8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21"/>
        </w:trPr>
        <w:tc>
          <w:tcPr>
            <w:tcW w:w="5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0"/>
        </w:trPr>
        <w:tc>
          <w:tcPr>
            <w:tcW w:w="50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Net income (loss)</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80" w:type="dxa"/>
            <w:vAlign w:val="bottom"/>
          </w:tcPr>
          <w:p>
            <w:pPr>
              <w:spacing w:after="0"/>
              <w:rPr>
                <w:sz w:val="12"/>
                <w:szCs w:val="12"/>
                <w:color w:val="auto"/>
              </w:rPr>
            </w:pPr>
          </w:p>
        </w:tc>
      </w:tr>
      <w:tr>
        <w:trPr>
          <w:trHeight w:val="185"/>
        </w:trPr>
        <w:tc>
          <w:tcPr>
            <w:tcW w:w="5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c>
          <w:tcPr>
            <w:tcW w:w="80" w:type="dxa"/>
            <w:vAlign w:val="bottom"/>
          </w:tcPr>
          <w:p>
            <w:pPr>
              <w:spacing w:after="0"/>
              <w:rPr>
                <w:sz w:val="16"/>
                <w:szCs w:val="16"/>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5,059</w:t>
            </w:r>
          </w:p>
        </w:tc>
        <w:tc>
          <w:tcPr>
            <w:tcW w:w="80" w:type="dxa"/>
            <w:vAlign w:val="bottom"/>
          </w:tcPr>
          <w:p>
            <w:pPr>
              <w:spacing w:after="0"/>
              <w:rPr>
                <w:sz w:val="16"/>
                <w:szCs w:val="16"/>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100" w:type="dxa"/>
            <w:vAlign w:val="bottom"/>
          </w:tcPr>
          <w:p>
            <w:pPr>
              <w:spacing w:after="0"/>
              <w:rPr>
                <w:sz w:val="16"/>
                <w:szCs w:val="16"/>
                <w:color w:val="auto"/>
              </w:rPr>
            </w:pP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9,601</w:t>
            </w:r>
          </w:p>
        </w:tc>
        <w:tc>
          <w:tcPr>
            <w:tcW w:w="780" w:type="dxa"/>
            <w:vAlign w:val="bottom"/>
          </w:tcPr>
          <w:p>
            <w:pPr>
              <w:spacing w:after="0"/>
              <w:rPr>
                <w:sz w:val="16"/>
                <w:szCs w:val="16"/>
                <w:color w:val="auto"/>
              </w:rPr>
            </w:pPr>
          </w:p>
        </w:tc>
      </w:tr>
      <w:tr>
        <w:trPr>
          <w:trHeight w:val="19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RNG Fuel</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780" w:type="dxa"/>
            <w:vAlign w:val="bottom"/>
          </w:tcPr>
          <w:p>
            <w:pPr>
              <w:spacing w:after="0"/>
              <w:rPr>
                <w:sz w:val="16"/>
                <w:szCs w:val="16"/>
                <w:color w:val="auto"/>
              </w:rPr>
            </w:pPr>
          </w:p>
        </w:tc>
      </w:tr>
      <w:tr>
        <w:trPr>
          <w:trHeight w:val="185"/>
        </w:trPr>
        <w:tc>
          <w:tcPr>
            <w:tcW w:w="5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Fuel Station Services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780" w:type="dxa"/>
            <w:vAlign w:val="bottom"/>
          </w:tcPr>
          <w:p>
            <w:pPr>
              <w:spacing w:after="0"/>
              <w:rPr>
                <w:sz w:val="16"/>
                <w:szCs w:val="16"/>
                <w:color w:val="auto"/>
              </w:rPr>
            </w:pPr>
          </w:p>
        </w:tc>
      </w:tr>
      <w:tr>
        <w:trPr>
          <w:trHeight w:val="195"/>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106,640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(25,178)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98,274</w:t>
            </w:r>
          </w:p>
        </w:tc>
        <w:tc>
          <w:tcPr>
            <w:tcW w:w="780" w:type="dxa"/>
            <w:vAlign w:val="bottom"/>
          </w:tcPr>
          <w:p>
            <w:pPr>
              <w:spacing w:after="0"/>
              <w:rPr>
                <w:sz w:val="16"/>
                <w:szCs w:val="16"/>
                <w:color w:val="auto"/>
              </w:rPr>
            </w:pPr>
          </w:p>
        </w:tc>
      </w:tr>
      <w:tr>
        <w:trPr>
          <w:trHeight w:val="185"/>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780" w:type="dxa"/>
            <w:vAlign w:val="bottom"/>
          </w:tcPr>
          <w:p>
            <w:pPr>
              <w:spacing w:after="0"/>
              <w:rPr>
                <w:sz w:val="16"/>
                <w:szCs w:val="16"/>
                <w:color w:val="auto"/>
              </w:rPr>
            </w:pPr>
          </w:p>
        </w:tc>
      </w:tr>
      <w:tr>
        <w:trPr>
          <w:trHeight w:val="200"/>
        </w:trPr>
        <w:tc>
          <w:tcPr>
            <w:tcW w:w="5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114,050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106,704</w:t>
            </w:r>
          </w:p>
        </w:tc>
        <w:tc>
          <w:tcPr>
            <w:tcW w:w="780" w:type="dxa"/>
            <w:vAlign w:val="bottom"/>
          </w:tcPr>
          <w:p>
            <w:pPr>
              <w:spacing w:after="0"/>
              <w:rPr>
                <w:sz w:val="16"/>
                <w:szCs w:val="16"/>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48"/>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r>
      <w:tr>
        <w:trPr>
          <w:trHeight w:val="166"/>
        </w:trPr>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56"/>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5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0"/>
        </w:trPr>
        <w:tc>
          <w:tcPr>
            <w:tcW w:w="5060" w:type="dxa"/>
            <w:vAlign w:val="bottom"/>
            <w:tcBorders>
              <w:bottom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Cash paid for Purchases of Property, Plant, and Equipment:</w:t>
            </w:r>
          </w:p>
        </w:tc>
        <w:tc>
          <w:tcPr>
            <w:tcW w:w="2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r>
      <w:tr>
        <w:trPr>
          <w:trHeight w:val="156"/>
        </w:trPr>
        <w:tc>
          <w:tcPr>
            <w:tcW w:w="5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Fuel Station Services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12,356</w:t>
            </w:r>
          </w:p>
        </w:tc>
      </w:tr>
      <w:tr>
        <w:trPr>
          <w:trHeight w:val="24"/>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180"/>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RNG Fuel</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38,238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59,653</w:t>
            </w:r>
          </w:p>
        </w:tc>
      </w:tr>
      <w:tr>
        <w:trPr>
          <w:trHeight w:val="146"/>
        </w:trPr>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49,742</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72,009</w:t>
            </w:r>
          </w:p>
        </w:tc>
      </w:tr>
      <w:tr>
        <w:trPr>
          <w:trHeight w:val="24"/>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20" w:top="1440" w:right="399" w:bottom="1440" w:gutter="0" w:footer="0" w:header="0"/>
        </w:sectPr>
      </w:pP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33"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2023</w:t>
      </w:r>
    </w:p>
    <w:p>
      <w:pPr>
        <w:spacing w:after="0" w:line="12" w:lineRule="exact"/>
        <w:rPr>
          <w:sz w:val="20"/>
          <w:szCs w:val="20"/>
          <w:color w:val="auto"/>
        </w:rPr>
      </w:pPr>
    </w:p>
    <w:p>
      <w:pPr>
        <w:sectPr>
          <w:pgSz w:w="11900" w:h="16838" w:orient="portrait"/>
          <w:cols w:equalWidth="0" w:num="2">
            <w:col w:w="9480" w:space="720"/>
            <w:col w:w="1080"/>
          </w:cols>
          <w:pgMar w:left="220" w:top="1440" w:right="39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5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56"/>
        </w:trPr>
        <w:tc>
          <w:tcPr>
            <w:tcW w:w="8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Renewable Power</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34,774</w:t>
            </w:r>
          </w:p>
        </w:tc>
        <w:tc>
          <w:tcPr>
            <w:tcW w:w="10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37,479</w:t>
            </w: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0"/>
        </w:trPr>
        <w:tc>
          <w:tcPr>
            <w:tcW w:w="8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RNG Fuel</w:t>
            </w:r>
          </w:p>
        </w:tc>
        <w:tc>
          <w:tcPr>
            <w:tcW w:w="5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355,155</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342,176</w:t>
            </w:r>
          </w:p>
        </w:tc>
      </w:tr>
      <w:tr>
        <w:trPr>
          <w:trHeight w:val="178"/>
        </w:trPr>
        <w:tc>
          <w:tcPr>
            <w:tcW w:w="8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Fuel Station Services</w:t>
            </w: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155,256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152,625</w:t>
            </w:r>
          </w:p>
        </w:tc>
      </w:tr>
      <w:tr>
        <w:trPr>
          <w:trHeight w:val="182"/>
        </w:trPr>
        <w:tc>
          <w:tcPr>
            <w:tcW w:w="8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w:t>
            </w: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24,548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15,230</w:t>
            </w:r>
          </w:p>
        </w:tc>
      </w:tr>
      <w:tr>
        <w:trPr>
          <w:trHeight w:val="156"/>
        </w:trPr>
        <w:tc>
          <w:tcPr>
            <w:tcW w:w="8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5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212,579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207,099</w:t>
            </w:r>
          </w:p>
        </w:tc>
      </w:tr>
      <w:tr>
        <w:trPr>
          <w:trHeight w:val="24"/>
        </w:trPr>
        <w:tc>
          <w:tcPr>
            <w:tcW w:w="8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5"/>
        </w:trPr>
        <w:tc>
          <w:tcPr>
            <w:tcW w:w="8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782,312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754,609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Geographic Information: The Company's assets and revenue generating activities are domiciled in the United States of America.</w:t>
      </w:r>
    </w:p>
    <w:p>
      <w:pPr>
        <w:spacing w:after="0" w:line="1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12. Variable Interest Entities</w:t>
      </w: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161290</wp:posOffset>
            </wp:positionV>
            <wp:extent cx="719328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220" w:top="1440" w:right="399" w:bottom="1440" w:gutter="0" w:footer="0" w:header="0"/>
          <w:type w:val="continuous"/>
        </w:sectPr>
      </w:pPr>
    </w:p>
    <w:bookmarkStart w:id="42" w:name="page43"/>
    <w:bookmarkEnd w:id="42"/>
    <w:p>
      <w:pPr>
        <w:jc w:val="both"/>
        <w:ind w:firstLine="240"/>
        <w:spacing w:after="0" w:line="264" w:lineRule="auto"/>
        <w:rPr>
          <w:sz w:val="20"/>
          <w:szCs w:val="20"/>
          <w:color w:val="auto"/>
        </w:rPr>
      </w:pPr>
      <w:r>
        <w:rPr>
          <w:rFonts w:ascii="Times New Roman" w:cs="Times New Roman" w:eastAsia="Times New Roman" w:hAnsi="Times New Roman"/>
          <w:sz w:val="13"/>
          <w:szCs w:val="13"/>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7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77"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As of June 30, 2024 and December 31, 2023, the Company held equity interests in seven VIEs — Sunoma, GREP, Emerald, Sapphire, Paragon, SJI Joint Venture (Atlantic and Burlington) and Central Valley.</w:t>
      </w:r>
    </w:p>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June 30, 2024 and December 31, 2023, GREP, Paragon and SJI were presented as equity method investments and the remaining two VIEs Sunoma and Central Valley are consolidated by the Company.</w:t>
      </w:r>
    </w:p>
    <w:p>
      <w:pPr>
        <w:spacing w:after="0" w:line="111"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June 30, 2024 and December 31, 2023.</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64" w:lineRule="exact"/>
        <w:rPr>
          <w:sz w:val="20"/>
          <w:szCs w:val="20"/>
          <w:color w:val="auto"/>
        </w:rPr>
      </w:pPr>
    </w:p>
    <w:p>
      <w:pPr>
        <w:ind w:left="600" w:right="120" w:hanging="360"/>
        <w:spacing w:after="0" w:line="294" w:lineRule="auto"/>
        <w:tabs>
          <w:tab w:leader="none" w:pos="59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as a managing member, has the power to order the activities that significantly impact the economic performance of the two entities including establishment of strategic, operating, and capital decisions for each of these entities; and</w:t>
      </w:r>
    </w:p>
    <w:p>
      <w:pPr>
        <w:spacing w:after="0" w:line="54"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the obligation to absorb the potential losses for the right to receive potential benefits, which could be significant to the VIE;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3"/>
          <w:szCs w:val="13"/>
          <w:i w:val="1"/>
          <w:iCs w:val="1"/>
          <w:color w:val="auto"/>
        </w:rPr>
        <w:t>Consolidation</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54"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The following table summarizes the major condensed consolidated balance sheet items for consolidated VIEs as of June 30, 2024 and December 31, 2023. The information below is presented on an aggregate basis based on similar risk and reward characteristics and the nature of our involvement with the VIEs, such as:</w:t>
      </w:r>
    </w:p>
    <w:p>
      <w:pPr>
        <w:spacing w:after="0" w:line="64" w:lineRule="exact"/>
        <w:rPr>
          <w:sz w:val="20"/>
          <w:szCs w:val="20"/>
          <w:color w:val="auto"/>
        </w:rPr>
      </w:pPr>
    </w:p>
    <w:p>
      <w:pPr>
        <w:ind w:left="600" w:hanging="360"/>
        <w:spacing w:after="0"/>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VIEs are RNG facilities and they are reported under the RNG Fuel Supply segment;</w:t>
      </w:r>
    </w:p>
    <w:p>
      <w:pPr>
        <w:spacing w:after="0" w:line="120"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nature of our interest in these entities is primarily equity based and therefore carry similar risk and reward characteristics;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amount of assets that can only be used to settle obligations of the VIEs are parenthesized in the condensed consolidated balance sheets and are included in the asset totals listed in the table below.</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18"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50"/>
        </w:trPr>
        <w:tc>
          <w:tcPr>
            <w:tcW w:w="8200" w:type="dxa"/>
            <w:vAlign w:val="bottom"/>
          </w:tcPr>
          <w:p>
            <w:pPr>
              <w:spacing w:after="0"/>
              <w:rPr>
                <w:sz w:val="13"/>
                <w:szCs w:val="13"/>
                <w:color w:val="auto"/>
              </w:rPr>
            </w:pPr>
          </w:p>
        </w:tc>
        <w:tc>
          <w:tcPr>
            <w:tcW w:w="104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40"/>
        </w:trPr>
        <w:tc>
          <w:tcPr>
            <w:tcW w:w="8200" w:type="dxa"/>
            <w:vAlign w:val="bottom"/>
          </w:tcPr>
          <w:p>
            <w:pPr>
              <w:spacing w:after="0"/>
              <w:rPr>
                <w:sz w:val="12"/>
                <w:szCs w:val="12"/>
                <w:color w:val="auto"/>
              </w:rPr>
            </w:pPr>
          </w:p>
        </w:tc>
        <w:tc>
          <w:tcPr>
            <w:tcW w:w="104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0" w:type="dxa"/>
            <w:vAlign w:val="bottom"/>
          </w:tcPr>
          <w:p>
            <w:pPr>
              <w:spacing w:after="0"/>
              <w:rPr>
                <w:sz w:val="1"/>
                <w:szCs w:val="1"/>
                <w:color w:val="auto"/>
              </w:rPr>
            </w:pPr>
          </w:p>
        </w:tc>
      </w:tr>
      <w:tr>
        <w:trPr>
          <w:trHeight w:val="14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0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40" w:type="dxa"/>
            <w:vAlign w:val="bottom"/>
            <w:tcBorders>
              <w:bottom w:val="single" w:sz="8" w:color="CCEEFF"/>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net</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Restricted cash - current</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4,395</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Environmental credits held for sale</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assets</w:t>
            </w:r>
          </w:p>
        </w:tc>
        <w:tc>
          <w:tcPr>
            <w:tcW w:w="10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4,730</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25,884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26,626</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29,905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040" w:type="dxa"/>
            <w:vAlign w:val="bottom"/>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 related party</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payroll</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Sunoma Loan- current portion</w:t>
            </w:r>
          </w:p>
        </w:tc>
        <w:tc>
          <w:tcPr>
            <w:tcW w:w="10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0" w:type="dxa"/>
            <w:vAlign w:val="bottom"/>
          </w:tcPr>
          <w:p>
            <w:pPr>
              <w:spacing w:after="0"/>
              <w:rPr>
                <w:sz w:val="1"/>
                <w:szCs w:val="1"/>
                <w:color w:val="auto"/>
              </w:rPr>
            </w:pPr>
          </w:p>
        </w:tc>
      </w:tr>
      <w:tr>
        <w:trPr>
          <w:trHeight w:val="146"/>
        </w:trPr>
        <w:tc>
          <w:tcPr>
            <w:tcW w:w="8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10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3,355</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4,137</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8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Sunoma loan, net of debt issuance costs</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20,010</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25,231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24,358</w:t>
            </w:r>
          </w:p>
        </w:tc>
        <w:tc>
          <w:tcPr>
            <w:tcW w:w="0" w:type="dxa"/>
            <w:vAlign w:val="bottom"/>
          </w:tcPr>
          <w:p>
            <w:pPr>
              <w:spacing w:after="0"/>
              <w:rPr>
                <w:sz w:val="1"/>
                <w:szCs w:val="1"/>
                <w:color w:val="auto"/>
              </w:rPr>
            </w:pPr>
          </w:p>
        </w:tc>
      </w:tr>
      <w:tr>
        <w:trPr>
          <w:trHeight w:val="136"/>
        </w:trPr>
        <w:tc>
          <w:tcPr>
            <w:tcW w:w="820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Equity</w:t>
            </w:r>
          </w:p>
        </w:tc>
        <w:tc>
          <w:tcPr>
            <w:tcW w:w="10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equity</w:t>
            </w:r>
          </w:p>
        </w:tc>
        <w:tc>
          <w:tcPr>
            <w:tcW w:w="10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7,893</w:t>
            </w:r>
          </w:p>
        </w:tc>
        <w:tc>
          <w:tcPr>
            <w:tcW w:w="0" w:type="dxa"/>
            <w:vAlign w:val="bottom"/>
          </w:tcPr>
          <w:p>
            <w:pPr>
              <w:spacing w:after="0"/>
              <w:rPr>
                <w:sz w:val="1"/>
                <w:szCs w:val="1"/>
                <w:color w:val="auto"/>
              </w:rPr>
            </w:pPr>
          </w:p>
        </w:tc>
      </w:tr>
      <w:tr>
        <w:trPr>
          <w:trHeight w:val="156"/>
        </w:trPr>
        <w:tc>
          <w:tcPr>
            <w:tcW w:w="8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Non-redeemable non-controlling interests</w:t>
            </w: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955</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equity</w:t>
            </w:r>
          </w:p>
        </w:tc>
        <w:tc>
          <w:tcPr>
            <w:tcW w:w="10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8,848</w:t>
            </w:r>
          </w:p>
        </w:tc>
        <w:tc>
          <w:tcPr>
            <w:tcW w:w="0" w:type="dxa"/>
            <w:vAlign w:val="bottom"/>
          </w:tcPr>
          <w:p>
            <w:pPr>
              <w:spacing w:after="0"/>
              <w:rPr>
                <w:sz w:val="1"/>
                <w:szCs w:val="1"/>
                <w:color w:val="auto"/>
              </w:rPr>
            </w:pPr>
          </w:p>
        </w:tc>
      </w:tr>
      <w:tr>
        <w:trPr>
          <w:trHeight w:val="168"/>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1040" w:type="dxa"/>
            <w:vAlign w:val="bottom"/>
            <w:tcBorders>
              <w:top w:val="single" w:sz="8" w:color="auto"/>
              <w:bottom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33,206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Redeemable non-controlling interests, Redeemable preferred non-controlling interests and Stockholders' Deficit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185"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3"/>
          <w:szCs w:val="13"/>
          <w:color w:val="auto"/>
        </w:rPr>
        <w:t>As of June 30, 2024, there are (i) 30,058,569 shares of Class A common stock issued and 28,422,786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Share conversion</w:t>
      </w:r>
    </w:p>
    <w:p>
      <w:pPr>
        <w:spacing w:after="0" w:line="19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On March 12, 2024, Fortistar, through its subsidiary OPAL Holdco LLC, converted 71.5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 Subsequent to the exchange, Fortistar holds 72,899,037 shares of Class D common stock and 71,500,000 shares of Class B common stock.</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i w:val="1"/>
          <w:iCs w:val="1"/>
          <w:color w:val="auto"/>
        </w:rPr>
        <w:t>ATM Program</w:t>
      </w:r>
    </w:p>
    <w:p>
      <w:pPr>
        <w:spacing w:after="0" w:line="183"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13"/>
          <w:szCs w:val="13"/>
          <w:color w:val="auto"/>
        </w:rPr>
        <w:t>On November 17, 2023, OPAL Fuels Inc.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w:t>
      </w:r>
    </w:p>
    <w:p>
      <w:pPr>
        <w:spacing w:after="0" w:line="156"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13"/>
          <w:szCs w:val="13"/>
          <w:color w:val="auto"/>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Company issued 36,353 shares of Class A common stock under the ATM Program during the six months ended June 30, 2024 at prices ranging between $4.34 and $5.68 and received net proceeds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$170.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Redeemable preferred non-controlling interests</w:t>
      </w:r>
    </w:p>
    <w:p>
      <w:pPr>
        <w:spacing w:after="0" w:line="185"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On November 29, 2021, as part of an exchange agreement (“Hillman exchange”), the Company issued 300,000 Series A-1 preferred units to Hillman in return for Hillman’s non-controlling interest in four RNG project subsidiaries.</w:t>
      </w:r>
    </w:p>
    <w:p>
      <w:pPr>
        <w:spacing w:after="0" w:line="14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November 29, 2021, NextEra subscribed for up to 1,000,000 Series A preferred units, which are issuable (in whole or in increments) at the Company’s discretion prior to June 30, 2022. During the year ended December 31, 2023, the Company had drawn $100,000 and issued 1,000,000 Series A preferred units.</w:t>
      </w:r>
    </w:p>
    <w:p>
      <w:pPr>
        <w:spacing w:after="0" w:line="13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changes in the redeemable preferred non-controlling interests which represent Series A and Series A-1 preferred units outstanding at OPAL Fuels level from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to June 30,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20" w:type="dxa"/>
            <w:vAlign w:val="bottom"/>
          </w:tcPr>
          <w:p>
            <w:pPr>
              <w:spacing w:after="0"/>
              <w:rPr>
                <w:sz w:val="15"/>
                <w:szCs w:val="15"/>
                <w:color w:val="auto"/>
              </w:rPr>
            </w:pPr>
          </w:p>
        </w:tc>
        <w:tc>
          <w:tcPr>
            <w:tcW w:w="2580" w:type="dxa"/>
            <w:vAlign w:val="bottom"/>
            <w:gridSpan w:val="4"/>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Series A-1 preferred units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5"/>
          </w:tcPr>
          <w:p>
            <w:pPr>
              <w:ind w:left="900"/>
              <w:spacing w:after="0"/>
              <w:rPr>
                <w:sz w:val="20"/>
                <w:szCs w:val="20"/>
                <w:color w:val="auto"/>
              </w:rPr>
            </w:pPr>
            <w:r>
              <w:rPr>
                <w:rFonts w:ascii="Times New Roman" w:cs="Times New Roman" w:eastAsia="Times New Roman" w:hAnsi="Times New Roman"/>
                <w:sz w:val="13"/>
                <w:szCs w:val="13"/>
                <w:b w:val="1"/>
                <w:bCs w:val="1"/>
                <w:color w:val="auto"/>
              </w:rPr>
              <w:t>Series A preferred units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0"/>
        </w:trPr>
        <w:tc>
          <w:tcPr>
            <w:tcW w:w="3420" w:type="dxa"/>
            <w:vAlign w:val="bottom"/>
          </w:tcPr>
          <w:p>
            <w:pPr>
              <w:spacing w:after="0"/>
              <w:rPr>
                <w:sz w:val="13"/>
                <w:szCs w:val="13"/>
                <w:color w:val="auto"/>
              </w:rPr>
            </w:pPr>
          </w:p>
        </w:tc>
        <w:tc>
          <w:tcPr>
            <w:tcW w:w="9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30,604</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102,013</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132,617</w:t>
            </w:r>
          </w:p>
        </w:tc>
      </w:tr>
      <w:tr>
        <w:trPr>
          <w:trHeight w:val="17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 dividends attributable to OPAL Fuels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w:t>
            </w:r>
          </w:p>
        </w:tc>
      </w:tr>
      <w:tr>
        <w:trPr>
          <w:trHeight w:val="130"/>
        </w:trPr>
        <w:tc>
          <w:tcPr>
            <w:tcW w:w="436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Preferred dividends attributable to Class A common</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r>
      <w:tr>
        <w:trPr>
          <w:trHeight w:val="17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Payment of Preferred dividends</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(1,813)</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(7,853)</w:t>
            </w:r>
          </w:p>
        </w:tc>
      </w:tr>
      <w:tr>
        <w:trPr>
          <w:trHeight w:val="18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Terms of Redeemable preferred units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Series A and Series A-1 preferred units (together the “Preferred Units”) have substantially the same terms and features which are listed below:</w:t>
      </w:r>
    </w:p>
    <w:p>
      <w:pPr>
        <w:spacing w:after="0" w:line="191"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76" w:right="319" w:bottom="1440" w:gutter="0" w:footer="0" w:header="0"/>
        </w:sectPr>
      </w:pPr>
    </w:p>
    <w:bookmarkStart w:id="45" w:name="page46"/>
    <w:bookmarkEnd w:id="45"/>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5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34"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52"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w:t>
      </w:r>
    </w:p>
    <w:p>
      <w:pPr>
        <w:spacing w:after="0" w:line="2" w:lineRule="exact"/>
        <w:rPr>
          <w:sz w:val="20"/>
          <w:szCs w:val="20"/>
          <w:color w:val="auto"/>
        </w:rPr>
      </w:pPr>
    </w:p>
    <w:p>
      <w:pPr>
        <w:spacing w:after="0" w:line="274" w:lineRule="auto"/>
        <w:tabs>
          <w:tab w:leader="none" w:pos="17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spacing w:after="0" w:line="146" w:lineRule="exact"/>
        <w:rPr>
          <w:sz w:val="20"/>
          <w:szCs w:val="20"/>
          <w:color w:val="auto"/>
        </w:rPr>
      </w:pPr>
    </w:p>
    <w:p>
      <w:pPr>
        <w:ind w:left="140" w:hanging="140"/>
        <w:spacing w:after="0"/>
        <w:tabs>
          <w:tab w:leader="none" w:pos="1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Using 20-day volume-weighted average price (“VWAP”) of the Company's common shares.</w:t>
      </w:r>
    </w:p>
    <w:p>
      <w:pPr>
        <w:spacing w:after="0" w:line="190" w:lineRule="exact"/>
        <w:rPr>
          <w:rFonts w:ascii="Times New Roman" w:cs="Times New Roman" w:eastAsia="Times New Roman" w:hAnsi="Times New Roman"/>
          <w:sz w:val="13"/>
          <w:szCs w:val="13"/>
          <w:color w:val="auto"/>
        </w:rPr>
      </w:pPr>
    </w:p>
    <w:p>
      <w:pPr>
        <w:ind w:left="140" w:hanging="140"/>
        <w:spacing w:after="0"/>
        <w:tabs>
          <w:tab w:leader="none" w:pos="1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the estimated proceeds to be received by the holder of a common unit if the net assets of the Company were sold at fair market value and distributed.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Redeemable non-controlling interests</w:t>
      </w:r>
    </w:p>
    <w:p>
      <w:pPr>
        <w:spacing w:after="0" w:line="19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150"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June 30, 2024, the Company recorded $597,069 as the redemption value based on a 5 day VWAP of $4.13 per share.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20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color w:val="auto"/>
        </w:rPr>
        <w:t>14. Net Income (Loss) Per Share</w:t>
      </w:r>
    </w:p>
    <w:p>
      <w:pPr>
        <w:spacing w:after="0" w:line="17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basic income per share of Class A common stock is computed by dividing the net income (loss) attributable to Class A common stockholders by the weighted average number of Class A common stock outstanding during the period. The basic income per share for the three and six months ended June 30, 2024 does not include 1,635,783 shares in treasury, 763,908 shares issued and outstanding but are contingent on achieving earnout targets. During the first quarter of 2023, the put option was exercised and 197,258 shares of Class A common stock were cancelled.</w:t>
      </w:r>
    </w:p>
    <w:p>
      <w:pPr>
        <w:spacing w:after="0" w:line="127"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diluted income per share of Class A common stock for the three and six months ended June 30, 2024 does not include Redeemable preferred non-controlling interests because the substantive contingency for conversion has not been met as of June 30, 2024. It does not include 144,399,037 OPAL Fuels Class B units representing Redeemable non-controlling interest as its impact is anti-dilutive. It does not include 716,650 Sponsor Earnout Awards and 10,000,000 OPAL Earnout Awards as their target share price and adjusted EBITDA contingencies have not been met as of June 30, 2024. The outstanding restricted stock units and stock options issued under the 2022 Plan are not included as their impact is dilutive. The outstanding performance units under the 2022 Plan are not included as the performance conditions have not been met as of June 30, 2024.</w:t>
      </w:r>
    </w:p>
    <w:p>
      <w:pPr>
        <w:spacing w:after="0" w:line="132"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diluted income per share of Class A common stock for the three and six months ended June 30, 2023 does not include Redeemable preferred non-controlling interests and the Convertible Note Payable because the substantive contingency for conversion has not been met as of June 30,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June 30, 2023. The outstanding stock options issued under the 2022 Plan are not included as their impact is dilutive. The outstanding performance units under the 2022 Plan are not included as the performance conditions have not been met as of June 30, 2023.</w:t>
      </w:r>
    </w:p>
    <w:p>
      <w:pPr>
        <w:spacing w:after="0" w:line="82"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Class B common stock and D common stock do not participate in the earnings or losses of the Company and are therefore not participating securities. As such, separate presentation of basic and diluted earnings per share of Class B common stock and Class D common stock under the two-class method has not been presented.</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calculation of basic and diluted net loss per share:</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3"/>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gridSpan w:val="3"/>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attributable to Class A common stockholders</w:t>
            </w:r>
          </w:p>
        </w:tc>
        <w:tc>
          <w:tcPr>
            <w:tcW w:w="10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16,345</w:t>
            </w:r>
          </w:p>
        </w:tc>
        <w:tc>
          <w:tcPr>
            <w:tcW w:w="0" w:type="dxa"/>
            <w:vAlign w:val="bottom"/>
          </w:tcPr>
          <w:p>
            <w:pPr>
              <w:spacing w:after="0"/>
              <w:rPr>
                <w:sz w:val="1"/>
                <w:szCs w:val="1"/>
                <w:color w:val="auto"/>
              </w:rPr>
            </w:pPr>
          </w:p>
        </w:tc>
      </w:tr>
      <w:tr>
        <w:trPr>
          <w:trHeight w:val="200"/>
        </w:trPr>
        <w:tc>
          <w:tcPr>
            <w:tcW w:w="4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of Class A common stock - basic</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27,674,567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26,977,682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27,523,150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27,179,488</w:t>
            </w:r>
          </w:p>
        </w:tc>
        <w:tc>
          <w:tcPr>
            <w:tcW w:w="0" w:type="dxa"/>
            <w:vAlign w:val="bottom"/>
          </w:tcPr>
          <w:p>
            <w:pPr>
              <w:spacing w:after="0"/>
              <w:rPr>
                <w:sz w:val="1"/>
                <w:szCs w:val="1"/>
                <w:color w:val="auto"/>
              </w:rPr>
            </w:pPr>
          </w:p>
        </w:tc>
      </w:tr>
      <w:tr>
        <w:trPr>
          <w:trHeight w:val="130"/>
        </w:trPr>
        <w:tc>
          <w:tcPr>
            <w:tcW w:w="40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Dilutive effect of stock options, restricted stock units, performance units,</w:t>
            </w: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Convertible note payable, earnout shares, Redeemable preferred non-</w:t>
            </w: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controlling interests, Redeemable non-controlling interests</w:t>
            </w:r>
          </w:p>
        </w:tc>
        <w:tc>
          <w:tcPr>
            <w:tcW w:w="10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270,957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377,212</w:t>
            </w:r>
          </w:p>
        </w:tc>
        <w:tc>
          <w:tcPr>
            <w:tcW w:w="0" w:type="dxa"/>
            <w:vAlign w:val="bottom"/>
          </w:tcPr>
          <w:p>
            <w:pPr>
              <w:spacing w:after="0"/>
              <w:rPr>
                <w:sz w:val="1"/>
                <w:szCs w:val="1"/>
                <w:color w:val="auto"/>
              </w:rPr>
            </w:pPr>
          </w:p>
        </w:tc>
      </w:tr>
      <w:tr>
        <w:trPr>
          <w:trHeight w:val="185"/>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of Class A common stock - diluted</w:t>
            </w: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27,674,567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27,248,639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27,523,150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27,556,700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(loss) income per share of Class A common stock</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0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w:t>
            </w:r>
          </w:p>
        </w:tc>
        <w:tc>
          <w:tcPr>
            <w:tcW w:w="0" w:type="dxa"/>
            <w:vAlign w:val="bottom"/>
          </w:tcPr>
          <w:p>
            <w:pPr>
              <w:spacing w:after="0"/>
              <w:rPr>
                <w:sz w:val="1"/>
                <w:szCs w:val="1"/>
                <w:color w:val="auto"/>
              </w:rPr>
            </w:pPr>
          </w:p>
        </w:tc>
      </w:tr>
      <w:tr>
        <w:trPr>
          <w:trHeight w:val="173"/>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5"/>
                <w:szCs w:val="15"/>
                <w:color w:val="auto"/>
              </w:rPr>
            </w:pP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80" w:type="dxa"/>
            <w:vAlign w:val="bottom"/>
          </w:tcPr>
          <w:p>
            <w:pPr>
              <w:spacing w:after="0"/>
              <w:rPr>
                <w:sz w:val="15"/>
                <w:szCs w:val="15"/>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5"/>
                <w:szCs w:val="15"/>
                <w:color w:val="auto"/>
              </w:rPr>
            </w:pP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 Income taxes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3"/>
          <w:szCs w:val="13"/>
          <w:color w:val="auto"/>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38"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For the three and six months ended June 30, 2024 and 2023, the Company recorded zero income tax expense. The effective tax rate for the three and six months ended June 30, 2024 and 2023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Stock-based compensation</w:t>
      </w:r>
    </w:p>
    <w:p>
      <w:pPr>
        <w:spacing w:after="0" w:line="17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132"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3"/>
          <w:szCs w:val="13"/>
          <w:color w:val="auto"/>
        </w:rPr>
        <w:t>During the three months ended March 31, 2024, the Company issued 360,298 stock options, 1,110,031 restricted stock units and 456,308 performance units to certain employees of the Company. The applicable performance period for such performance units is January 1, 2024 to December 31, 2026, and all such performance units are scheduled to vest on March 31, 2027 subject to achievement of certain performance criteria. The fair value of the stock options was determined to be $3.40 based on Black Scholes model based on the share price of $4.96, exercise price of $5.02, expiration of 10 years, annual risk free interest rate of 3.96% and volatility of 55%. Additionally, the Company issued 190,526 restricted stock units to the board of directors which vest 100% on their first anniversary. The total fair value of the equity awards was $9,971.</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 summary of the equity awards under the 2022 Plan for the six months ended June 30, 2024 is as follows: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368" w:right="319" w:bottom="1440" w:gutter="0" w:footer="0" w:header="0"/>
        </w:sectPr>
      </w:pPr>
    </w:p>
    <w:bookmarkStart w:id="48" w:name="page49"/>
    <w:bookmarkEnd w:id="48"/>
    <w:tbl>
      <w:tblPr>
        <w:tblLayout w:type="fixed"/>
        <w:tblInd w:w="480" w:type="dxa"/>
        <w:tblCellMar>
          <w:top w:w="0" w:type="dxa"/>
          <w:left w:w="0" w:type="dxa"/>
          <w:bottom w:w="0" w:type="dxa"/>
          <w:right w:w="0" w:type="dxa"/>
        </w:tblCellMar>
      </w:tblPr>
      <w:tr>
        <w:trPr>
          <w:trHeight w:val="140"/>
        </w:trPr>
        <w:tc>
          <w:tcPr>
            <w:tcW w:w="35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80" w:type="dxa"/>
            <w:vAlign w:val="bottom"/>
            <w:tcBorders>
              <w:top w:val="single" w:sz="8" w:color="CCEEFF"/>
            </w:tcBorders>
            <w:vMerge w:val="restart"/>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ind w:right="33"/>
              <w:spacing w:after="0" w:line="140" w:lineRule="exact"/>
              <w:rPr>
                <w:sz w:val="20"/>
                <w:szCs w:val="20"/>
                <w:color w:val="auto"/>
              </w:rPr>
            </w:pPr>
            <w:r>
              <w:rPr>
                <w:rFonts w:ascii="Times New Roman" w:cs="Times New Roman" w:eastAsia="Times New Roman" w:hAnsi="Times New Roman"/>
                <w:sz w:val="13"/>
                <w:szCs w:val="13"/>
                <w:b w:val="1"/>
                <w:bCs w:val="1"/>
                <w:color w:val="auto"/>
              </w:rPr>
              <w:t>Weighted average fair</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vMerge w:val="restart"/>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Exercise price per</w:t>
            </w:r>
          </w:p>
        </w:tc>
        <w:tc>
          <w:tcPr>
            <w:tcW w:w="80" w:type="dxa"/>
            <w:vAlign w:val="bottom"/>
            <w:tcBorders>
              <w:top w:val="single" w:sz="8" w:color="CCEEFF"/>
            </w:tcBorders>
            <w:vMerge w:val="restart"/>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Aggregate Fair Value (in</w:t>
            </w: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ind w:right="13"/>
              <w:spacing w:after="0" w:line="130" w:lineRule="exact"/>
              <w:rPr>
                <w:sz w:val="20"/>
                <w:szCs w:val="20"/>
                <w:color w:val="auto"/>
              </w:rPr>
            </w:pPr>
            <w:r>
              <w:rPr>
                <w:rFonts w:ascii="Times New Roman" w:cs="Times New Roman" w:eastAsia="Times New Roman" w:hAnsi="Times New Roman"/>
                <w:sz w:val="13"/>
                <w:szCs w:val="13"/>
                <w:b w:val="1"/>
                <w:bCs w:val="1"/>
                <w:color w:val="auto"/>
              </w:rPr>
              <w:t>value per restricted unit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Vesting terms</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on grant date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 Option</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8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Units:</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5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Unvested restricted stock units outstanding as of December 31,</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Equal installments vest</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949,936</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6,627</w:t>
            </w:r>
          </w:p>
        </w:tc>
        <w:tc>
          <w:tcPr>
            <w:tcW w:w="80" w:type="dxa"/>
            <w:vAlign w:val="bottom"/>
          </w:tcPr>
          <w:p>
            <w:pPr>
              <w:spacing w:after="0"/>
              <w:rPr>
                <w:sz w:val="15"/>
                <w:szCs w:val="15"/>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over one or three years.</w:t>
            </w: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Equal installments vest</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Granted during the six months ending June 30,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1,300,557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over one or three years.</w:t>
            </w:r>
          </w:p>
        </w:tc>
        <w:tc>
          <w:tcPr>
            <w:tcW w:w="0" w:type="dxa"/>
            <w:vAlign w:val="bottom"/>
          </w:tcPr>
          <w:p>
            <w:pPr>
              <w:spacing w:after="0"/>
              <w:rPr>
                <w:sz w:val="1"/>
                <w:szCs w:val="1"/>
                <w:color w:val="auto"/>
              </w:rPr>
            </w:pPr>
          </w:p>
        </w:tc>
      </w:tr>
      <w:tr>
        <w:trPr>
          <w:trHeight w:val="17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 during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Withheld for settlement of taxes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Forfeitures during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Units outstanding as of June 30,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1,809,110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10,034</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4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Stock Options</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Three equal installmen</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awards as of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over three year</w:t>
            </w: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Three equal installmen</w:t>
            </w: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Granted during the six months ending June 30,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360,298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vesting over three year</w:t>
            </w:r>
          </w:p>
        </w:tc>
        <w:tc>
          <w:tcPr>
            <w:tcW w:w="0" w:type="dxa"/>
            <w:vAlign w:val="bottom"/>
          </w:tcPr>
          <w:p>
            <w:pPr>
              <w:spacing w:after="0"/>
              <w:rPr>
                <w:sz w:val="1"/>
                <w:szCs w:val="1"/>
                <w:color w:val="auto"/>
              </w:rPr>
            </w:pPr>
          </w:p>
        </w:tc>
      </w:tr>
      <w:tr>
        <w:trPr>
          <w:trHeight w:val="16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Stock Options at June 30,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536,188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 vested and exercisable as of June 30,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Stock Units:</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100% vesting on Marc</w:t>
            </w:r>
          </w:p>
        </w:tc>
        <w:tc>
          <w:tcPr>
            <w:tcW w:w="0" w:type="dxa"/>
            <w:vAlign w:val="bottom"/>
          </w:tcPr>
          <w:p>
            <w:pPr>
              <w:spacing w:after="0"/>
              <w:rPr>
                <w:sz w:val="1"/>
                <w:szCs w:val="1"/>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Unvested awards as of December 31,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30"/>
        </w:trPr>
        <w:tc>
          <w:tcPr>
            <w:tcW w:w="3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100% vesting on Marc</w:t>
            </w: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Granted during the six months ending June 30,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1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Forfeitures during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Stock Units outstanding as of June 30,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694,123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unvested awards outstanding as of June 30,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3,039,421</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16,109</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xml:space="preserve"> Stock options have an expiration term of 10-years.</w:t>
      </w:r>
    </w:p>
    <w:p>
      <w:pPr>
        <w:spacing w:after="0" w:line="129" w:lineRule="exact"/>
        <w:rPr>
          <w:sz w:val="20"/>
          <w:szCs w:val="20"/>
          <w:color w:val="auto"/>
        </w:rPr>
      </w:pPr>
    </w:p>
    <w:p>
      <w:pPr>
        <w:ind w:right="80" w:firstLine="240"/>
        <w:spacing w:after="0" w:line="294" w:lineRule="auto"/>
        <w:rPr>
          <w:sz w:val="20"/>
          <w:szCs w:val="20"/>
          <w:color w:val="auto"/>
        </w:rPr>
      </w:pPr>
      <w:r>
        <w:rPr>
          <w:rFonts w:ascii="Times New Roman" w:cs="Times New Roman" w:eastAsia="Times New Roman" w:hAnsi="Times New Roman"/>
          <w:sz w:val="13"/>
          <w:szCs w:val="13"/>
          <w:color w:val="auto"/>
        </w:rPr>
        <w:t>As of June 30, 2024 and December 31, 2023, there are 62,327 and 0, respectively, of stock options vested and exercisable at exercise price shown above. The aggregate intrinsic value of the outstanding stock options is zero as of June 30, 2024 and December 31, 2023.</w:t>
      </w: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380" w:right="239" w:bottom="1440" w:gutter="0" w:footer="0" w:header="0"/>
        </w:sectPr>
      </w:pPr>
    </w:p>
    <w:bookmarkStart w:id="49" w:name="page50"/>
    <w:bookmarkEnd w:id="49"/>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stock-based compensation expense for the above stock awards under the 2022 Plan as well as Parent Equity Awards is included in the selling, general and administrative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820" w:type="dxa"/>
            <w:vAlign w:val="bottom"/>
          </w:tcPr>
          <w:p>
            <w:pPr>
              <w:spacing w:after="0"/>
              <w:rPr>
                <w:sz w:val="12"/>
                <w:szCs w:val="12"/>
                <w:color w:val="auto"/>
              </w:rPr>
            </w:pPr>
          </w:p>
        </w:tc>
      </w:tr>
      <w:tr>
        <w:trPr>
          <w:trHeight w:val="176"/>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00" w:type="dxa"/>
            <w:vAlign w:val="bottom"/>
          </w:tcPr>
          <w:p>
            <w:pPr>
              <w:spacing w:after="0"/>
              <w:rPr>
                <w:sz w:val="15"/>
                <w:szCs w:val="15"/>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2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21"/>
        </w:trPr>
        <w:tc>
          <w:tcPr>
            <w:tcW w:w="5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0"/>
        </w:trPr>
        <w:tc>
          <w:tcPr>
            <w:tcW w:w="5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 Plan</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80" w:type="dxa"/>
            <w:vAlign w:val="bottom"/>
          </w:tcPr>
          <w:p>
            <w:pPr>
              <w:spacing w:after="0"/>
              <w:rPr>
                <w:sz w:val="16"/>
                <w:szCs w:val="16"/>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1,717</w:t>
            </w:r>
          </w:p>
        </w:tc>
        <w:tc>
          <w:tcPr>
            <w:tcW w:w="8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2,535</w:t>
            </w:r>
          </w:p>
        </w:tc>
        <w:tc>
          <w:tcPr>
            <w:tcW w:w="100" w:type="dxa"/>
            <w:vAlign w:val="bottom"/>
          </w:tcPr>
          <w:p>
            <w:pPr>
              <w:spacing w:after="0"/>
              <w:rPr>
                <w:sz w:val="16"/>
                <w:szCs w:val="16"/>
                <w:color w:val="auto"/>
              </w:rPr>
            </w:pP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w:t>
            </w:r>
          </w:p>
        </w:tc>
      </w:tr>
      <w:tr>
        <w:trPr>
          <w:trHeight w:val="19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Parent equity awards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r>
      <w:tr>
        <w:trPr>
          <w:trHeight w:val="146"/>
        </w:trPr>
        <w:tc>
          <w:tcPr>
            <w:tcW w:w="5060" w:type="dxa"/>
            <w:vAlign w:val="bottom"/>
          </w:tcPr>
          <w:p>
            <w:pPr>
              <w:spacing w:after="0"/>
              <w:rPr>
                <w:sz w:val="12"/>
                <w:szCs w:val="12"/>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8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w:t>
            </w:r>
          </w:p>
        </w:tc>
        <w:tc>
          <w:tcPr>
            <w:tcW w:w="8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2,855</w:t>
            </w:r>
          </w:p>
        </w:tc>
        <w:tc>
          <w:tcPr>
            <w:tcW w:w="100" w:type="dxa"/>
            <w:vAlign w:val="bottom"/>
          </w:tcPr>
          <w:p>
            <w:pPr>
              <w:spacing w:after="0"/>
              <w:rPr>
                <w:sz w:val="12"/>
                <w:szCs w:val="12"/>
                <w:color w:val="auto"/>
              </w:rPr>
            </w:pP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2,848</w:t>
            </w:r>
          </w:p>
        </w:tc>
      </w:tr>
      <w:tr>
        <w:trPr>
          <w:trHeight w:val="24"/>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Letters of Credit</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As of June 30, 2024 and December 31, 2023, the Company was required to maintain five and nine standby letters of credit totaling $14,727 and $14,783,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 Options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6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54" w:lineRule="exact"/>
        <w:rPr>
          <w:sz w:val="20"/>
          <w:szCs w:val="20"/>
          <w:color w:val="auto"/>
        </w:rPr>
      </w:pPr>
    </w:p>
    <w:p>
      <w:pPr>
        <w:ind w:left="240" w:right="1260"/>
        <w:spacing w:after="0" w:line="471" w:lineRule="auto"/>
        <w:rPr>
          <w:sz w:val="20"/>
          <w:szCs w:val="20"/>
          <w:color w:val="auto"/>
        </w:rPr>
      </w:pPr>
      <w:r>
        <w:rPr>
          <w:rFonts w:ascii="Times New Roman" w:cs="Times New Roman" w:eastAsia="Times New Roman" w:hAnsi="Times New Roman"/>
          <w:sz w:val="13"/>
          <w:szCs w:val="13"/>
          <w:color w:val="auto"/>
        </w:rPr>
        <w:t xml:space="preserve">Set forth below is information related to the Company’s material pending legal proceedings as of the date of this report, other than ordinary routine litigation incidental to the business. </w:t>
      </w:r>
      <w:r>
        <w:rPr>
          <w:rFonts w:ascii="Times New Roman" w:cs="Times New Roman" w:eastAsia="Times New Roman" w:hAnsi="Times New Roman"/>
          <w:sz w:val="13"/>
          <w:szCs w:val="13"/>
          <w:i w:val="1"/>
          <w:iCs w:val="1"/>
          <w:color w:val="auto"/>
        </w:rPr>
        <w:t>Central Valley Project</w:t>
      </w:r>
    </w:p>
    <w:p>
      <w:pPr>
        <w:spacing w:after="0" w:line="10"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3"/>
          <w:szCs w:val="13"/>
          <w:color w:val="auto"/>
        </w:rPr>
        <w:t>In September 2021, an indirect subsidiary of the Company, MD, entered into a fixed-price Engineering, Procurement and Construction Contract (an “</w:t>
      </w:r>
      <w:r>
        <w:rPr>
          <w:rFonts w:ascii="Times New Roman" w:cs="Times New Roman" w:eastAsia="Times New Roman" w:hAnsi="Times New Roman"/>
          <w:sz w:val="13"/>
          <w:szCs w:val="13"/>
          <w:b w:val="1"/>
          <w:bCs w:val="1"/>
          <w:color w:val="auto"/>
        </w:rPr>
        <w:t>EPC Contract</w:t>
      </w:r>
      <w:r>
        <w:rPr>
          <w:rFonts w:ascii="Times New Roman" w:cs="Times New Roman" w:eastAsia="Times New Roman" w:hAnsi="Times New Roman"/>
          <w:sz w:val="13"/>
          <w:szCs w:val="13"/>
          <w:color w:val="auto"/>
        </w:rPr>
        <w:t>”) with VEC Partners, Inc. d/b/a CEI Builders (“</w:t>
      </w:r>
      <w:r>
        <w:rPr>
          <w:rFonts w:ascii="Times New Roman" w:cs="Times New Roman" w:eastAsia="Times New Roman" w:hAnsi="Times New Roman"/>
          <w:sz w:val="13"/>
          <w:szCs w:val="13"/>
          <w:b w:val="1"/>
          <w:bCs w:val="1"/>
          <w:color w:val="auto"/>
        </w:rPr>
        <w:t>CEI</w:t>
      </w:r>
      <w:r>
        <w:rPr>
          <w:rFonts w:ascii="Times New Roman" w:cs="Times New Roman" w:eastAsia="Times New Roman" w:hAnsi="Times New Roman"/>
          <w:sz w:val="13"/>
          <w:szCs w:val="13"/>
          <w:color w:val="auto"/>
        </w:rPr>
        <w:t>”) for the design and construction of a turn-key renewable natural gas production facility using dairy cow manure as feedstock. In December 2021, a second indirect subsidiary of the Company, VS, entered into a nearly identical EPC Contract with CEI for the design and construction of a second facility in connection with the same project. CEI’s performance under both of the EPC Contracts is fully bonded by a licensed surety.</w:t>
      </w:r>
    </w:p>
    <w:p>
      <w:pPr>
        <w:spacing w:after="0" w:line="14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3"/>
          <w:szCs w:val="13"/>
          <w:color w:val="auto"/>
        </w:rPr>
        <w:t>CEI has submitted a series of change order requests seeking to increase the EPC Contract price under each contract by approximately $14 million (i.e., approximately $28 million in total), to cover cost escalations primarily arising from two events: (i) modifications to CEI’s design drawings required to meet its contracted performance guaranties, and (ii) the default of one of CEI’s major equipment manufacturers. The Company disputes responsibility for substantially all of the additional costs.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0" w:name="page51"/>
    <w:bookmarkEnd w:id="50"/>
    <w:p>
      <w:pPr>
        <w:jc w:val="both"/>
        <w:ind w:firstLine="240"/>
        <w:spacing w:after="0" w:line="253" w:lineRule="auto"/>
        <w:rPr>
          <w:sz w:val="20"/>
          <w:szCs w:val="20"/>
          <w:color w:val="auto"/>
        </w:rPr>
      </w:pPr>
      <w:r>
        <w:rPr>
          <w:rFonts w:ascii="Times New Roman" w:cs="Times New Roman" w:eastAsia="Times New Roman" w:hAnsi="Times New Roman"/>
          <w:sz w:val="13"/>
          <w:szCs w:val="13"/>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The Company and CEI and have each nominated one arbitrator (each, a “</w:t>
      </w:r>
      <w:r>
        <w:rPr>
          <w:rFonts w:ascii="Times New Roman" w:cs="Times New Roman" w:eastAsia="Times New Roman" w:hAnsi="Times New Roman"/>
          <w:sz w:val="13"/>
          <w:szCs w:val="13"/>
          <w:b w:val="1"/>
          <w:bCs w:val="1"/>
          <w:color w:val="auto"/>
        </w:rPr>
        <w:t>Party-selected Arbitrator</w:t>
      </w:r>
      <w:r>
        <w:rPr>
          <w:rFonts w:ascii="Times New Roman" w:cs="Times New Roman" w:eastAsia="Times New Roman" w:hAnsi="Times New Roman"/>
          <w:sz w:val="13"/>
          <w:szCs w:val="13"/>
          <w:color w:val="auto"/>
        </w:rPr>
        <w:t>”) and a third arbitrator was appointed by the Party-selected Arbitrators to chair the panel. As a result of the procedural status of these matters, no discovery has occurred.</w:t>
      </w:r>
    </w:p>
    <w:p>
      <w:pPr>
        <w:spacing w:after="0" w:line="150"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The EPC Contract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has notified CEI’s bond surety of the termination and demanded that it perform under the bond.</w:t>
      </w:r>
    </w:p>
    <w:p>
      <w:pPr>
        <w:spacing w:after="0" w:line="289"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On July 11, 2024, VS issued a Notice of Default and Demand to Cure, advising CEI of its defaults and giving it an opportunity to cure. CEI’s cure period has not expired and the Company is hopeful that CEI will so cure. However, if no cure is achieved, VS intends to assess all of its options for next steps, up to and including termination of CEI and demanding performance under the applicable bond.</w:t>
      </w:r>
    </w:p>
    <w:p>
      <w:pPr>
        <w:spacing w:after="0" w:line="13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3"/>
          <w:szCs w:val="13"/>
          <w:color w:val="auto"/>
        </w:rPr>
        <w:t>The Company believes its claims against CEI have substantial merit, and intends to prosecute its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reasonably estimable at this time to assess the likely outcome of the litigation and related arbitration, the timing of its resolution, or its ultimate impact, if any, on the Central Valley projects or the Company's business, financial condition or results of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13"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In this Management's Discussion and Analysis of Financial Condition and Results of Operations section, references to "OPAL", "we", "us", "our", and the "Company" refer to </w:t>
      </w:r>
      <w:r>
        <w:rPr>
          <w:rFonts w:ascii="Times New Roman" w:cs="Times New Roman" w:eastAsia="Times New Roman" w:hAnsi="Times New Roman"/>
          <w:sz w:val="13"/>
          <w:szCs w:val="13"/>
          <w:color w:val="auto"/>
        </w:rPr>
        <w:t>OPAL Fuels Inc.</w:t>
      </w:r>
      <w:r>
        <w:rPr>
          <w:rFonts w:ascii="Times New Roman" w:cs="Times New Roman" w:eastAsia="Times New Roman" w:hAnsi="Times New Roman"/>
          <w:sz w:val="13"/>
          <w:szCs w:val="13"/>
          <w:i w:val="1"/>
          <w:iCs w:val="1"/>
          <w:color w:val="auto"/>
        </w:rPr>
        <w:t xml:space="preserve"> and its consolidated subsidiaries. The following discussion and analysis should be read in conjunction with the Company's unaudited condensed consolidated financial statements as of June 30, 2024 and for the three and six months ended June 30, 2024 and 2023, and the audited consolidated financial statements and notes thereto included in the Company's Annual Report on Form 10-K, which was filed with the SEC on March 15, 2024. In addition to historical information, this discussion and analysis includes certain forward-looking statements which reflect our current expectations. The Company's actual results may materially differ from these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The Company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but it is produced by recycling harmful methane emissions created by decaying organic waste. We have participated in the biogas-to-energy industry for over 25 years.</w:t>
      </w:r>
    </w:p>
    <w:p>
      <w:pPr>
        <w:spacing w:after="0" w:line="147"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152"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47"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As of June 30, 2024, we owned and operated 24 projects, nine of which are RNG projects and 15 of which are Renewable Power projects. As of that date, our RNG projects in operation had a design capacity of 5.2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0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3"/>
          <w:szCs w:val="13"/>
          <w:color w:val="auto"/>
        </w:rPr>
        <w:t>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related disclosure of contingent assets and liabilities at the date of our financial statements. Actual results may differ from these estimates under different assumptions and conditions.</w:t>
      </w:r>
    </w:p>
    <w:p>
      <w:pPr>
        <w:spacing w:after="0" w:line="16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 w:cs="Times New Roman" w:eastAsia="Times New Roman" w:hAnsi="Times New Roman"/>
          <w:sz w:val="13"/>
          <w:szCs w:val="13"/>
          <w:i w:val="1"/>
          <w:iCs w:val="1"/>
          <w:color w:val="auto"/>
        </w:rPr>
        <w:t>Summary of Significant Accounting Policies</w:t>
      </w:r>
      <w:r>
        <w:rPr>
          <w:rFonts w:ascii="Times New Roman" w:cs="Times New Roman" w:eastAsia="Times New Roman" w:hAnsi="Times New Roman"/>
          <w:sz w:val="13"/>
          <w:szCs w:val="13"/>
          <w:color w:val="auto"/>
        </w:rPr>
        <w:t>, to our condensed consolidated financial statements included herein and the section titled “Critical Accounting Policies and Estimates” contained in Part II, Item 7 of our Annual Report on Form 10-K for the year ended December 31, 2023. There have been no material changes to our critical accounting estimates since our Annual Report on Form 10-K for the year ended December 31, 2023.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i w:val="1"/>
          <w:iCs w:val="1"/>
          <w:color w:val="auto"/>
        </w:rPr>
        <w:t>Use of Estimates</w:t>
      </w:r>
    </w:p>
    <w:p>
      <w:pPr>
        <w:spacing w:after="0" w:line="103"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3"/>
          <w:szCs w:val="13"/>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Factors and Trends Influencing our Results of Operations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elsewhere in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Market Demand for RNG</w:t>
      </w:r>
    </w:p>
    <w:p>
      <w:pPr>
        <w:spacing w:after="0" w:line="173"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3"/>
          <w:szCs w:val="13"/>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03" w:lineRule="exact"/>
        <w:rPr>
          <w:sz w:val="20"/>
          <w:szCs w:val="20"/>
          <w:color w:val="auto"/>
        </w:rPr>
      </w:pPr>
    </w:p>
    <w:p>
      <w:pPr>
        <w:jc w:val="both"/>
        <w:ind w:firstLine="240"/>
        <w:spacing w:after="0" w:line="182" w:lineRule="exact"/>
        <w:rPr>
          <w:sz w:val="20"/>
          <w:szCs w:val="20"/>
          <w:color w:val="auto"/>
        </w:rPr>
      </w:pPr>
      <w:r>
        <w:rPr>
          <w:rFonts w:ascii="Times New Roman" w:cs="Times New Roman" w:eastAsia="Times New Roman" w:hAnsi="Times New Roman"/>
          <w:sz w:val="13"/>
          <w:szCs w:val="13"/>
          <w:color w:val="auto"/>
        </w:rPr>
        <w:t>Transportation, including heavy-duty trucking, generates approximately 30% of overall CO</w:t>
      </w:r>
      <w:r>
        <w:rPr>
          <w:rFonts w:ascii="MS PGothic" w:cs="MS PGothic" w:eastAsia="MS PGothic" w:hAnsi="MS PGothic"/>
          <w:sz w:val="13"/>
          <w:szCs w:val="13"/>
          <w:color w:val="auto"/>
        </w:rPr>
        <w:t>₂</w:t>
      </w:r>
      <w:r>
        <w:rPr>
          <w:rFonts w:ascii="Times New Roman" w:cs="Times New Roman" w:eastAsia="Times New Roman" w:hAnsi="Times New Roman"/>
          <w:sz w:val="13"/>
          <w:szCs w:val="13"/>
          <w:color w:val="auto"/>
        </w:rPr>
        <w:t xml:space="preserv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are also exposed to the commodity prices of natural gas and diesel, which serve as alternative fuel for RNG and therefore impact the demand for RNG.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Renewable Power Markets</w:t>
      </w:r>
    </w:p>
    <w:p>
      <w:pPr>
        <w:spacing w:after="0" w:line="17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w:t>
      </w:r>
    </w:p>
    <w:p>
      <w:pPr>
        <w:spacing w:after="0" w:line="12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Regulatory landscape</w:t>
      </w:r>
    </w:p>
    <w:p>
      <w:pPr>
        <w:spacing w:after="0" w:line="30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the risk factor in our Annual Report on Form 10-K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05" w:right="319" w:bottom="1440" w:gutter="0" w:footer="0" w:header="0"/>
        </w:sectPr>
      </w:pPr>
    </w:p>
    <w:bookmarkStart w:id="53" w:name="page54"/>
    <w:bookmarkEnd w:id="53"/>
    <w:p>
      <w:pPr>
        <w:jc w:val="both"/>
        <w:spacing w:after="0" w:line="277" w:lineRule="auto"/>
        <w:rPr>
          <w:sz w:val="20"/>
          <w:szCs w:val="20"/>
          <w:color w:val="auto"/>
        </w:rPr>
      </w:pPr>
      <w:r>
        <w:rPr>
          <w:rFonts w:ascii="Times New Roman" w:cs="Times New Roman" w:eastAsia="Times New Roman" w:hAnsi="Times New Roman"/>
          <w:sz w:val="13"/>
          <w:szCs w:val="13"/>
          <w:color w:val="auto"/>
        </w:rPr>
        <w:t xml:space="preserve">for the year ended December 31, 2023 titled </w:t>
      </w:r>
      <w:r>
        <w:rPr>
          <w:rFonts w:ascii="Times New Roman" w:cs="Times New Roman" w:eastAsia="Times New Roman" w:hAnsi="Times New Roman"/>
          <w:sz w:val="13"/>
          <w:szCs w:val="13"/>
          <w:i w:val="1"/>
          <w:iCs w:val="1"/>
          <w:color w:val="auto"/>
        </w:rPr>
        <w:t>"The financial performance of our business depends upon tax and other government incentives for the generation of RNG and Renewable Power, any of which could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change at any time and such changes may negatively impact our growth strategy." </w:t>
      </w:r>
      <w:r>
        <w:rPr>
          <w:rFonts w:ascii="Times New Roman" w:cs="Times New Roman" w:eastAsia="Times New Roman" w:hAnsi="Times New Roman"/>
          <w:sz w:val="13"/>
          <w:szCs w:val="13"/>
          <w:color w:val="auto"/>
        </w:rPr>
        <w:t>Government regulations have become increasingly stringent and complying with changes in regulations may result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significant additional operating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Seasonality</w:t>
      </w:r>
    </w:p>
    <w:p>
      <w:pPr>
        <w:spacing w:after="0" w:line="11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Components of Our Results of Operations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condensed consolidated statements of operations under the following captions:</w:t>
      </w:r>
    </w:p>
    <w:p>
      <w:pPr>
        <w:spacing w:after="0" w:line="230" w:lineRule="exact"/>
        <w:rPr>
          <w:sz w:val="20"/>
          <w:szCs w:val="20"/>
          <w:color w:val="auto"/>
        </w:rPr>
      </w:pPr>
    </w:p>
    <w:p>
      <w:pPr>
        <w:ind w:left="600" w:hanging="360"/>
        <w:spacing w:after="0"/>
        <w:tabs>
          <w:tab w:leader="none" w:pos="6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RNG Fuel. </w:t>
      </w:r>
      <w:r>
        <w:rPr>
          <w:rFonts w:ascii="Times New Roman" w:cs="Times New Roman" w:eastAsia="Times New Roman" w:hAnsi="Times New Roman"/>
          <w:sz w:val="13"/>
          <w:szCs w:val="13"/>
          <w:color w:val="auto"/>
        </w:rPr>
        <w:t>The RNG Fuel segment includes RNG supply as well as the associated generation and sale of commodity natural gas and environmental credits, and consists of:</w:t>
      </w:r>
    </w:p>
    <w:p>
      <w:pPr>
        <w:spacing w:after="0" w:line="194"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Production Facilities – the design, development, construction, maintenance and operation of facilities that convert raw biogas into pipeline quality natural gas; and</w:t>
      </w:r>
    </w:p>
    <w:p>
      <w:pPr>
        <w:spacing w:after="0" w:line="23"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interests in both operating and construction projects.</w:t>
      </w:r>
    </w:p>
    <w:p>
      <w:pPr>
        <w:spacing w:after="0" w:line="164" w:lineRule="exact"/>
        <w:rPr>
          <w:rFonts w:ascii="Times New Roman" w:cs="Times New Roman" w:eastAsia="Times New Roman" w:hAnsi="Times New Roman"/>
          <w:sz w:val="13"/>
          <w:szCs w:val="13"/>
          <w:color w:val="auto"/>
        </w:rPr>
      </w:pPr>
    </w:p>
    <w:p>
      <w:pPr>
        <w:ind w:left="600" w:hanging="360"/>
        <w:spacing w:after="0" w:line="268" w:lineRule="auto"/>
        <w:tabs>
          <w:tab w:leader="none" w:pos="597"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Fuel Station Services. </w:t>
      </w:r>
      <w:r>
        <w:rPr>
          <w:rFonts w:ascii="Times New Roman" w:cs="Times New Roman" w:eastAsia="Times New Roman" w:hAnsi="Times New Roman"/>
          <w:sz w:val="13"/>
          <w:szCs w:val="13"/>
          <w:color w:val="auto"/>
        </w:rPr>
        <w:t>Through its Fuel Station Services segment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we provide construction and maintenance services to third-party owners of vehicle Fueling Stations and performs fuel dispensing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activities including generation and minting of environmental credits. This segment includes:</w:t>
      </w:r>
    </w:p>
    <w:p>
      <w:pPr>
        <w:spacing w:after="0" w:line="140" w:lineRule="exact"/>
        <w:rPr>
          <w:rFonts w:ascii="Times New Roman" w:cs="Times New Roman" w:eastAsia="Times New Roman" w:hAnsi="Times New Roman"/>
          <w:sz w:val="13"/>
          <w:szCs w:val="13"/>
          <w:color w:val="auto"/>
        </w:rPr>
      </w:pPr>
    </w:p>
    <w:p>
      <w:pPr>
        <w:ind w:left="1080" w:hanging="359"/>
        <w:spacing w:after="0"/>
        <w:tabs>
          <w:tab w:leader="none" w:pos="108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Manufacturing division that builds compact fueling systems and defueling systems;</w:t>
      </w:r>
    </w:p>
    <w:p>
      <w:pPr>
        <w:spacing w:after="0" w:line="23" w:lineRule="exact"/>
        <w:rPr>
          <w:rFonts w:ascii="Times New Roman" w:cs="Times New Roman" w:eastAsia="Times New Roman" w:hAnsi="Times New Roman"/>
          <w:sz w:val="13"/>
          <w:szCs w:val="13"/>
          <w:color w:val="auto"/>
        </w:rPr>
      </w:pPr>
    </w:p>
    <w:p>
      <w:pPr>
        <w:ind w:left="1080" w:right="180" w:hanging="359"/>
        <w:spacing w:after="0" w:line="250" w:lineRule="auto"/>
        <w:tabs>
          <w:tab w:leader="none" w:pos="1077"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Design/Build contracts where the Company serves as general contractor for construction of Fueling Stations, typically structured as Guarantee Maximum Price or fixed priced contracts for customers, generally lasting less than one year;</w:t>
      </w:r>
    </w:p>
    <w:p>
      <w:pPr>
        <w:ind w:left="1080" w:hanging="359"/>
        <w:spacing w:after="0"/>
        <w:tabs>
          <w:tab w:leader="none" w:pos="108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and maintenance contracts for RNG/CNG Fueling Stations; and</w:t>
      </w:r>
    </w:p>
    <w:p>
      <w:pPr>
        <w:ind w:left="1080" w:right="80" w:hanging="359"/>
        <w:spacing w:after="0" w:line="272" w:lineRule="auto"/>
        <w:tabs>
          <w:tab w:leader="none" w:pos="1077"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133" w:lineRule="exact"/>
        <w:rPr>
          <w:rFonts w:ascii="Times New Roman" w:cs="Times New Roman" w:eastAsia="Times New Roman" w:hAnsi="Times New Roman"/>
          <w:sz w:val="13"/>
          <w:szCs w:val="13"/>
          <w:color w:val="auto"/>
        </w:rPr>
      </w:pPr>
    </w:p>
    <w:p>
      <w:pPr>
        <w:ind w:left="600" w:hanging="360"/>
        <w:spacing w:after="0" w:line="300" w:lineRule="auto"/>
        <w:tabs>
          <w:tab w:leader="none" w:pos="597"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Renewable Power Portfolio. </w:t>
      </w:r>
      <w:r>
        <w:rPr>
          <w:rFonts w:ascii="Times New Roman" w:cs="Times New Roman" w:eastAsia="Times New Roman" w:hAnsi="Times New Roman"/>
          <w:sz w:val="13"/>
          <w:szCs w:val="13"/>
          <w:color w:val="auto"/>
        </w:rPr>
        <w:t>The Renewable Power segment generates Renewable Power and associated Environmental Attributes such as ISCC Carbon Credits and RECs through combustion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biogas from landfills which is then sold to public utilities throughout the United States.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costs of sales associated with each revenue category are as follows:</w:t>
      </w:r>
    </w:p>
    <w:p>
      <w:pPr>
        <w:spacing w:after="0" w:line="107" w:lineRule="exact"/>
        <w:rPr>
          <w:sz w:val="20"/>
          <w:szCs w:val="20"/>
          <w:color w:val="auto"/>
        </w:rPr>
      </w:pPr>
    </w:p>
    <w:p>
      <w:pPr>
        <w:ind w:left="600" w:hanging="360"/>
        <w:spacing w:after="0" w:line="300" w:lineRule="auto"/>
        <w:tabs>
          <w:tab w:leader="none" w:pos="597"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RNG Fuel. </w:t>
      </w:r>
      <w:r>
        <w:rPr>
          <w:rFonts w:ascii="Times New Roman" w:cs="Times New Roman" w:eastAsia="Times New Roman" w:hAnsi="Times New Roman"/>
          <w:sz w:val="13"/>
          <w:szCs w:val="13"/>
          <w:color w:val="auto"/>
        </w:rPr>
        <w:t>Includes royalty payments to biogas site owners for the biogas we use; service provider costs; salaries and other indirect expenses related to the production process, utilities, transportation,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storage, and insurance; and depreciation of production facilities.</w:t>
      </w:r>
    </w:p>
    <w:p>
      <w:pPr>
        <w:spacing w:after="0" w:line="56"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Fuel Station Services. </w:t>
      </w:r>
      <w:r>
        <w:rPr>
          <w:rFonts w:ascii="Times New Roman" w:cs="Times New Roman" w:eastAsia="Times New Roman" w:hAnsi="Times New Roman"/>
          <w:sz w:val="13"/>
          <w:szCs w:val="13"/>
          <w:color w:val="auto"/>
        </w:rPr>
        <w:t>Includes equipment supplier costs; service provider costs; and salaries and other indirect expenses.</w:t>
      </w:r>
    </w:p>
    <w:p>
      <w:pPr>
        <w:spacing w:after="0" w:line="120" w:lineRule="exact"/>
        <w:rPr>
          <w:rFonts w:ascii="Times New Roman" w:cs="Times New Roman" w:eastAsia="Times New Roman" w:hAnsi="Times New Roman"/>
          <w:sz w:val="13"/>
          <w:szCs w:val="13"/>
          <w:color w:val="auto"/>
        </w:rPr>
      </w:pPr>
    </w:p>
    <w:p>
      <w:pPr>
        <w:ind w:left="600" w:hanging="360"/>
        <w:spacing w:after="0"/>
        <w:tabs>
          <w:tab w:leader="none" w:pos="6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Renewable Power. </w:t>
      </w:r>
      <w:r>
        <w:rPr>
          <w:rFonts w:ascii="Times New Roman" w:cs="Times New Roman" w:eastAsia="Times New Roman" w:hAnsi="Times New Roman"/>
          <w:sz w:val="13"/>
          <w:szCs w:val="13"/>
          <w:color w:val="auto"/>
        </w:rPr>
        <w:t>Includes land usage costs; service provider costs; salaries and other indirect expenses related to the production process; utilities; and depreciation of production facilities.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Selling, general, and administrative expense consists of costs involving corporate overhead functions, including the cost of services provided to us by an affiliate, and marketing costs.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5" w:right="319" w:bottom="1440" w:gutter="0" w:footer="0" w:header="0"/>
        </w:sectPr>
      </w:pPr>
    </w:p>
    <w:bookmarkStart w:id="54" w:name="page55"/>
    <w:bookmarkEnd w:id="54"/>
    <w:p>
      <w:pPr>
        <w:ind w:firstLine="240"/>
        <w:spacing w:after="0" w:line="294" w:lineRule="auto"/>
        <w:rPr>
          <w:sz w:val="20"/>
          <w:szCs w:val="20"/>
          <w:color w:val="auto"/>
        </w:rPr>
      </w:pPr>
      <w:r>
        <w:rPr>
          <w:rFonts w:ascii="Times New Roman" w:cs="Times New Roman" w:eastAsia="Times New Roman" w:hAnsi="Times New Roman"/>
          <w:sz w:val="13"/>
          <w:szCs w:val="13"/>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Concentration of customers and associated credit risk</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percentage of consolidated accounts receivable, net by customers that equal or exceed 10% of the consolidated accounts receivable, net as of June 30, 2024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No other single customer accounted for 10% or greater of our consolidated accounts receivables in these periods:</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180"/>
        </w:trPr>
        <w:tc>
          <w:tcPr>
            <w:tcW w:w="5580" w:type="dxa"/>
            <w:vAlign w:val="bottom"/>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5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60"/>
        </w:trPr>
        <w:tc>
          <w:tcPr>
            <w:tcW w:w="5580" w:type="dxa"/>
            <w:vAlign w:val="bottom"/>
          </w:tcPr>
          <w:p>
            <w:pPr>
              <w:ind w:left="20"/>
              <w:spacing w:after="0" w:line="160" w:lineRule="exact"/>
              <w:rPr>
                <w:sz w:val="20"/>
                <w:szCs w:val="20"/>
                <w:color w:val="auto"/>
              </w:rPr>
            </w:pPr>
            <w:r>
              <w:rPr>
                <w:rFonts w:ascii="Times New Roman" w:cs="Times New Roman" w:eastAsia="Times New Roman" w:hAnsi="Times New Roman"/>
                <w:sz w:val="13"/>
                <w:szCs w:val="13"/>
                <w:color w:val="auto"/>
              </w:rPr>
              <w:t xml:space="preserve">Customer A </w:t>
            </w:r>
            <w:r>
              <w:rPr>
                <w:rFonts w:ascii="Times New Roman" w:cs="Times New Roman" w:eastAsia="Times New Roman" w:hAnsi="Times New Roman"/>
                <w:sz w:val="17"/>
                <w:szCs w:val="17"/>
                <w:color w:val="auto"/>
                <w:vertAlign w:val="superscript"/>
              </w:rPr>
              <w:t>(1)</w:t>
            </w:r>
          </w:p>
        </w:tc>
        <w:tc>
          <w:tcPr>
            <w:tcW w:w="17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r>
      <w:tr>
        <w:trPr>
          <w:trHeight w:val="17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B</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bl>
    <w:p>
      <w:pPr>
        <w:spacing w:after="0" w:line="157" w:lineRule="exact"/>
        <w:rPr>
          <w:sz w:val="20"/>
          <w:szCs w:val="20"/>
          <w:color w:val="auto"/>
        </w:rPr>
      </w:pPr>
    </w:p>
    <w:p>
      <w:pPr>
        <w:ind w:left="600" w:hanging="120"/>
        <w:spacing w:after="0"/>
        <w:tabs>
          <w:tab w:leader="none" w:pos="60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Relates to sales of Environmental Attributes under Purchase and Sale agreement with NextEra.</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percentage of consolidated revenues from customers that equal 10% or greater of the consolidated revenues in the period. No other single customer accounted for more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than 10% of consolidated revenues in these periods: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07"/>
        </w:trPr>
        <w:tc>
          <w:tcPr>
            <w:tcW w:w="4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3"/>
        </w:trPr>
        <w:tc>
          <w:tcPr>
            <w:tcW w:w="480" w:type="dxa"/>
            <w:vAlign w:val="bottom"/>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0" w:type="dxa"/>
            <w:vAlign w:val="bottom"/>
            <w:gridSpan w:val="4"/>
            <w:shd w:val="clear" w:color="auto" w:fill="CCEEFF"/>
          </w:tcPr>
          <w:p>
            <w:pPr>
              <w:jc w:val="center"/>
              <w:ind w:right="573"/>
              <w:spacing w:after="0" w:line="134"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60" w:type="dxa"/>
            <w:vAlign w:val="bottom"/>
            <w:gridSpan w:val="4"/>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7"/>
        </w:trPr>
        <w:tc>
          <w:tcPr>
            <w:tcW w:w="480" w:type="dxa"/>
            <w:vAlign w:val="bottom"/>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gridSpan w:val="4"/>
            <w:shd w:val="clear" w:color="auto" w:fill="CCEEFF"/>
          </w:tcPr>
          <w:p>
            <w:pPr>
              <w:jc w:val="center"/>
              <w:ind w:right="57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0"/>
        </w:trPr>
        <w:tc>
          <w:tcPr>
            <w:tcW w:w="3320" w:type="dxa"/>
            <w:vAlign w:val="bottom"/>
            <w:gridSpan w:val="2"/>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0" w:type="dxa"/>
            <w:vAlign w:val="bottom"/>
            <w:gridSpan w:val="4"/>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480" w:type="dxa"/>
            <w:vAlign w:val="bottom"/>
          </w:tcPr>
          <w:p>
            <w:pPr>
              <w:spacing w:after="0"/>
              <w:rPr>
                <w:sz w:val="13"/>
                <w:szCs w:val="13"/>
                <w:color w:val="auto"/>
              </w:rPr>
            </w:pPr>
          </w:p>
        </w:tc>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A</w:t>
            </w:r>
          </w:p>
        </w:tc>
        <w:tc>
          <w:tcPr>
            <w:tcW w:w="10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21 %</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0"/>
        </w:trPr>
        <w:tc>
          <w:tcPr>
            <w:tcW w:w="480" w:type="dxa"/>
            <w:vAlign w:val="bottom"/>
          </w:tcPr>
          <w:p>
            <w:pPr>
              <w:spacing w:after="0"/>
              <w:rPr>
                <w:sz w:val="14"/>
                <w:szCs w:val="14"/>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B</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80" w:type="dxa"/>
            <w:vAlign w:val="bottom"/>
          </w:tcPr>
          <w:p>
            <w:pPr>
              <w:spacing w:after="0"/>
              <w:rPr>
                <w:sz w:val="14"/>
                <w:szCs w:val="14"/>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C</w:t>
            </w:r>
          </w:p>
        </w:tc>
        <w:tc>
          <w:tcPr>
            <w:tcW w:w="2000" w:type="dxa"/>
            <w:vAlign w:val="bottom"/>
            <w:gridSpan w:val="4"/>
            <w:shd w:val="clear" w:color="auto" w:fill="CCEEFF"/>
          </w:tcPr>
          <w:p>
            <w:pPr>
              <w:jc w:val="right"/>
              <w:ind w:right="1313"/>
              <w:spacing w:after="0"/>
              <w:rPr>
                <w:sz w:val="20"/>
                <w:szCs w:val="20"/>
                <w:color w:val="auto"/>
              </w:rPr>
            </w:pPr>
            <w:r>
              <w:rPr>
                <w:rFonts w:ascii="Times New Roman" w:cs="Times New Roman" w:eastAsia="Times New Roman" w:hAnsi="Times New Roman"/>
                <w:sz w:val="13"/>
                <w:szCs w:val="13"/>
                <w:color w:val="auto"/>
              </w:rPr>
              <w:t>— %</w:t>
            </w:r>
          </w:p>
        </w:tc>
        <w:tc>
          <w:tcPr>
            <w:tcW w:w="1360" w:type="dxa"/>
            <w:vAlign w:val="bottom"/>
            <w:gridSpan w:val="5"/>
            <w:shd w:val="clear" w:color="auto" w:fill="CCEEFF"/>
          </w:tcPr>
          <w:p>
            <w:pPr>
              <w:jc w:val="right"/>
              <w:ind w:right="1000"/>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gridSpan w:val="4"/>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10 %</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20"/>
        </w:trPr>
        <w:tc>
          <w:tcPr>
            <w:tcW w:w="632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Results of Operations for the three and six months ended June 30, 2024 and </w:t>
            </w:r>
            <w:r>
              <w:rPr>
                <w:rFonts w:ascii="Times New Roman" w:cs="Times New Roman" w:eastAsia="Times New Roman" w:hAnsi="Times New Roman"/>
                <w:sz w:val="13"/>
                <w:szCs w:val="13"/>
                <w:color w:val="auto"/>
              </w:rPr>
              <w:t>2023</w:t>
            </w:r>
            <w:r>
              <w:rPr>
                <w:rFonts w:ascii="Times New Roman" w:cs="Times New Roman" w:eastAsia="Times New Roman" w:hAnsi="Times New Roman"/>
                <w:sz w:val="13"/>
                <w:szCs w:val="13"/>
                <w:b w:val="1"/>
                <w:bCs w:val="1"/>
                <w:i w:val="1"/>
                <w:iCs w:val="1"/>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rPr>
              <w:t>Operational data</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680" w:type="dxa"/>
            <w:vAlign w:val="bottom"/>
            <w:gridSpan w:val="12"/>
          </w:tcPr>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operational data achieved for the three and six months ended June 30, 2024 and 2023:</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0"/>
        </w:trPr>
        <w:tc>
          <w:tcPr>
            <w:tcW w:w="4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Landfill RNG Facility Capacity and Utilization Summary</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0"/>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3"/>
          </w:tcPr>
          <w:p>
            <w:pPr>
              <w:spacing w:after="0"/>
              <w:rPr>
                <w:sz w:val="17"/>
                <w:szCs w:val="17"/>
                <w:color w:val="auto"/>
              </w:rPr>
            </w:pPr>
          </w:p>
        </w:tc>
        <w:tc>
          <w:tcPr>
            <w:tcW w:w="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r>
      <w:tr>
        <w:trPr>
          <w:trHeight w:val="130"/>
        </w:trPr>
        <w:tc>
          <w:tcPr>
            <w:tcW w:w="48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20" w:type="dxa"/>
            <w:vAlign w:val="bottom"/>
            <w:gridSpan w:val="6"/>
            <w:shd w:val="clear" w:color="auto" w:fill="CCEEFF"/>
          </w:tcPr>
          <w:p>
            <w:pPr>
              <w:jc w:val="right"/>
              <w:ind w:right="300"/>
              <w:spacing w:after="0" w:line="130"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80" w:type="dxa"/>
            <w:vAlign w:val="bottom"/>
            <w:gridSpan w:val="4"/>
            <w:shd w:val="clear" w:color="auto" w:fill="CCEEFF"/>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780" w:type="dxa"/>
            <w:vAlign w:val="bottom"/>
            <w:shd w:val="clear" w:color="auto" w:fill="CCEEFF"/>
          </w:tcPr>
          <w:p>
            <w:pPr>
              <w:spacing w:after="0"/>
              <w:rPr>
                <w:sz w:val="11"/>
                <w:szCs w:val="11"/>
                <w:color w:val="auto"/>
              </w:rPr>
            </w:pPr>
          </w:p>
        </w:tc>
      </w:tr>
      <w:tr>
        <w:trPr>
          <w:trHeight w:val="180"/>
        </w:trPr>
        <w:tc>
          <w:tcPr>
            <w:tcW w:w="4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5"/>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80" w:type="dxa"/>
            <w:vAlign w:val="bottom"/>
            <w:tcBorders>
              <w:bottom w:val="single" w:sz="8" w:color="auto"/>
            </w:tcBorders>
            <w:shd w:val="clear" w:color="auto" w:fill="CCEEFF"/>
          </w:tcPr>
          <w:p>
            <w:pPr>
              <w:spacing w:after="0"/>
              <w:rPr>
                <w:sz w:val="15"/>
                <w:szCs w:val="15"/>
                <w:color w:val="auto"/>
              </w:rPr>
            </w:pPr>
          </w:p>
        </w:tc>
      </w:tr>
      <w:tr>
        <w:trPr>
          <w:trHeight w:val="160"/>
        </w:trPr>
        <w:tc>
          <w:tcPr>
            <w:tcW w:w="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gridSpan w:val="3"/>
          </w:tcPr>
          <w:p>
            <w:pPr>
              <w:spacing w:after="0"/>
              <w:rPr>
                <w:sz w:val="13"/>
                <w:szCs w:val="13"/>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6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50"/>
        </w:trPr>
        <w:tc>
          <w:tcPr>
            <w:tcW w:w="4320" w:type="dxa"/>
            <w:vAlign w:val="bottom"/>
            <w:tcBorders>
              <w:top w:val="single" w:sz="8" w:color="CCEEFF"/>
            </w:tcBorders>
            <w:gridSpan w:val="3"/>
            <w:shd w:val="clear" w:color="auto" w:fill="CCEEFF"/>
          </w:tcPr>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Landfill RNG Facility Capacity and Utilization</w:t>
            </w:r>
            <w:r>
              <w:rPr>
                <w:rFonts w:ascii="Times New Roman" w:cs="Times New Roman" w:eastAsia="Times New Roman" w:hAnsi="Times New Roman"/>
                <w:sz w:val="17"/>
                <w:szCs w:val="17"/>
                <w:b w:val="1"/>
                <w:bCs w:val="1"/>
                <w:color w:val="auto"/>
                <w:vertAlign w:val="superscript"/>
              </w:rPr>
              <w:t>(1)(2)(3)(4)</w:t>
            </w:r>
          </w:p>
        </w:tc>
        <w:tc>
          <w:tcPr>
            <w:tcW w:w="6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170"/>
        </w:trPr>
        <w:tc>
          <w:tcPr>
            <w:tcW w:w="4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Design Capacity (Million MMBtus)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1.8</w:t>
            </w:r>
          </w:p>
        </w:tc>
      </w:tr>
      <w:tr>
        <w:trPr>
          <w:trHeight w:val="1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Volume of Inlet Gas (Million MMBtus)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1.4</w:t>
            </w:r>
          </w:p>
        </w:tc>
      </w:tr>
      <w:tr>
        <w:trPr>
          <w:trHeight w:val="17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Inlet Design Capacity Utilization (%)</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74 %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r>
      <w:tr>
        <w:trPr>
          <w:trHeight w:val="170"/>
        </w:trPr>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RNG Fuel volume produced (Million MMBtus)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0.9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r>
      <w:tr>
        <w:trPr>
          <w:trHeight w:val="229"/>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Utilization of Inlet Gas (%) </w:t>
            </w:r>
            <w:r>
              <w:rPr>
                <w:rFonts w:ascii="Times New Roman" w:cs="Times New Roman" w:eastAsia="Times New Roman" w:hAnsi="Times New Roman"/>
                <w:sz w:val="17"/>
                <w:szCs w:val="17"/>
                <w:color w:val="auto"/>
                <w:vertAlign w:val="superscript"/>
              </w:rPr>
              <w:t>(5)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82 %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r>
    </w:tbl>
    <w:p>
      <w:pPr>
        <w:spacing w:after="0" w:line="172" w:lineRule="exact"/>
        <w:rPr>
          <w:sz w:val="20"/>
          <w:szCs w:val="20"/>
          <w:color w:val="auto"/>
        </w:rPr>
      </w:pPr>
    </w:p>
    <w:p>
      <w:pPr>
        <w:jc w:val="both"/>
        <w:spacing w:after="0" w:line="232" w:lineRule="auto"/>
        <w:tabs>
          <w:tab w:leader="none" w:pos="125"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65" w:lineRule="exact"/>
        <w:rPr>
          <w:rFonts w:ascii="Times New Roman" w:cs="Times New Roman" w:eastAsia="Times New Roman" w:hAnsi="Times New Roman"/>
          <w:sz w:val="16"/>
          <w:szCs w:val="16"/>
          <w:color w:val="auto"/>
          <w:vertAlign w:val="superscript"/>
        </w:rPr>
      </w:pPr>
    </w:p>
    <w:p>
      <w:pPr>
        <w:jc w:val="both"/>
        <w:spacing w:after="0" w:line="266" w:lineRule="auto"/>
        <w:tabs>
          <w:tab w:leader="none" w:pos="120" w:val="left"/>
        </w:tabs>
        <w:numPr>
          <w:ilvl w:val="0"/>
          <w:numId w:val="3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37" w:right="319" w:bottom="1440" w:gutter="0" w:footer="0" w:header="0"/>
        </w:sectPr>
      </w:pPr>
    </w:p>
    <w:bookmarkStart w:id="55" w:name="page56"/>
    <w:bookmarkEnd w:id="55"/>
    <w:p>
      <w:pPr>
        <w:spacing w:after="0" w:line="273" w:lineRule="auto"/>
        <w:rPr>
          <w:sz w:val="20"/>
          <w:szCs w:val="20"/>
          <w:color w:val="auto"/>
        </w:rPr>
      </w:pPr>
      <w:r>
        <w:rPr>
          <w:rFonts w:ascii="Times New Roman" w:cs="Times New Roman" w:eastAsia="Times New Roman" w:hAnsi="Times New Roman"/>
          <w:sz w:val="12"/>
          <w:szCs w:val="12"/>
          <w:color w:val="auto"/>
        </w:rPr>
        <w:t>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156" w:lineRule="exact"/>
        <w:rPr>
          <w:sz w:val="20"/>
          <w:szCs w:val="20"/>
          <w:color w:val="auto"/>
        </w:rPr>
      </w:pPr>
    </w:p>
    <w:p>
      <w:pPr>
        <w:spacing w:after="0" w:line="254" w:lineRule="auto"/>
        <w:tabs>
          <w:tab w:leader="none" w:pos="112"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spacing w:after="0" w:line="160" w:lineRule="exact"/>
        <w:rPr>
          <w:rFonts w:ascii="Times New Roman" w:cs="Times New Roman" w:eastAsia="Times New Roman" w:hAnsi="Times New Roman"/>
          <w:sz w:val="14"/>
          <w:szCs w:val="14"/>
          <w:color w:val="auto"/>
          <w:vertAlign w:val="superscript"/>
        </w:rPr>
      </w:pPr>
    </w:p>
    <w:p>
      <w:pPr>
        <w:ind w:left="120" w:hanging="120"/>
        <w:spacing w:after="0"/>
        <w:tabs>
          <w:tab w:leader="none" w:pos="12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Data not available for the Company's dairy projects, i.e., Sunoma and Biotown.</w:t>
      </w:r>
    </w:p>
    <w:p>
      <w:pPr>
        <w:spacing w:after="0" w:line="161" w:lineRule="exact"/>
        <w:rPr>
          <w:rFonts w:ascii="Times New Roman" w:cs="Times New Roman" w:eastAsia="Times New Roman" w:hAnsi="Times New Roman"/>
          <w:sz w:val="14"/>
          <w:szCs w:val="14"/>
          <w:color w:val="auto"/>
          <w:vertAlign w:val="superscript"/>
        </w:rPr>
      </w:pPr>
    </w:p>
    <w:p>
      <w:pPr>
        <w:ind w:left="120" w:hanging="120"/>
        <w:spacing w:after="0"/>
        <w:tabs>
          <w:tab w:leader="none" w:pos="120" w:val="left"/>
        </w:tabs>
        <w:numPr>
          <w:ilvl w:val="0"/>
          <w:numId w:val="31"/>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 xml:space="preserve">Utilization of Inlet Gas (%) is lower for the three and six months ended </w:t>
      </w:r>
      <w:r>
        <w:rPr>
          <w:rFonts w:ascii="Times New Roman" w:cs="Times New Roman" w:eastAsia="Times New Roman" w:hAnsi="Times New Roman"/>
          <w:sz w:val="13"/>
          <w:szCs w:val="13"/>
          <w:color w:val="auto"/>
        </w:rPr>
        <w:t>June 30, 2024 primarily due to Emerald RNG project which is in the start up phase as it commenced operations in the fourth quarter of 2023.</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shd w:val="clear" w:color="auto" w:fill="CCEEFF"/>
          </w:tcPr>
          <w:p>
            <w:pPr>
              <w:spacing w:after="0"/>
              <w:rPr>
                <w:sz w:val="12"/>
                <w:szCs w:val="12"/>
                <w:color w:val="auto"/>
              </w:rPr>
            </w:pPr>
          </w:p>
        </w:tc>
        <w:tc>
          <w:tcPr>
            <w:tcW w:w="2100" w:type="dxa"/>
            <w:vAlign w:val="bottom"/>
            <w:gridSpan w:val="4"/>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5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80"/>
        </w:trPr>
        <w:tc>
          <w:tcPr>
            <w:tcW w:w="5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gridSpan w:val="3"/>
            <w:shd w:val="clear" w:color="auto" w:fill="CCEEFF"/>
          </w:tcPr>
          <w:p>
            <w:pPr>
              <w:jc w:val="center"/>
              <w:ind w:left="81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Borders>
              <w:bottom w:val="single" w:sz="8" w:color="auto"/>
            </w:tcBorders>
            <w:shd w:val="clear" w:color="auto" w:fill="CCEEFF"/>
          </w:tcPr>
          <w:p>
            <w:pPr>
              <w:spacing w:after="0"/>
              <w:rPr>
                <w:sz w:val="15"/>
                <w:szCs w:val="15"/>
                <w:color w:val="auto"/>
              </w:rPr>
            </w:pPr>
          </w:p>
        </w:tc>
      </w:tr>
      <w:tr>
        <w:trPr>
          <w:trHeight w:val="160"/>
        </w:trPr>
        <w:tc>
          <w:tcPr>
            <w:tcW w:w="5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Renewable Power</w:t>
            </w:r>
          </w:p>
        </w:tc>
        <w:tc>
          <w:tcPr>
            <w:tcW w:w="7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70"/>
        </w:trPr>
        <w:tc>
          <w:tcPr>
            <w:tcW w:w="59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Nameplate Capacity (MW per hour)</w:t>
            </w:r>
            <w:r>
              <w:rPr>
                <w:rFonts w:ascii="Times New Roman" w:cs="Times New Roman" w:eastAsia="Times New Roman" w:hAnsi="Times New Roman"/>
                <w:sz w:val="17"/>
                <w:szCs w:val="17"/>
                <w:color w:val="auto"/>
                <w:vertAlign w:val="superscript"/>
              </w:rPr>
              <w:t>(1)</w:t>
            </w: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5"/>
              </w:rPr>
              <w:t>112.5</w:t>
            </w:r>
          </w:p>
        </w:tc>
        <w:tc>
          <w:tcPr>
            <w:tcW w:w="8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112.5</w:t>
            </w:r>
          </w:p>
        </w:tc>
      </w:tr>
      <w:tr>
        <w:trPr>
          <w:trHeight w:val="170"/>
        </w:trPr>
        <w:tc>
          <w:tcPr>
            <w:tcW w:w="59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Nameplate Capacity for the period (Millions MWh) </w:t>
            </w:r>
            <w:r>
              <w:rPr>
                <w:rFonts w:ascii="Times New Roman" w:cs="Times New Roman" w:eastAsia="Times New Roman" w:hAnsi="Times New Roman"/>
                <w:sz w:val="17"/>
                <w:szCs w:val="17"/>
                <w:color w:val="auto"/>
                <w:vertAlign w:val="superscript"/>
              </w:rPr>
              <w:t>(1)</w:t>
            </w:r>
          </w:p>
        </w:tc>
        <w:tc>
          <w:tcPr>
            <w:tcW w:w="4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0.50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0.50</w:t>
            </w:r>
          </w:p>
        </w:tc>
      </w:tr>
      <w:tr>
        <w:trPr>
          <w:trHeight w:val="17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Renewable Power produced (Millions MWh)</w:t>
            </w:r>
          </w:p>
        </w:tc>
        <w:tc>
          <w:tcPr>
            <w:tcW w:w="4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0.23</w:t>
            </w:r>
          </w:p>
        </w:tc>
      </w:tr>
      <w:tr>
        <w:trPr>
          <w:trHeight w:val="170"/>
        </w:trPr>
        <w:tc>
          <w:tcPr>
            <w:tcW w:w="59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Design Capacity Utilization (%) </w:t>
            </w:r>
            <w:r>
              <w:rPr>
                <w:rFonts w:ascii="Times New Roman" w:cs="Times New Roman" w:eastAsia="Times New Roman" w:hAnsi="Times New Roman"/>
                <w:sz w:val="17"/>
                <w:szCs w:val="17"/>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r>
    </w:tbl>
    <w:p>
      <w:pPr>
        <w:spacing w:after="0" w:line="161" w:lineRule="exact"/>
        <w:rPr>
          <w:sz w:val="20"/>
          <w:szCs w:val="20"/>
          <w:color w:val="auto"/>
        </w:rPr>
      </w:pPr>
    </w:p>
    <w:p>
      <w:pPr>
        <w:spacing w:after="0" w:line="273" w:lineRule="auto"/>
        <w:tabs>
          <w:tab w:leader="none" w:pos="122"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143" w:lineRule="exact"/>
        <w:rPr>
          <w:rFonts w:ascii="Times New Roman" w:cs="Times New Roman" w:eastAsia="Times New Roman" w:hAnsi="Times New Roman"/>
          <w:sz w:val="14"/>
          <w:szCs w:val="14"/>
          <w:color w:val="auto"/>
          <w:vertAlign w:val="superscript"/>
        </w:rPr>
      </w:pPr>
    </w:p>
    <w:p>
      <w:pPr>
        <w:jc w:val="both"/>
        <w:spacing w:after="0" w:line="266" w:lineRule="auto"/>
        <w:tabs>
          <w:tab w:leader="none" w:pos="123"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200" w:lineRule="exact"/>
        <w:rPr>
          <w:sz w:val="20"/>
          <w:szCs w:val="20"/>
          <w:color w:val="auto"/>
        </w:rPr>
      </w:pP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5500" w:type="dxa"/>
            <w:vAlign w:val="bottom"/>
            <w:shd w:val="clear" w:color="auto" w:fill="CCEEFF"/>
          </w:tcPr>
          <w:p>
            <w:pPr>
              <w:spacing w:after="0"/>
              <w:rPr>
                <w:sz w:val="14"/>
                <w:szCs w:val="14"/>
                <w:color w:val="auto"/>
              </w:rPr>
            </w:pPr>
          </w:p>
        </w:tc>
        <w:tc>
          <w:tcPr>
            <w:tcW w:w="224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tcBorders>
              <w:bottom w:val="single" w:sz="8" w:color="auto"/>
            </w:tcBorders>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360" w:type="dxa"/>
            <w:vAlign w:val="bottom"/>
            <w:tcBorders>
              <w:bottom w:val="single" w:sz="8" w:color="auto"/>
            </w:tcBorders>
            <w:shd w:val="clear" w:color="auto" w:fill="CCEEFF"/>
          </w:tcPr>
          <w:p>
            <w:pPr>
              <w:spacing w:after="0"/>
              <w:rPr>
                <w:sz w:val="14"/>
                <w:szCs w:val="14"/>
                <w:color w:val="auto"/>
              </w:rPr>
            </w:pPr>
          </w:p>
        </w:tc>
      </w:tr>
      <w:tr>
        <w:trPr>
          <w:trHeight w:val="160"/>
        </w:trPr>
        <w:tc>
          <w:tcPr>
            <w:tcW w:w="5500" w:type="dxa"/>
            <w:vAlign w:val="bottom"/>
          </w:tcPr>
          <w:p>
            <w:pPr>
              <w:spacing w:after="0"/>
              <w:rPr>
                <w:sz w:val="13"/>
                <w:szCs w:val="13"/>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55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r>
      <w:tr>
        <w:trPr>
          <w:trHeight w:val="1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RNG Fuel volume produced (Million MMBtus)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RNG Fuel volume sold (Million GGEs)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r>
      <w:tr>
        <w:trPr>
          <w:trHeight w:val="17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volume delivered (Million GGEs)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RNG projects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Below is a table setting forth the RNG projects in operation and construction in our portfolio as of June 30, 2024:</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452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OPAL's Share of</w:t>
            </w:r>
          </w:p>
        </w:tc>
        <w:tc>
          <w:tcPr>
            <w:tcW w:w="1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52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Design capacity</w:t>
            </w:r>
          </w:p>
        </w:tc>
        <w:tc>
          <w:tcPr>
            <w:tcW w:w="1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Expected Commercial</w:t>
            </w:r>
          </w:p>
        </w:tc>
        <w:tc>
          <w:tcPr>
            <w:tcW w:w="0" w:type="dxa"/>
            <w:vAlign w:val="bottom"/>
          </w:tcPr>
          <w:p>
            <w:pPr>
              <w:spacing w:after="0"/>
              <w:rPr>
                <w:sz w:val="1"/>
                <w:szCs w:val="1"/>
                <w:color w:val="auto"/>
              </w:rPr>
            </w:pPr>
          </w:p>
        </w:tc>
      </w:tr>
      <w:tr>
        <w:trPr>
          <w:trHeight w:val="137"/>
        </w:trPr>
        <w:tc>
          <w:tcPr>
            <w:tcW w:w="452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(MMBtus per year)</w:t>
            </w:r>
          </w:p>
        </w:tc>
        <w:tc>
          <w:tcPr>
            <w:tcW w:w="1180" w:type="dxa"/>
            <w:vAlign w:val="bottom"/>
            <w:vMerge w:val="restart"/>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Source of biogas</w:t>
            </w:r>
          </w:p>
        </w:tc>
        <w:tc>
          <w:tcPr>
            <w:tcW w:w="11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 xml:space="preserve">Ownership </w:t>
            </w:r>
            <w:r>
              <w:rPr>
                <w:rFonts w:ascii="Times New Roman" w:cs="Times New Roman" w:eastAsia="Times New Roman" w:hAnsi="Times New Roman"/>
                <w:sz w:val="17"/>
                <w:szCs w:val="17"/>
                <w:b w:val="1"/>
                <w:bCs w:val="1"/>
                <w:color w:val="auto"/>
                <w:vertAlign w:val="superscript"/>
              </w:rPr>
              <w:t>(2)</w:t>
            </w:r>
          </w:p>
        </w:tc>
        <w:tc>
          <w:tcPr>
            <w:tcW w:w="1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520" w:type="dxa"/>
            <w:vAlign w:val="bottom"/>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180" w:type="dxa"/>
            <w:vAlign w:val="bottom"/>
            <w:tcBorders>
              <w:bottom w:val="single" w:sz="8" w:color="auto"/>
            </w:tcBorders>
            <w:vMerge w:val="continue"/>
            <w:shd w:val="clear" w:color="auto" w:fill="CCEEFF"/>
          </w:tcPr>
          <w:p>
            <w:pPr>
              <w:spacing w:after="0"/>
              <w:rPr>
                <w:sz w:val="11"/>
                <w:szCs w:val="11"/>
                <w:color w:val="auto"/>
              </w:rPr>
            </w:pPr>
          </w:p>
        </w:tc>
        <w:tc>
          <w:tcPr>
            <w:tcW w:w="1160" w:type="dxa"/>
            <w:vAlign w:val="bottom"/>
            <w:tcBorders>
              <w:bottom w:val="single" w:sz="8" w:color="auto"/>
            </w:tcBorders>
            <w:vMerge w:val="continue"/>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center"/>
              <w:ind w:left="34"/>
              <w:spacing w:after="0" w:line="131" w:lineRule="exact"/>
              <w:rPr>
                <w:sz w:val="20"/>
                <w:szCs w:val="20"/>
                <w:color w:val="auto"/>
              </w:rPr>
            </w:pPr>
            <w:r>
              <w:rPr>
                <w:rFonts w:ascii="Times New Roman" w:cs="Times New Roman" w:eastAsia="Times New Roman" w:hAnsi="Times New Roman"/>
                <w:sz w:val="12"/>
                <w:szCs w:val="12"/>
                <w:b w:val="1"/>
                <w:bCs w:val="1"/>
                <w:color w:val="auto"/>
              </w:rPr>
              <w:t xml:space="preserve">Operation Date </w:t>
            </w:r>
            <w:r>
              <w:rPr>
                <w:rFonts w:ascii="Times New Roman" w:cs="Times New Roman" w:eastAsia="Times New Roman" w:hAnsi="Times New Roman"/>
                <w:sz w:val="15"/>
                <w:szCs w:val="15"/>
                <w:b w:val="1"/>
                <w:bCs w:val="1"/>
                <w:color w:val="auto"/>
                <w:vertAlign w:val="superscript"/>
              </w:rPr>
              <w:t>(5)</w:t>
            </w:r>
          </w:p>
        </w:tc>
        <w:tc>
          <w:tcPr>
            <w:tcW w:w="0" w:type="dxa"/>
            <w:vAlign w:val="bottom"/>
          </w:tcPr>
          <w:p>
            <w:pPr>
              <w:spacing w:after="0"/>
              <w:rPr>
                <w:sz w:val="1"/>
                <w:szCs w:val="1"/>
                <w:color w:val="auto"/>
              </w:rPr>
            </w:pPr>
          </w:p>
        </w:tc>
      </w:tr>
      <w:tr>
        <w:trPr>
          <w:trHeight w:val="15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RNG projects in operation:</w:t>
            </w: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Greentree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1,061,712</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Imperial</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1,061,712</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Emerald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1,327,140</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River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663,570</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Noble Road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464,499</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Pine Bend </w:t>
            </w:r>
            <w:r>
              <w:rPr>
                <w:rFonts w:ascii="Times New Roman" w:cs="Times New Roman" w:eastAsia="Times New Roman" w:hAnsi="Times New Roman"/>
                <w:sz w:val="17"/>
                <w:szCs w:val="17"/>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424,685</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Biotown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48,573</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Sunoma </w:t>
            </w:r>
            <w:r>
              <w:rPr>
                <w:rFonts w:ascii="Times New Roman" w:cs="Times New Roman" w:eastAsia="Times New Roman" w:hAnsi="Times New Roman"/>
                <w:sz w:val="17"/>
                <w:szCs w:val="17"/>
                <w:color w:val="auto"/>
                <w:vertAlign w:val="superscript"/>
              </w:rPr>
              <w:t>(3)</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192,350</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Prince William </w:t>
            </w:r>
            <w:r>
              <w:rPr>
                <w:rFonts w:ascii="Times New Roman" w:cs="Times New Roman" w:eastAsia="Times New Roman" w:hAnsi="Times New Roman"/>
                <w:sz w:val="17"/>
                <w:szCs w:val="17"/>
                <w:color w:val="auto"/>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1,725,282</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Sub 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6,969,523</w:t>
            </w:r>
          </w:p>
        </w:tc>
        <w:tc>
          <w:tcPr>
            <w:tcW w:w="11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RNG projects in construction:</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Hilltop </w:t>
            </w:r>
            <w:r>
              <w:rPr>
                <w:rFonts w:ascii="Times New Roman" w:cs="Times New Roman" w:eastAsia="Times New Roman" w:hAnsi="Times New Roman"/>
                <w:sz w:val="17"/>
                <w:szCs w:val="17"/>
                <w:color w:val="auto"/>
                <w:vertAlign w:val="superscript"/>
              </w:rPr>
              <w:t>(6)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255,500</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See Footnote 6</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Vander Schaaf </w:t>
            </w:r>
            <w:r>
              <w:rPr>
                <w:rFonts w:ascii="Times New Roman" w:cs="Times New Roman" w:eastAsia="Times New Roman" w:hAnsi="Times New Roman"/>
                <w:sz w:val="17"/>
                <w:szCs w:val="17"/>
                <w:color w:val="auto"/>
                <w:vertAlign w:val="superscript"/>
              </w:rPr>
              <w:t>(6)</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255,500</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Dairy</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See Footnote 6</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Polk County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1,060,000</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Fourth quarter 2024</w:t>
            </w:r>
          </w:p>
        </w:tc>
        <w:tc>
          <w:tcPr>
            <w:tcW w:w="0" w:type="dxa"/>
            <w:vAlign w:val="bottom"/>
          </w:tcPr>
          <w:p>
            <w:pPr>
              <w:spacing w:after="0"/>
              <w:rPr>
                <w:sz w:val="1"/>
                <w:szCs w:val="1"/>
                <w:color w:val="auto"/>
              </w:rPr>
            </w:pPr>
          </w:p>
        </w:tc>
      </w:tr>
      <w:tr>
        <w:trPr>
          <w:trHeight w:val="170"/>
        </w:trPr>
        <w:tc>
          <w:tcPr>
            <w:tcW w:w="4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Sapphire </w:t>
            </w:r>
            <w:r>
              <w:rPr>
                <w:rFonts w:ascii="Times New Roman" w:cs="Times New Roman" w:eastAsia="Times New Roman" w:hAnsi="Times New Roman"/>
                <w:sz w:val="17"/>
                <w:szCs w:val="17"/>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796,284</w:t>
            </w: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Third quarter 2024</w:t>
            </w:r>
          </w:p>
        </w:tc>
        <w:tc>
          <w:tcPr>
            <w:tcW w:w="0" w:type="dxa"/>
            <w:vAlign w:val="bottom"/>
          </w:tcPr>
          <w:p>
            <w:pPr>
              <w:spacing w:after="0"/>
              <w:rPr>
                <w:sz w:val="1"/>
                <w:szCs w:val="1"/>
                <w:color w:val="auto"/>
              </w:rPr>
            </w:pPr>
          </w:p>
        </w:tc>
      </w:tr>
      <w:tr>
        <w:trPr>
          <w:trHeight w:val="170"/>
        </w:trPr>
        <w:tc>
          <w:tcPr>
            <w:tcW w:w="4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Atlantic </w:t>
            </w:r>
            <w:r>
              <w:rPr>
                <w:rFonts w:ascii="Times New Roman" w:cs="Times New Roman" w:eastAsia="Times New Roman" w:hAnsi="Times New Roman"/>
                <w:sz w:val="17"/>
                <w:szCs w:val="17"/>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331,785</w:t>
            </w:r>
          </w:p>
        </w:tc>
        <w:tc>
          <w:tcPr>
            <w:tcW w:w="11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6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Third quarter 2025</w:t>
            </w:r>
          </w:p>
        </w:tc>
        <w:tc>
          <w:tcPr>
            <w:tcW w:w="0" w:type="dxa"/>
            <w:vAlign w:val="bottom"/>
          </w:tcPr>
          <w:p>
            <w:pPr>
              <w:spacing w:after="0"/>
              <w:rPr>
                <w:sz w:val="1"/>
                <w:szCs w:val="1"/>
                <w:color w:val="auto"/>
              </w:rPr>
            </w:pPr>
          </w:p>
        </w:tc>
      </w:tr>
      <w:tr>
        <w:trPr>
          <w:trHeight w:val="170"/>
        </w:trPr>
        <w:tc>
          <w:tcPr>
            <w:tcW w:w="45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Cottonwood </w:t>
            </w:r>
            <w:r>
              <w:rPr>
                <w:rFonts w:ascii="Times New Roman" w:cs="Times New Roman" w:eastAsia="Times New Roman" w:hAnsi="Times New Roman"/>
                <w:sz w:val="17"/>
                <w:szCs w:val="17"/>
                <w:color w:val="auto"/>
                <w:vertAlign w:val="superscript"/>
              </w:rPr>
              <w:t>(7)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664,884</w:t>
            </w:r>
          </w:p>
        </w:tc>
        <w:tc>
          <w:tcPr>
            <w:tcW w:w="1180" w:type="dxa"/>
            <w:vAlign w:val="bottom"/>
            <w:tcBorders>
              <w:bottom w:val="single" w:sz="8" w:color="CCEEFF"/>
            </w:tcBorders>
          </w:tcPr>
          <w:p>
            <w:pPr>
              <w:jc w:val="center"/>
              <w:ind w:right="53"/>
              <w:spacing w:after="0"/>
              <w:rPr>
                <w:sz w:val="20"/>
                <w:szCs w:val="20"/>
                <w:color w:val="auto"/>
              </w:rPr>
            </w:pPr>
            <w:r>
              <w:rPr>
                <w:rFonts w:ascii="Times New Roman" w:cs="Times New Roman" w:eastAsia="Times New Roman" w:hAnsi="Times New Roman"/>
                <w:sz w:val="13"/>
                <w:szCs w:val="13"/>
                <w:color w:val="auto"/>
              </w:rPr>
              <w:t>LFG</w:t>
            </w: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3"/>
                <w:szCs w:val="13"/>
                <w:color w:val="auto"/>
              </w:rPr>
              <w:t>See Footnote 7</w:t>
            </w:r>
          </w:p>
        </w:tc>
        <w:tc>
          <w:tcPr>
            <w:tcW w:w="0" w:type="dxa"/>
            <w:vAlign w:val="bottom"/>
          </w:tcPr>
          <w:p>
            <w:pPr>
              <w:spacing w:after="0"/>
              <w:rPr>
                <w:sz w:val="1"/>
                <w:szCs w:val="1"/>
                <w:color w:val="auto"/>
              </w:rPr>
            </w:pPr>
          </w:p>
        </w:tc>
      </w:tr>
      <w:tr>
        <w:trPr>
          <w:trHeight w:val="16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Sub 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3,363,953</w:t>
            </w:r>
          </w:p>
        </w:tc>
        <w:tc>
          <w:tcPr>
            <w:tcW w:w="1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10,333,476</w:t>
            </w:r>
          </w:p>
        </w:tc>
        <w:tc>
          <w:tcPr>
            <w:tcW w:w="1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39" w:lineRule="auto"/>
        <w:tabs>
          <w:tab w:leader="none" w:pos="134" w:val="left"/>
        </w:tabs>
        <w:numPr>
          <w:ilvl w:val="0"/>
          <w:numId w:val="33"/>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148" w:lineRule="exact"/>
        <w:rPr>
          <w:rFonts w:ascii="Times New Roman" w:cs="Times New Roman" w:eastAsia="Times New Roman" w:hAnsi="Times New Roman"/>
          <w:sz w:val="17"/>
          <w:szCs w:val="17"/>
          <w:b w:val="1"/>
          <w:bCs w:val="1"/>
          <w:color w:val="auto"/>
          <w:vertAlign w:val="superscript"/>
        </w:rPr>
      </w:pPr>
    </w:p>
    <w:p>
      <w:pPr>
        <w:ind w:left="120" w:hanging="120"/>
        <w:spacing w:after="0"/>
        <w:tabs>
          <w:tab w:leader="none" w:pos="120"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We record our ownership interests in these projects as equity method investments in our consolidated financial statements.</w:t>
      </w:r>
    </w:p>
    <w:p>
      <w:pPr>
        <w:spacing w:after="0" w:line="147" w:lineRule="exact"/>
        <w:rPr>
          <w:rFonts w:ascii="Times New Roman" w:cs="Times New Roman" w:eastAsia="Times New Roman" w:hAnsi="Times New Roman"/>
          <w:sz w:val="15"/>
          <w:szCs w:val="15"/>
          <w:color w:val="auto"/>
          <w:vertAlign w:val="superscript"/>
        </w:rPr>
      </w:pPr>
    </w:p>
    <w:p>
      <w:pPr>
        <w:spacing w:after="0" w:line="279" w:lineRule="auto"/>
        <w:tabs>
          <w:tab w:leader="none" w:pos="123"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19"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Prince William commenced the start-up phase of operations in April 2024.</w:t>
      </w:r>
    </w:p>
    <w:p>
      <w:pPr>
        <w:spacing w:after="0" w:line="147" w:lineRule="exact"/>
        <w:rPr>
          <w:rFonts w:ascii="Times New Roman" w:cs="Times New Roman" w:eastAsia="Times New Roman" w:hAnsi="Times New Roman"/>
          <w:sz w:val="15"/>
          <w:szCs w:val="15"/>
          <w:color w:val="auto"/>
          <w:vertAlign w:val="superscript"/>
        </w:rPr>
      </w:pPr>
    </w:p>
    <w:p>
      <w:pPr>
        <w:spacing w:after="0" w:line="279" w:lineRule="auto"/>
        <w:tabs>
          <w:tab w:leader="none" w:pos="123"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117"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 xml:space="preserve">Please see Part II, Item 1: Legal Proceedings and Note 17 -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to the financial statements.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57" w:name="page58"/>
    <w:bookmarkEnd w:id="57"/>
    <w:p>
      <w:pPr>
        <w:ind w:right="440"/>
        <w:spacing w:after="0" w:line="445" w:lineRule="auto"/>
        <w:tabs>
          <w:tab w:leader="none" w:pos="134"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construction of the Cottonwood project began in the second quarter of 2024 and is expected to be completed on a time frame consistent with our other RNG projects - approximately 18-20 months. Renewable Power Projects</w:t>
      </w:r>
    </w:p>
    <w:p>
      <w:pPr>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Below is a table setting forth the Renewable Power projects in operation in our portfolio:</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8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Nameplate capacity (MW per</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 RNG conversion candidate</w:t>
            </w:r>
          </w:p>
        </w:tc>
      </w:tr>
      <w:tr>
        <w:trPr>
          <w:trHeight w:val="130"/>
        </w:trPr>
        <w:tc>
          <w:tcPr>
            <w:tcW w:w="6280" w:type="dxa"/>
            <w:vAlign w:val="bottom"/>
            <w:shd w:val="clear" w:color="auto" w:fill="CCEEFF"/>
          </w:tcPr>
          <w:p>
            <w:pPr>
              <w:spacing w:after="0"/>
              <w:rPr>
                <w:sz w:val="11"/>
                <w:szCs w:val="11"/>
                <w:color w:val="auto"/>
              </w:rPr>
            </w:pPr>
          </w:p>
        </w:tc>
        <w:tc>
          <w:tcPr>
            <w:tcW w:w="1860" w:type="dxa"/>
            <w:vAlign w:val="bottom"/>
            <w:tcBorders>
              <w:bottom w:val="single" w:sz="8" w:color="auto"/>
            </w:tcBorders>
            <w:shd w:val="clear" w:color="auto" w:fill="CCEEFF"/>
          </w:tcPr>
          <w:p>
            <w:pPr>
              <w:jc w:val="right"/>
              <w:ind w:right="634"/>
              <w:spacing w:after="0" w:line="131" w:lineRule="exact"/>
              <w:rPr>
                <w:sz w:val="20"/>
                <w:szCs w:val="20"/>
                <w:color w:val="auto"/>
              </w:rPr>
            </w:pPr>
            <w:r>
              <w:rPr>
                <w:rFonts w:ascii="Times New Roman" w:cs="Times New Roman" w:eastAsia="Times New Roman" w:hAnsi="Times New Roman"/>
                <w:sz w:val="12"/>
                <w:szCs w:val="12"/>
                <w:b w:val="1"/>
                <w:bCs w:val="1"/>
                <w:color w:val="auto"/>
              </w:rPr>
              <w:t xml:space="preserve">hour) </w:t>
            </w:r>
            <w:r>
              <w:rPr>
                <w:rFonts w:ascii="Times New Roman" w:cs="Times New Roman" w:eastAsia="Times New Roman" w:hAnsi="Times New Roman"/>
                <w:sz w:val="15"/>
                <w:szCs w:val="15"/>
                <w:b w:val="1"/>
                <w:bCs w:val="1"/>
                <w:color w:val="auto"/>
                <w:vertAlign w:val="superscript"/>
              </w:rPr>
              <w:t>(1)</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(2)</w:t>
            </w:r>
          </w:p>
        </w:tc>
      </w:tr>
      <w:tr>
        <w:trPr>
          <w:trHeight w:val="15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Renewable Power Projects in operation:</w:t>
            </w:r>
          </w:p>
        </w:tc>
        <w:tc>
          <w:tcPr>
            <w:tcW w:w="186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Sycamore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Lopez</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Miramar Energy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Marcos</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Cruz</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San Diego - Miramar</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 Covina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 Charlotte</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Taunton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Arbor Hills </w:t>
            </w:r>
            <w:r>
              <w:rPr>
                <w:rFonts w:ascii="Times New Roman" w:cs="Times New Roman" w:eastAsia="Times New Roman" w:hAnsi="Times New Roman"/>
                <w:sz w:val="17"/>
                <w:szCs w:val="17"/>
                <w:color w:val="auto"/>
                <w:vertAlign w:val="superscript"/>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C&amp;C</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Albany</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Concord and CMS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7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Pioneer</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Old Dominion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r>
      <w:tr>
        <w:trPr>
          <w:trHeight w:val="160"/>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2120" w:type="dxa"/>
            <w:vAlign w:val="bottom"/>
          </w:tcPr>
          <w:p>
            <w:pPr>
              <w:spacing w:after="0"/>
              <w:rPr>
                <w:sz w:val="13"/>
                <w:szCs w:val="13"/>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r>
      <w:tr>
        <w:trPr>
          <w:trHeight w:val="130"/>
        </w:trPr>
        <w:tc>
          <w:tcPr>
            <w:tcW w:w="62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Renewable Power projects in construction:</w:t>
            </w:r>
          </w:p>
        </w:tc>
        <w:tc>
          <w:tcPr>
            <w:tcW w:w="18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r>
      <w:tr>
        <w:trPr>
          <w:trHeight w:val="170"/>
        </w:trPr>
        <w:tc>
          <w:tcPr>
            <w:tcW w:w="62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Fall River </w:t>
            </w:r>
            <w:r>
              <w:rPr>
                <w:rFonts w:ascii="Times New Roman" w:cs="Times New Roman" w:eastAsia="Times New Roman" w:hAnsi="Times New Roman"/>
                <w:sz w:val="17"/>
                <w:szCs w:val="17"/>
                <w:color w:val="auto"/>
                <w:vertAlign w:val="superscript"/>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6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r>
    </w:tbl>
    <w:p>
      <w:pPr>
        <w:spacing w:after="0" w:line="217" w:lineRule="exact"/>
        <w:rPr>
          <w:sz w:val="20"/>
          <w:szCs w:val="20"/>
          <w:color w:val="auto"/>
        </w:rPr>
      </w:pPr>
    </w:p>
    <w:p>
      <w:pPr>
        <w:spacing w:after="0" w:line="231" w:lineRule="auto"/>
        <w:tabs>
          <w:tab w:leader="none" w:pos="144"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68" w:lineRule="exact"/>
        <w:rPr>
          <w:rFonts w:ascii="Times New Roman" w:cs="Times New Roman" w:eastAsia="Times New Roman" w:hAnsi="Times New Roman"/>
          <w:sz w:val="17"/>
          <w:szCs w:val="17"/>
          <w:color w:val="auto"/>
          <w:vertAlign w:val="superscript"/>
        </w:rPr>
      </w:pPr>
    </w:p>
    <w:p>
      <w:pPr>
        <w:jc w:val="both"/>
        <w:spacing w:after="0" w:line="244" w:lineRule="auto"/>
        <w:tabs>
          <w:tab w:leader="none" w:pos="133"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spacing w:after="0" w:line="143" w:lineRule="exact"/>
        <w:rPr>
          <w:rFonts w:ascii="Times New Roman" w:cs="Times New Roman" w:eastAsia="Times New Roman" w:hAnsi="Times New Roman"/>
          <w:sz w:val="17"/>
          <w:szCs w:val="17"/>
          <w:color w:val="auto"/>
          <w:vertAlign w:val="superscript"/>
        </w:rPr>
      </w:pPr>
    </w:p>
    <w:p>
      <w:pPr>
        <w:ind w:left="140" w:hanging="140"/>
        <w:spacing w:after="0"/>
        <w:tabs>
          <w:tab w:leader="none" w:pos="140"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Although the RNG conversion is completed, it is currently contemplated that the Arbor Hills Renewable Power plant will continue limited operations on a stand-by, emergency basis through March of 2031.</w:t>
      </w:r>
    </w:p>
    <w:p>
      <w:pPr>
        <w:spacing w:after="0" w:line="157" w:lineRule="exact"/>
        <w:rPr>
          <w:rFonts w:ascii="Times New Roman" w:cs="Times New Roman" w:eastAsia="Times New Roman" w:hAnsi="Times New Roman"/>
          <w:sz w:val="17"/>
          <w:szCs w:val="17"/>
          <w:color w:val="auto"/>
          <w:vertAlign w:val="superscript"/>
        </w:rPr>
      </w:pPr>
    </w:p>
    <w:p>
      <w:pPr>
        <w:ind w:left="120" w:hanging="120"/>
        <w:spacing w:after="0"/>
        <w:tabs>
          <w:tab w:leader="none" w:pos="120"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It is expected to complete construction in the fourth quarter of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Comparison of the Three and Six Months Ended June 30, 2024 and 2023</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the period-over-period change for each line item in the Company's statement of operations for the three and six months ended June 30, 2024 and 2023.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140" w:type="dxa"/>
            <w:vAlign w:val="bottom"/>
          </w:tcPr>
          <w:p>
            <w:pPr>
              <w:spacing w:after="0"/>
              <w:rPr>
                <w:sz w:val="15"/>
                <w:szCs w:val="15"/>
                <w:color w:val="auto"/>
              </w:rPr>
            </w:pP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5"/>
                <w:szCs w:val="15"/>
                <w:color w:val="auto"/>
              </w:rPr>
            </w:pPr>
          </w:p>
        </w:tc>
        <w:tc>
          <w:tcPr>
            <w:tcW w:w="100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200" w:type="dxa"/>
            <w:vAlign w:val="bottom"/>
          </w:tcPr>
          <w:p>
            <w:pPr>
              <w:spacing w:after="0"/>
              <w:rPr>
                <w:sz w:val="15"/>
                <w:szCs w:val="15"/>
                <w:color w:val="auto"/>
              </w:rPr>
            </w:pPr>
          </w:p>
        </w:tc>
        <w:tc>
          <w:tcPr>
            <w:tcW w:w="76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RNG Fuel</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19,445</w:t>
            </w:r>
          </w:p>
        </w:tc>
        <w:tc>
          <w:tcPr>
            <w:tcW w:w="100" w:type="dxa"/>
            <w:vAlign w:val="bottom"/>
          </w:tcPr>
          <w:p>
            <w:pPr>
              <w:spacing w:after="0"/>
              <w:rPr>
                <w:sz w:val="16"/>
                <w:szCs w:val="16"/>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10,631</w:t>
            </w:r>
          </w:p>
        </w:tc>
        <w:tc>
          <w:tcPr>
            <w:tcW w:w="100" w:type="dxa"/>
            <w:vAlign w:val="bottom"/>
          </w:tcPr>
          <w:p>
            <w:pPr>
              <w:spacing w:after="0"/>
              <w:rPr>
                <w:sz w:val="16"/>
                <w:szCs w:val="16"/>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8,814</w:t>
            </w:r>
          </w:p>
        </w:tc>
        <w:tc>
          <w:tcPr>
            <w:tcW w:w="10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 xml:space="preserve">83 %  </w:t>
            </w: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37,172</w:t>
            </w:r>
          </w:p>
        </w:tc>
        <w:tc>
          <w:tcPr>
            <w:tcW w:w="100" w:type="dxa"/>
            <w:vAlign w:val="bottom"/>
          </w:tcPr>
          <w:p>
            <w:pPr>
              <w:spacing w:after="0"/>
              <w:rPr>
                <w:sz w:val="16"/>
                <w:szCs w:val="16"/>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17,380</w:t>
            </w:r>
          </w:p>
        </w:tc>
        <w:tc>
          <w:tcPr>
            <w:tcW w:w="100" w:type="dxa"/>
            <w:vAlign w:val="bottom"/>
          </w:tcPr>
          <w:p>
            <w:pPr>
              <w:spacing w:after="0"/>
              <w:rPr>
                <w:sz w:val="16"/>
                <w:szCs w:val="16"/>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19,792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114 %</w:t>
            </w:r>
          </w:p>
        </w:tc>
        <w:tc>
          <w:tcPr>
            <w:tcW w:w="0" w:type="dxa"/>
            <w:vAlign w:val="bottom"/>
          </w:tcPr>
          <w:p>
            <w:pPr>
              <w:spacing w:after="0"/>
              <w:rPr>
                <w:sz w:val="1"/>
                <w:szCs w:val="1"/>
                <w:color w:val="auto"/>
              </w:rPr>
            </w:pPr>
          </w:p>
        </w:tc>
      </w:tr>
      <w:tr>
        <w:trPr>
          <w:trHeight w:val="19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Fuel Station Services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50 %</w:t>
            </w:r>
          </w:p>
        </w:tc>
        <w:tc>
          <w:tcPr>
            <w:tcW w:w="0" w:type="dxa"/>
            <w:vAlign w:val="bottom"/>
          </w:tcPr>
          <w:p>
            <w:pPr>
              <w:spacing w:after="0"/>
              <w:rPr>
                <w:sz w:val="1"/>
                <w:szCs w:val="1"/>
                <w:color w:val="auto"/>
              </w:rPr>
            </w:pPr>
          </w:p>
        </w:tc>
      </w:tr>
      <w:tr>
        <w:trPr>
          <w:trHeight w:val="185"/>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Renewable Power</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14,455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22,331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29,835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75"/>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revenues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55,042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15,908</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97,999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37,903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0" w:type="dxa"/>
            <w:vAlign w:val="bottom"/>
          </w:tcPr>
          <w:p>
            <w:pPr>
              <w:spacing w:after="0"/>
              <w:rPr>
                <w:sz w:val="1"/>
                <w:szCs w:val="1"/>
                <w:color w:val="auto"/>
              </w:rPr>
            </w:pPr>
          </w:p>
        </w:tc>
      </w:tr>
      <w:tr>
        <w:trPr>
          <w:trHeight w:val="13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 of sales - RNG Fuel</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16,659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Cost of sales - Fuel Station Services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(13,505)</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 of sales - Renewable Power</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17,139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Project development and startup costs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13,699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26,391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loss from equity method investments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4,798</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2832 %</w:t>
            </w:r>
          </w:p>
        </w:tc>
        <w:tc>
          <w:tcPr>
            <w:tcW w:w="0" w:type="dxa"/>
            <w:vAlign w:val="bottom"/>
          </w:tcPr>
          <w:p>
            <w:pPr>
              <w:spacing w:after="0"/>
              <w:rPr>
                <w:sz w:val="1"/>
                <w:szCs w:val="1"/>
                <w:color w:val="auto"/>
              </w:rPr>
            </w:pPr>
          </w:p>
        </w:tc>
      </w:tr>
      <w:tr>
        <w:trPr>
          <w:trHeight w:val="14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Total expenses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65,261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62,410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126,643</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115,937</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(10,706)</w:t>
            </w:r>
          </w:p>
        </w:tc>
        <w:tc>
          <w:tcPr>
            <w:tcW w:w="100" w:type="dxa"/>
            <w:vAlign w:val="bottom"/>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income (loss)</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5,689</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13,057</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177 %</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27,197</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152 %</w:t>
            </w:r>
          </w:p>
        </w:tc>
        <w:tc>
          <w:tcPr>
            <w:tcW w:w="0" w:type="dxa"/>
            <w:vAlign w:val="bottom"/>
          </w:tcPr>
          <w:p>
            <w:pPr>
              <w:spacing w:after="0"/>
              <w:rPr>
                <w:sz w:val="1"/>
                <w:szCs w:val="1"/>
                <w:color w:val="auto"/>
              </w:rPr>
            </w:pPr>
          </w:p>
        </w:tc>
      </w:tr>
      <w:tr>
        <w:trPr>
          <w:trHeight w:val="13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and financing expense, net</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(4,033)</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(7,353)</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0" w:type="dxa"/>
            <w:vAlign w:val="bottom"/>
          </w:tcPr>
          <w:p>
            <w:pPr>
              <w:spacing w:after="0"/>
              <w:rPr>
                <w:sz w:val="1"/>
                <w:szCs w:val="1"/>
                <w:color w:val="auto"/>
              </w:rPr>
            </w:pPr>
          </w:p>
        </w:tc>
      </w:tr>
      <w:tr>
        <w:trPr>
          <w:trHeight w:val="15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fair value of derivative instruments, net</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(3,914)</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income</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(122,677)</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(121,944)</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 before provision for income taxes</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114,050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(112,142)</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(104,119)</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4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114,050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(112,142)</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106,704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(104,119)</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21"/>
        </w:trPr>
        <w:tc>
          <w:tcPr>
            <w:tcW w:w="31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2"/>
                <w:szCs w:val="12"/>
                <w:color w:val="auto"/>
              </w:rPr>
              <w:t>Net (loss) income attributable to redeemable non-controlling</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(753)</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93,460</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(94,213)</w:t>
            </w:r>
          </w:p>
        </w:tc>
        <w:tc>
          <w:tcPr>
            <w:tcW w:w="100" w:type="dxa"/>
            <w:vAlign w:val="bottom"/>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(2,380)</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85,227</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(87,607)</w:t>
            </w:r>
          </w:p>
        </w:tc>
        <w:tc>
          <w:tcPr>
            <w:tcW w:w="100" w:type="dxa"/>
            <w:vAlign w:val="bottom"/>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62"/>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 attributable to non-redeemable non-</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141 %</w:t>
            </w:r>
          </w:p>
        </w:tc>
        <w:tc>
          <w:tcPr>
            <w:tcW w:w="0" w:type="dxa"/>
            <w:vAlign w:val="bottom"/>
          </w:tcPr>
          <w:p>
            <w:pPr>
              <w:spacing w:after="0"/>
              <w:rPr>
                <w:sz w:val="1"/>
                <w:szCs w:val="1"/>
                <w:color w:val="auto"/>
              </w:rPr>
            </w:pPr>
          </w:p>
        </w:tc>
      </w:tr>
      <w:tr>
        <w:trPr>
          <w:trHeight w:val="169"/>
        </w:trPr>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controlling interests</w:t>
            </w: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Paid-in-kind preferred dividends</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14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Net (loss) income attributable to Class A common</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17,924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(18,077)</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(16,814)</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73"/>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0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7"/>
        </w:trPr>
        <w:tc>
          <w:tcPr>
            <w:tcW w:w="4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3"/>
          </w:tcPr>
          <w:p>
            <w:pPr>
              <w:spacing w:after="0"/>
              <w:rPr>
                <w:sz w:val="15"/>
                <w:szCs w:val="15"/>
                <w:color w:val="auto"/>
              </w:rPr>
            </w:pPr>
          </w:p>
        </w:tc>
        <w:tc>
          <w:tcPr>
            <w:tcW w:w="3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700" w:type="dxa"/>
            <w:vAlign w:val="bottom"/>
            <w:shd w:val="clear" w:color="auto" w:fill="CCEEFF"/>
          </w:tcPr>
          <w:p>
            <w:pPr>
              <w:spacing w:after="0"/>
              <w:rPr>
                <w:sz w:val="15"/>
                <w:szCs w:val="15"/>
                <w:color w:val="auto"/>
              </w:rPr>
            </w:pPr>
          </w:p>
        </w:tc>
        <w:tc>
          <w:tcPr>
            <w:tcW w:w="19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380" w:type="dxa"/>
            <w:vAlign w:val="bottom"/>
            <w:gridSpan w:val="6"/>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900" w:type="dxa"/>
            <w:vAlign w:val="bottom"/>
            <w:shd w:val="clear" w:color="auto" w:fill="CCEEFF"/>
          </w:tcPr>
          <w:p>
            <w:pPr>
              <w:spacing w:after="0"/>
              <w:rPr>
                <w:sz w:val="15"/>
                <w:szCs w:val="15"/>
                <w:color w:val="auto"/>
              </w:rPr>
            </w:pPr>
          </w:p>
        </w:tc>
      </w:tr>
      <w:tr>
        <w:trPr>
          <w:trHeight w:val="160"/>
        </w:trPr>
        <w:tc>
          <w:tcPr>
            <w:tcW w:w="4020" w:type="dxa"/>
            <w:vAlign w:val="bottom"/>
            <w:tcBorders>
              <w:top w:val="single" w:sz="8" w:color="auto"/>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RNG Fuel</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0"/>
        </w:trPr>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Brown gas sales</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tcPr>
          <w:p>
            <w:pPr>
              <w:spacing w:after="0"/>
              <w:rPr>
                <w:sz w:val="14"/>
                <w:szCs w:val="14"/>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w:t>
            </w:r>
          </w:p>
        </w:tc>
        <w:tc>
          <w:tcPr>
            <w:tcW w:w="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8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99"/>
              </w:rPr>
              <w:t>(397)</w:t>
            </w:r>
          </w:p>
        </w:tc>
      </w:tr>
      <w:tr>
        <w:trPr>
          <w:trHeight w:val="170"/>
        </w:trPr>
        <w:tc>
          <w:tcPr>
            <w:tcW w:w="4100" w:type="dxa"/>
            <w:vAlign w:val="bottom"/>
            <w:gridSpan w:val="2"/>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Environmental Attributes </w:t>
            </w:r>
            <w:r>
              <w:rPr>
                <w:rFonts w:ascii="Times New Roman" w:cs="Times New Roman" w:eastAsia="Times New Roman" w:hAnsi="Times New Roman"/>
                <w:sz w:val="17"/>
                <w:szCs w:val="17"/>
                <w:color w:val="auto"/>
                <w:vertAlign w:val="superscript"/>
              </w:rPr>
              <w:t>(1)</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19,611</w:t>
            </w:r>
          </w:p>
        </w:tc>
      </w:tr>
      <w:tr>
        <w:trPr>
          <w:trHeight w:val="170"/>
        </w:trPr>
        <w:tc>
          <w:tcPr>
            <w:tcW w:w="4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16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RNG Fuel</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17,380</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19,792</w:t>
            </w:r>
          </w:p>
        </w:tc>
      </w:tr>
      <w:tr>
        <w:trPr>
          <w:trHeight w:val="1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Fuel Station Services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OPAL owned stations</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3,708</w:t>
            </w:r>
          </w:p>
        </w:tc>
      </w:tr>
      <w:tr>
        <w:trPr>
          <w:trHeight w:val="170"/>
        </w:trPr>
        <w:tc>
          <w:tcPr>
            <w:tcW w:w="4100" w:type="dxa"/>
            <w:vAlign w:val="bottom"/>
            <w:gridSpan w:val="2"/>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RNG marketing </w:t>
            </w:r>
            <w:r>
              <w:rPr>
                <w:rFonts w:ascii="Times New Roman" w:cs="Times New Roman" w:eastAsia="Times New Roman" w:hAnsi="Times New Roman"/>
                <w:sz w:val="17"/>
                <w:szCs w:val="17"/>
                <w:color w:val="auto"/>
                <w:vertAlign w:val="superscript"/>
              </w:rPr>
              <w:t>(1)</w:t>
            </w:r>
          </w:p>
        </w:tc>
        <w:tc>
          <w:tcPr>
            <w:tcW w:w="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23,709</w:t>
            </w:r>
          </w:p>
        </w:tc>
      </w:tr>
      <w:tr>
        <w:trPr>
          <w:trHeight w:val="170"/>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party station service and maintenance</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r>
      <w:tr>
        <w:trPr>
          <w:trHeight w:val="170"/>
        </w:trPr>
        <w:tc>
          <w:tcPr>
            <w:tcW w:w="4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Construction</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15,153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19,495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(2,775)</w:t>
            </w:r>
          </w:p>
        </w:tc>
      </w:tr>
      <w:tr>
        <w:trPr>
          <w:trHeight w:val="16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Fuel Station Services</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29,956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76,399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50,784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25,615</w:t>
            </w:r>
          </w:p>
        </w:tc>
      </w:tr>
      <w:tr>
        <w:trPr>
          <w:trHeight w:val="1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Renewable Power</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Electricity sales</w:t>
            </w: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(5,204)</w:t>
            </w:r>
          </w:p>
        </w:tc>
      </w:tr>
      <w:tr>
        <w:trPr>
          <w:trHeight w:val="170"/>
        </w:trPr>
        <w:tc>
          <w:tcPr>
            <w:tcW w:w="4100" w:type="dxa"/>
            <w:vAlign w:val="bottom"/>
            <w:tcBorders>
              <w:bottom w:val="single" w:sz="8" w:color="CCEEFF"/>
            </w:tcBorders>
            <w:gridSpan w:val="2"/>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Environmental Attributes </w:t>
            </w:r>
            <w:r>
              <w:rPr>
                <w:rFonts w:ascii="Times New Roman" w:cs="Times New Roman" w:eastAsia="Times New Roman" w:hAnsi="Times New Roman"/>
                <w:sz w:val="17"/>
                <w:szCs w:val="17"/>
                <w:color w:val="auto"/>
                <w:vertAlign w:val="superscript"/>
              </w:rPr>
              <w:t>(2)</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8,945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(2,300)</w:t>
            </w:r>
          </w:p>
        </w:tc>
      </w:tr>
      <w:tr>
        <w:trPr>
          <w:trHeight w:val="16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Renewable Power</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(7,504)</w:t>
            </w:r>
          </w:p>
        </w:tc>
      </w:tr>
      <w:tr>
        <w:trPr>
          <w:trHeight w:val="180"/>
        </w:trPr>
        <w:tc>
          <w:tcPr>
            <w:tcW w:w="4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8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70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55,042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135,902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97,999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37,903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60"/>
        <w:spacing w:after="0" w:line="279" w:lineRule="auto"/>
        <w:tabs>
          <w:tab w:leader="none" w:pos="123"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Revenues from Environmental Attributes in the RNG Fuel segment relate to revenues earned from sales of RINs and LCFSs. Revenues from RNG marketing in the Fuel Station Services segment relate to fees associated with generation and sales of RINs and LCFSs.</w:t>
      </w:r>
    </w:p>
    <w:p>
      <w:pPr>
        <w:spacing w:after="0" w:line="119" w:lineRule="exact"/>
        <w:rPr>
          <w:rFonts w:ascii="Times New Roman" w:cs="Times New Roman" w:eastAsia="Times New Roman" w:hAnsi="Times New Roman"/>
          <w:sz w:val="15"/>
          <w:szCs w:val="15"/>
          <w:color w:val="auto"/>
          <w:vertAlign w:val="superscript"/>
        </w:rPr>
      </w:pPr>
    </w:p>
    <w:p>
      <w:pPr>
        <w:ind w:left="120" w:hanging="120"/>
        <w:spacing w:after="0"/>
        <w:tabs>
          <w:tab w:leader="none" w:pos="120"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Revenues from Environmental Attributes in the Renewable Power segment include revenues earned from sales of ISCC Carbon Credits and RECs.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RNG Fuel</w:t>
      </w:r>
    </w:p>
    <w:p>
      <w:pPr>
        <w:spacing w:after="0" w:line="163"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Revenue from RNG Fuel increased by $8.8 million or 83% for the three months ended June 30, 2024 compared to the three months ended June 30, 2023. This is primarily from a $4.0 million increase from higher volume of sales of RINs, $2.0 million from higher volume of LCFSs sales and a $2.5 million increase from higher RIN pricing compared to the same period prior year.</w:t>
      </w:r>
    </w:p>
    <w:p>
      <w:pPr>
        <w:spacing w:after="0" w:line="114"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3"/>
          <w:szCs w:val="13"/>
          <w:color w:val="auto"/>
        </w:rPr>
        <w:t>Revenue from RNG Fuel increased by $19.8 million, or 114%, for the six months ended June 30, 2024 compared to the six months ended June 30, 2023. This is primarily due to an increase of $9.3 million from higher volumes of RINs sold as the Company made a decision to hold the RINs as inventory at hand in 2023, $8.0 million due to higher RIN pricing year over year after the EPA Set Rule was finalized in the second half of 2023, $2.3 million from the sale of LCFSs and an $0.6 million increase in management fees earned from providing services to equity method entities offset by lower brown gas sales due to a decrease in volumes year over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Fuel Station Services</w:t>
      </w:r>
    </w:p>
    <w:p>
      <w:pPr>
        <w:spacing w:after="0" w:line="12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Revenue from Fuel Station Services increased by $9.3 million, or 31%, for the three months ended June 30, 2024 compared to the three months ended June 30, 2023. This is primarily due to an increase in revenues from RIN and LCFS minting services of $5.0 million from higher volumes (Emerald, Biotown), a $7.1 million increase in third party RIN sales due to increases in volumes and RIN pricing, a $0.6 million increase in third party sales of LCFSs, an increase of $2.5 million in brown gas sales due to increases in price and volumes, a $0.8 million increase from service revenues offset by a decrease in construction revenues of $6.7 million.</w:t>
      </w:r>
    </w:p>
    <w:p>
      <w:pPr>
        <w:spacing w:after="0" w:line="8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Revenue from Fuel Station Services increased by $25.6 million, or 50%, for the six months ended June 30, 2024 compared to the six months ended June 30, 2023. This is primarily due to an increase in revenues from RIN and LCFS minting services of $9.9 million from higher volumes from new supply from facilities coming online (Emerald, Biotown),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0" w:name="page61"/>
    <w:bookmarkEnd w:id="60"/>
    <w:p>
      <w:pPr>
        <w:jc w:val="both"/>
        <w:spacing w:after="0" w:line="294" w:lineRule="auto"/>
        <w:rPr>
          <w:sz w:val="20"/>
          <w:szCs w:val="20"/>
          <w:color w:val="auto"/>
        </w:rPr>
      </w:pPr>
      <w:r>
        <w:rPr>
          <w:rFonts w:ascii="Times New Roman" w:cs="Times New Roman" w:eastAsia="Times New Roman" w:hAnsi="Times New Roman"/>
          <w:sz w:val="13"/>
          <w:szCs w:val="13"/>
          <w:color w:val="auto"/>
        </w:rPr>
        <w:t>a $13.3 million increase in third party RIN sales due to increases in volumes and RIN pricing, an $0.7 million increase in third party sales of LCFSs, an increase of $3.7 million in brown gas sales due to increases in price volumes, $1.0 million increase from service revenues offset by decrease in construction revenues of $2.8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Renewable Power</w:t>
      </w:r>
    </w:p>
    <w:p>
      <w:pPr>
        <w:spacing w:after="0" w:line="11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Revenue from Renewable Power decreased by $2.2 million, or 15%, for the three months ended June 30, 2024 compared to the three months ended June 30, 2023. This is primarily due to loss of revenues of $1.3 million from the conversion of two of our Renewable Power facilities into RNG facilities, $1.3 million from decrease in electricity pricing year over year, an $0.6 million decrease in revenues from sale of ISCC carbon credits offset by increase of $1.0 million revenues from higher volumes at one of our Renewable Power facilities.</w:t>
      </w:r>
    </w:p>
    <w:p>
      <w:pPr>
        <w:spacing w:after="0" w:line="77"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Revenue from Renewable Power decreased by $7.5 million, or 25%, for the six months ended June 30, 2024 compared to the six months ended June 30, 2023. This change was attributable primarily to loss of revenues of $2.9 million from the conversion of two of our Renewable facilities into RNG facilities and planned shut down of one of our facilities, $2.3 million of lower revenues from sale of ISCC Carbon Credits and RECs, $2.5 million from decrease in electricity pricing offset by higher volumes.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RNG Fuel</w:t>
      </w:r>
    </w:p>
    <w:p>
      <w:pPr>
        <w:spacing w:after="0" w:line="12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Cost of sales from RNG Fuel increased by $0.7 million, or 9%, for the three months ended June 30, 2024 compared to the three months ended June 30, 2023. This is primarily due to Prince William coming online in second quarter of 2024.</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Cost of sales from RNG Fuel increased by $2.5 million, or 18%, for the six months ended June 30, 2024 compared to the six months ended June 30, 2023. This is primarily due to a $1.0 million increase from royalties on higher environmental credit sales, $0.7 million from Prince William coming online in second quarter of 2024, and an $0.8 million increase in operating expenses such as consumables, gas flare expenses and routine maintenance in the current year compared to prior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Fuel Station Services</w:t>
      </w:r>
    </w:p>
    <w:p>
      <w:pPr>
        <w:spacing w:after="0" w:line="123" w:lineRule="exact"/>
        <w:rPr>
          <w:sz w:val="20"/>
          <w:szCs w:val="20"/>
          <w:color w:val="auto"/>
        </w:rPr>
      </w:pPr>
    </w:p>
    <w:p>
      <w:pPr>
        <w:jc w:val="both"/>
        <w:ind w:firstLine="240"/>
        <w:spacing w:after="0" w:line="287" w:lineRule="auto"/>
        <w:rPr>
          <w:sz w:val="20"/>
          <w:szCs w:val="20"/>
          <w:color w:val="auto"/>
        </w:rPr>
      </w:pPr>
      <w:r>
        <w:rPr>
          <w:rFonts w:ascii="Times New Roman" w:cs="Times New Roman" w:eastAsia="Times New Roman" w:hAnsi="Times New Roman"/>
          <w:sz w:val="13"/>
          <w:szCs w:val="13"/>
          <w:color w:val="auto"/>
        </w:rPr>
        <w:t>Cost of sales from Fuel Station Services increased by $3.5 million, or 13%, for the three months ended June 30, 2024 compared to the three months ended June 30, 2023. This is primarily due to an increase of $8.8 million in higher dispensing fees due to higher environmental credit sales offset by savings of $5.5 million in equipment, parts and construction costs, which are in line with the decrease in construction revenues.</w:t>
      </w:r>
    </w:p>
    <w:p>
      <w:pPr>
        <w:spacing w:after="0" w:line="223"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Cost of sales from Fuel Station Services increased by $13.5 million, or 28%, for the six months ended June 30, 2024 compared to the six months ended June 30, 2023. This is primarily due to an increase of $15.4 million in higher dispensing fees due to higher environmental credit sales offset by savings of $2.3 million in equipment, parts and construction costs, in line with the decrease in construction revenues.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Renewable Power</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Cost of sales from Renewable Power increased by $0.1 million, or 2%, for the three months ended June 30, 2024 compared to the three months ended June 30, 2023.</w:t>
      </w:r>
    </w:p>
    <w:p>
      <w:pPr>
        <w:spacing w:after="0" w:line="121"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Cost of sales from Renewable Power increased by $1.0 million, or 6%, for the six months ended June 30, 2024 compared to the six months ended June 30, 2023. This is primarily due to an increase in major maintenance costs and unplanned maintenance at one of our Renewable Power facilities offset by savings from conversion of two of our Renewable Power facilities into RNG facilities and lower royalties and non labor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Project development and startup costs</w:t>
      </w:r>
    </w:p>
    <w:p>
      <w:pPr>
        <w:spacing w:after="0" w:line="12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Project development and startup costs increased by $1.8 million, or 163%, for the three months ended June 30, 2024 compared to the three months ended June 30, 2023. This is primarily due to virtual pipeline costs for Prince William offset by deconsolidation of Emerald and Sapphire in the second quarter of 2023.</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Project development and startup costs increased by $0.7 million, or 24%, for the six months ended June 30, 2024 compared to the six months ended June 30, 2023. This is primarily due to virtual pipeline costs for Prince William offset by deconsolidation of Emerald and Sapphire in the second quarter of 2023.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3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w:t>
      </w:r>
    </w:p>
    <w:p>
      <w:pPr>
        <w:spacing w:after="0" w:line="165"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Selling, general, and administrative expenses increased by a total of $0.9 million, or 7%, for the three months ended June 30, 2024 compared to the three months ended June 30, 2023. This is primarily due to an increase of $0.5 million in compensation expense and $0.4 million in corporate expenses such as marketing and professional fees.</w:t>
      </w:r>
    </w:p>
    <w:p>
      <w:pPr>
        <w:spacing w:after="0" w:line="114"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Selling, general, and administrative expenses increased by a total of $0.5 million, or 2%, for the six months ended June 30, 2024 compared to the six months ended June 30, 2023. This is primarily due to an increase in compensation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Depreciation, amortization, and accretion</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Depreciation, amortization, and accretion marginally increased by a total of $0.6 million, or 18%, for the three months ended June 30, 2024 compared to the three months ended June 30, 2023. This is primarily due to depreciation expense on Prince William which became operational in the second quarter of 2024.</w:t>
      </w:r>
    </w:p>
    <w:p>
      <w:pPr>
        <w:spacing w:after="0" w:line="6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Depreciation, amortization, and accretion marginally increased by a total of $0.8 million, or 11%, for the six months ended June 30, 2024 compared to the six months ended June 30, 2023. This is primarily due to depreciation expense on Prince William which became operational in the second quarter of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(loss) from equity method investments</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Net income attributable to equity method investments increased by $4.8 million, or 481%, for the three months ended June 30, 2024 compared to the three months ended June 30, 2023. This is primarily attributable to Emerald coming online in the second half of 2023 and higher net income from Pine and Noble Road.</w:t>
      </w:r>
    </w:p>
    <w:p>
      <w:pPr>
        <w:spacing w:after="0" w:line="5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Net income attributable to equity method investments increased by $8.3 million or 2832% for the six months ended June 30, 2024 compared to the six months ended June 30, 2023. This is primarily attributable to Emerald coming online in the second half of 2023 and higher net income from Pine and Noble Road.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and financing expense, net</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Interest and financing expenses, net increased by $4.0 million, or 422%, for the three months ended June 30, 2024 compared to the three months ended June 30, 2023. This is primarily due to an increase of $3.5 million in interest expense on the OPAL Term Loan due after the refinancing in third quarter of 2023 resulting in higher borrowing and lower capitalized interest, an $0.3 million increase in amortization of deferred financing costs, and higher interest on finance leases.</w:t>
      </w:r>
    </w:p>
    <w:p>
      <w:pPr>
        <w:spacing w:after="0" w:line="77"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3"/>
          <w:szCs w:val="13"/>
          <w:color w:val="auto"/>
        </w:rPr>
        <w:t>Interest and financing expenses, net increased by $7.4 million, or 460%, for the six months ended June 30, 2024 compared to the six months ended June 30, 2023. This is primarily due to an increase of $6.3 million in interest expense on the OPAL Term Loan due after the refinancing in third quarter of 2023 resulting in higher outstanding debt balance and lower capitalized interest, a $1.1 million increase in commitment fees and other fees, an $0.6 million increase in interest on finance leases and amortization of deferred financing costs, $0.8 million of lower interest income offset by savings of $1.1 million of interest on a convertible note payable which was repaid in full in the third quarter of 2023 and savings of $0.3 million of interest on the Senior Secured Credit Facility as the loan was repaid in full in first quarter of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Loss on debt extinguishment</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On May 30, 2023, OPAL Intermediate Holdco 2 assigned to Paragon its rights and obligations under the OPAL Term Loan II. The joint venture partner of Paragon reimbursed the Company $826 as its portion of the transaction costs incurred.</w:t>
      </w:r>
    </w:p>
    <w:p>
      <w:pPr>
        <w:spacing w:after="0" w:line="6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The Company expensed the remaining deferred financing costs of $1,895 as loss on debt extinguishment in its condensed consolidated statement of operations for the three and six months ended June 30, 2023. There was no loss on debt extinguishment for the three and six months ended June 30,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 in fair value of derivatives, net</w:t>
      </w:r>
    </w:p>
    <w:p>
      <w:pPr>
        <w:spacing w:after="0" w:line="11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Change in fair value of derivatives, net decreased by $0.4 million, or 33%, for the three months ended June 30, 2024 compared to the three months ended June 30, 2023. This is primarily attributable to $0.8 million of gain recorded on termination of interest rate swaps in June 2023 offset by $0.4 million of lower gain on earnout liabilities in June 2024.</w:t>
      </w:r>
    </w:p>
    <w:p>
      <w:pPr>
        <w:spacing w:after="0" w:line="6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Change in fair value of derivatives, net decreased by $3.9 million, or 77%, for the six months ended June 30, 2024 compared to the six months ended June 30, 2023. This is primarily attributable to $3.4 million lower gain on earnout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color w:val="auto"/>
        </w:rPr>
        <w:t>liabilities year over year, an $0.8 million gain recorded on termination of interest rate swaps in 2023 offset by $0.3 million of lower loss on a put option.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income</w:t>
      </w:r>
    </w:p>
    <w:p>
      <w:pPr>
        <w:spacing w:after="0" w:line="12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Other income decreased by $122.7 million, or 100%, for the three months ended June 30, 2024 compared to the three months ended June 30, 2023. This is primarily attributable to $122.9 million gain recorded on deconsolidation of Emerald and Sapphire in 2023 offset by $0.3 million higher gain on transfer of non-financial assets to a vendor.</w:t>
      </w:r>
    </w:p>
    <w:p>
      <w:pPr>
        <w:spacing w:after="0" w:line="6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Other income decreased by $121.9 million, or 99%, for the six months ended June 30, 2024 compared to the six months ended June 30, 2023. This is primarily attributable to $122.9 million gain recorded on deconsolidation of VIEs in 2023, offset by $0.7 million higher gain on transfer of non-financial assets to a vendor, and $0.3 million lower loss on warrant exchange compared to prior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(loss) income attributable to redeemable non-controlling interests</w:t>
      </w:r>
    </w:p>
    <w:p>
      <w:pPr>
        <w:spacing w:after="0" w:line="125"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Net income attributable to redeemable non-controlling interests decreased by $94.2 million, or 101%, for the three months ended June 30, 2024 compared to the three months ended June 30, 2023. The net income for the three months ended June 30, 2024 and 2023 reflects the portion of earnings belonging to OPAL Fuels equity holders. The decrease is primarily attributable to lower net income in the current period compared to the same prior-year period.</w:t>
      </w:r>
    </w:p>
    <w:p>
      <w:pPr>
        <w:spacing w:after="0" w:line="77"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Net (loss) income attributable to redeemable non-controlling interests decreased by $87.6 million, or 103%, for the six months ended June 30, 2024 compared to the six months ended June 30, 2023, and reflects the portion of earnings belonging to OPAL Fuels equity holders. The decrease is primarily attributable to lower net income in the current period compared to the same prior-year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income (loss) attributable to non-redeemable non-controlling interests</w:t>
      </w:r>
    </w:p>
    <w:p>
      <w:pPr>
        <w:spacing w:after="0" w:line="125"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Net income (loss) attributable to non-redeemable non-controlling interests increased by $0.4 million, or 207%, for the three months ended June 30, 2024 compared to three months ended June 30, 2023. This reflects the joint venture partners' income (loss) in certain RNG facilities in which we sold a portion of our ownership interests but are consolidated in our financial statements. These entities for the three months ended June 30, 2024 were Sunoma and Central Valley. The entities for the three months ended June 30, 2023 were Sunoma, Central Valley and two months of Emerald and Sapphire. The increase was primarily attributable to higher net income earned by Sunoma and lower net loss upon deconsolidation of Emerald and Sapphire in May 2023.</w:t>
      </w:r>
    </w:p>
    <w:p>
      <w:pPr>
        <w:spacing w:after="0" w:line="80"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Net income (loss) attributable to non-redeemable non-controlling interests for the six months ended June 30, 2024 increased by $0.7 million or 141%, compared to six months ended June 30, 2023. This reflects the joint venture partners' income (loss) in certain RNG facilities in which we sold a portion of our ownership interests but are consolidated in our financial statements. These entities for the six months ended June 30, 2024 were Sunoma and Central Valley. The entities for the six months ended June 30, 2023 included Sunoma and Central Valley for the full six months and Emerald and Sapphire up to May 30, 2023. The increase was primarily attributable to higher net income earned by Sunoma and lower net loss upon deconsolidation of Emerald and Sapphire in May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Dividends on redeemable preferred non-controlling interests</w:t>
      </w:r>
    </w:p>
    <w:p>
      <w:pPr>
        <w:spacing w:after="0" w:line="125" w:lineRule="exact"/>
        <w:rPr>
          <w:sz w:val="20"/>
          <w:szCs w:val="20"/>
          <w:color w:val="auto"/>
        </w:rPr>
      </w:pPr>
    </w:p>
    <w:p>
      <w:pPr>
        <w:jc w:val="both"/>
        <w:ind w:firstLine="240"/>
        <w:spacing w:after="0" w:line="287" w:lineRule="auto"/>
        <w:rPr>
          <w:sz w:val="20"/>
          <w:szCs w:val="20"/>
          <w:color w:val="auto"/>
        </w:rPr>
      </w:pPr>
      <w:r>
        <w:rPr>
          <w:rFonts w:ascii="Times New Roman" w:cs="Times New Roman" w:eastAsia="Times New Roman" w:hAnsi="Times New Roman"/>
          <w:sz w:val="13"/>
          <w:szCs w:val="13"/>
          <w:color w:val="auto"/>
        </w:rPr>
        <w:t>Redeemable preferred non-controlling interests decreased by $0.2 million for the three months ended June 30, 2024 compared to three months ended June 30, 2023. They carry an 8% dividend payable quarterly. This decrease is primarily due to lower interest accrued on paid-in-kind interest in the current period compared to the same prior-year period as the dividends are being paid quarterly instead of being paid-in-kind.</w:t>
      </w:r>
    </w:p>
    <w:p>
      <w:pPr>
        <w:spacing w:after="0" w:line="223" w:lineRule="exact"/>
        <w:rPr>
          <w:sz w:val="20"/>
          <w:szCs w:val="20"/>
          <w:color w:val="auto"/>
        </w:rPr>
      </w:pPr>
    </w:p>
    <w:p>
      <w:pPr>
        <w:jc w:val="both"/>
        <w:ind w:firstLine="240"/>
        <w:spacing w:after="0" w:line="287" w:lineRule="auto"/>
        <w:rPr>
          <w:sz w:val="20"/>
          <w:szCs w:val="20"/>
          <w:color w:val="auto"/>
        </w:rPr>
      </w:pPr>
      <w:r>
        <w:rPr>
          <w:rFonts w:ascii="Times New Roman" w:cs="Times New Roman" w:eastAsia="Times New Roman" w:hAnsi="Times New Roman"/>
          <w:sz w:val="13"/>
          <w:szCs w:val="13"/>
          <w:color w:val="auto"/>
        </w:rPr>
        <w:t>Redeemable preferred non-controlling interests decreased by $0.4 million for the six months ended June 30, 2024 compared to six months ended June 30, 2023. They carry an 8% dividend payable quarterly. This decrease is primarily due to lower interest accrued on paid-in-kind interest in the current period compared to the same prior-year period as the dividends are being paid quarterly instead of being paid-in-kind.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37"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Liquidity</w:t>
      </w:r>
    </w:p>
    <w:p>
      <w:pPr>
        <w:spacing w:after="0" w:line="125"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of June 30, 2024, our liquidity consisted of cash and cash equivalents including restricted cash of $22.4 million and $8.6 million of short term investments. Additionally, we have availability of $238.4 million under the delayed draw term loan and $36.3 million under the revolver facility under the OPAL Term Loan.</w:t>
      </w:r>
    </w:p>
    <w:p>
      <w:pPr>
        <w:spacing w:after="0" w:line="54"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77"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80"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of June 30, 2024, we had total indebtedness excluding deferred financing costs of $233.3 million in principal amount which consists of $211.6 million under the OPAL Term Loan and $21.7 million under Sunoma Loan.</w:t>
      </w:r>
    </w:p>
    <w:p>
      <w:pPr>
        <w:spacing w:after="0" w:line="54"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intend to make payments under our various debt instruments when due and pursue opportunities for earlier repayment and/or refinancing if and when these opportunities arise.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xml:space="preserve">See Note 7. </w:t>
            </w:r>
            <w:r>
              <w:rPr>
                <w:rFonts w:ascii="Times New Roman" w:cs="Times New Roman" w:eastAsia="Times New Roman" w:hAnsi="Times New Roman"/>
                <w:sz w:val="13"/>
                <w:szCs w:val="13"/>
                <w:i w:val="1"/>
                <w:iCs w:val="1"/>
                <w:color w:val="auto"/>
              </w:rPr>
              <w:t>Borrowings,</w:t>
            </w:r>
            <w:r>
              <w:rPr>
                <w:rFonts w:ascii="Times New Roman" w:cs="Times New Roman" w:eastAsia="Times New Roman" w:hAnsi="Times New Roman"/>
                <w:sz w:val="13"/>
                <w:szCs w:val="13"/>
                <w:color w:val="auto"/>
              </w:rPr>
              <w:t xml:space="preserve"> to our condensed consolidated financial statements.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The following table presents the Company's cash flows for the six months ended June 30, 2024 and 2023:</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4"/>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5"/>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from operating activities</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rPr>
              <w:t>14,251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7,786</w:t>
            </w:r>
          </w:p>
        </w:tc>
        <w:tc>
          <w:tcPr>
            <w:tcW w:w="0" w:type="dxa"/>
            <w:vAlign w:val="bottom"/>
          </w:tcPr>
          <w:p>
            <w:pPr>
              <w:spacing w:after="0"/>
              <w:rPr>
                <w:sz w:val="1"/>
                <w:szCs w:val="1"/>
                <w:color w:val="auto"/>
              </w:rPr>
            </w:pPr>
          </w:p>
        </w:tc>
      </w:tr>
      <w:tr>
        <w:trPr>
          <w:trHeight w:val="18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cash used in from investing activities</w:t>
            </w:r>
          </w:p>
        </w:tc>
        <w:tc>
          <w:tcPr>
            <w:tcW w:w="360" w:type="dxa"/>
            <w:vAlign w:val="bottom"/>
          </w:tcPr>
          <w:p>
            <w:pPr>
              <w:spacing w:after="0"/>
              <w:rPr>
                <w:sz w:val="16"/>
                <w:szCs w:val="16"/>
                <w:color w:val="auto"/>
              </w:rPr>
            </w:pPr>
          </w:p>
        </w:tc>
        <w:tc>
          <w:tcPr>
            <w:tcW w:w="1140" w:type="dxa"/>
            <w:vAlign w:val="bottom"/>
          </w:tcPr>
          <w:p>
            <w:pPr>
              <w:jc w:val="center"/>
              <w:ind w:left="573"/>
              <w:spacing w:after="0"/>
              <w:rPr>
                <w:sz w:val="20"/>
                <w:szCs w:val="20"/>
                <w:color w:val="auto"/>
              </w:rPr>
            </w:pPr>
            <w:r>
              <w:rPr>
                <w:rFonts w:ascii="Times New Roman" w:cs="Times New Roman" w:eastAsia="Times New Roman" w:hAnsi="Times New Roman"/>
                <w:sz w:val="13"/>
                <w:szCs w:val="13"/>
                <w:color w:val="auto"/>
              </w:rPr>
              <w:t>(54,080)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(28,180)</w:t>
            </w:r>
          </w:p>
        </w:tc>
        <w:tc>
          <w:tcPr>
            <w:tcW w:w="0" w:type="dxa"/>
            <w:vAlign w:val="bottom"/>
          </w:tcPr>
          <w:p>
            <w:pPr>
              <w:spacing w:after="0"/>
              <w:rPr>
                <w:sz w:val="1"/>
                <w:szCs w:val="1"/>
                <w:color w:val="auto"/>
              </w:rPr>
            </w:pPr>
          </w:p>
        </w:tc>
      </w:tr>
      <w:tr>
        <w:trPr>
          <w:trHeight w:val="19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from financing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3"/>
                <w:szCs w:val="13"/>
                <w:color w:val="auto"/>
              </w:rPr>
              <w:t>15,036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(29,701)</w:t>
            </w:r>
          </w:p>
        </w:tc>
        <w:tc>
          <w:tcPr>
            <w:tcW w:w="0" w:type="dxa"/>
            <w:vAlign w:val="bottom"/>
          </w:tcPr>
          <w:p>
            <w:pPr>
              <w:spacing w:after="0"/>
              <w:rPr>
                <w:sz w:val="1"/>
                <w:szCs w:val="1"/>
                <w:color w:val="auto"/>
              </w:rPr>
            </w:pPr>
          </w:p>
        </w:tc>
      </w:tr>
      <w:tr>
        <w:trPr>
          <w:trHeight w:val="17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decrease in cash, restricted cash, and cash equivalents</w:t>
            </w: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center"/>
              <w:ind w:left="573"/>
              <w:spacing w:after="0"/>
              <w:rPr>
                <w:sz w:val="20"/>
                <w:szCs w:val="20"/>
                <w:color w:val="auto"/>
              </w:rPr>
            </w:pPr>
            <w:r>
              <w:rPr>
                <w:rFonts w:ascii="Times New Roman" w:cs="Times New Roman" w:eastAsia="Times New Roman" w:hAnsi="Times New Roman"/>
                <w:sz w:val="13"/>
                <w:szCs w:val="13"/>
                <w:color w:val="auto"/>
              </w:rPr>
              <w:t>(24,793)</w:t>
            </w:r>
          </w:p>
        </w:tc>
        <w:tc>
          <w:tcPr>
            <w:tcW w:w="10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(50,095)</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Provided by Operating Activities</w:t>
      </w:r>
    </w:p>
    <w:p>
      <w:pPr>
        <w:spacing w:after="0" w:line="123"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Net cash provided by operating activities for the six months ended June 30, 2024 was $14.3 million, an increase of $6.5 million compared to $7.8 million for the six months ended June 30, 2023. The increase in cash provided by operating activities was attributable to higher operating income year over year driven by increase in revenues, increase of $8.7 million from distributions from equity method investments offset by negative working capital changes.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Used in Investing Activities</w:t>
      </w:r>
    </w:p>
    <w:p>
      <w:pPr>
        <w:spacing w:after="0" w:line="123"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3"/>
          <w:szCs w:val="13"/>
          <w:color w:val="auto"/>
        </w:rPr>
        <w:t>Net cash used in investing activities for the six months ended June 30, 2024 was $54.1 million, an increase of $25.9 million compared to the $28.2 million used in investing activities for the six months ended June 30, 2023. This was primarily driven by decrease in cash invested in short term investments of $46.7 million, a $4.8 million decrease in distributions from equity method investments ($8.7 million recorded as part of cash flows from operating activities), $8.6 million in contributions to equity method investments offset by a decrease in cash from deconsolidation of VIEs of $11.9 million in 2023, and lower payments made for the construction of various RNG generation and dispensing facilities of $22.3 million in 2024 compared to 2023.</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i w:val="1"/>
          <w:iCs w:val="1"/>
          <w:color w:val="auto"/>
        </w:rPr>
        <w:t>Net Cash Provided by Financing Activities</w:t>
      </w:r>
    </w:p>
    <w:p>
      <w:pPr>
        <w:spacing w:after="0" w:line="113"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Net cash provided by financing activities for the six months ended June 30, 2024 was 15.0 million, an increase of $44.7 million compared to the net cash used in financing activities of $29.7 million for the six months ended June 30, 2023. This increase was primarily driven by a $15.0 million increase in proceeds from the OPAL Term Loan, a decrease of $36.6 million in repayments on the Senior Secured Facility and the OPAL Term Loan facilities, a decrease of $16.4 million paid on termination of put options in 2023, offset by an increase of $7.9 million in payments of preferred dividends, a decrease in proceeds from non-controlling interests of $12.8 million, an increase of $0.8 million in repayment on the Sunoma Loan, an increase of $0.6 million in taxes paid on vesting of equity awards, and a decrease of $0.8 million in reimbursement of financing costs by a joint venture partner.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expenditures and other cash commitments</w:t>
      </w:r>
    </w:p>
    <w:p>
      <w:pPr>
        <w:spacing w:after="0" w:line="12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3"/>
          <w:szCs w:val="13"/>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82" w:lineRule="exact"/>
        <w:rPr>
          <w:sz w:val="20"/>
          <w:szCs w:val="20"/>
          <w:color w:val="auto"/>
        </w:rPr>
      </w:pPr>
    </w:p>
    <w:p>
      <w:pPr>
        <w:jc w:val="both"/>
        <w:ind w:firstLine="240"/>
        <w:spacing w:after="0" w:line="275" w:lineRule="auto"/>
        <w:rPr>
          <w:sz w:val="20"/>
          <w:szCs w:val="20"/>
          <w:color w:val="auto"/>
        </w:rPr>
      </w:pPr>
      <w:r>
        <w:rPr>
          <w:rFonts w:ascii="Times New Roman" w:cs="Times New Roman" w:eastAsia="Times New Roman" w:hAnsi="Times New Roman"/>
          <w:sz w:val="13"/>
          <w:szCs w:val="13"/>
          <w:color w:val="auto"/>
        </w:rPr>
        <w:t>As of June 30, 2024, we anticipate spending approximately $237.4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13"/>
          <w:szCs w:val="13"/>
          <w:b w:val="1"/>
          <w:bCs w:val="1"/>
          <w:color w:val="auto"/>
        </w:rPr>
        <w:t>.</w:t>
      </w:r>
    </w:p>
    <w:p>
      <w:pPr>
        <w:spacing w:after="0" w:line="65" w:lineRule="exact"/>
        <w:rPr>
          <w:sz w:val="20"/>
          <w:szCs w:val="20"/>
          <w:color w:val="auto"/>
        </w:rPr>
      </w:pPr>
    </w:p>
    <w:p>
      <w:pPr>
        <w:jc w:val="both"/>
        <w:ind w:firstLine="240"/>
        <w:spacing w:after="0" w:line="297" w:lineRule="auto"/>
        <w:rPr>
          <w:sz w:val="20"/>
          <w:szCs w:val="20"/>
          <w:color w:val="auto"/>
        </w:rPr>
      </w:pPr>
      <w:r>
        <w:rPr>
          <w:rFonts w:ascii="Times New Roman" w:cs="Times New Roman" w:eastAsia="Times New Roman" w:hAnsi="Times New Roman"/>
          <w:sz w:val="13"/>
          <w:szCs w:val="13"/>
          <w:color w:val="auto"/>
        </w:rPr>
        <w:t xml:space="preserve">In addition to the above, we also have lease commitments on our vehicle fleets and office leases and quarterly amortization payment obligations under various debt facilities. Please see Note 7. </w:t>
      </w:r>
      <w:r>
        <w:rPr>
          <w:rFonts w:ascii="Times New Roman" w:cs="Times New Roman" w:eastAsia="Times New Roman" w:hAnsi="Times New Roman"/>
          <w:sz w:val="13"/>
          <w:szCs w:val="13"/>
          <w:i w:val="1"/>
          <w:iCs w:val="1"/>
          <w:color w:val="auto"/>
        </w:rPr>
        <w:t>Borrowings</w:t>
      </w:r>
      <w:r>
        <w:rPr>
          <w:rFonts w:ascii="Times New Roman" w:cs="Times New Roman" w:eastAsia="Times New Roman" w:hAnsi="Times New Roman"/>
          <w:sz w:val="13"/>
          <w:szCs w:val="13"/>
          <w:color w:val="auto"/>
        </w:rPr>
        <w:t xml:space="preserve"> and Note 8.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to our condensed consolidated financial statements for additional information.</w:t>
      </w:r>
    </w:p>
    <w:p>
      <w:pPr>
        <w:spacing w:after="0" w:line="62" w:lineRule="exact"/>
        <w:rPr>
          <w:sz w:val="20"/>
          <w:szCs w:val="20"/>
          <w:color w:val="auto"/>
        </w:rPr>
      </w:pPr>
    </w:p>
    <w:p>
      <w:pPr>
        <w:jc w:val="both"/>
        <w:ind w:firstLine="240"/>
        <w:spacing w:after="0" w:line="294" w:lineRule="auto"/>
        <w:rPr>
          <w:sz w:val="20"/>
          <w:szCs w:val="20"/>
          <w:color w:val="auto"/>
        </w:rPr>
      </w:pPr>
      <w:r>
        <w:rPr>
          <w:rFonts w:ascii="Times New Roman" w:cs="Times New Roman" w:eastAsia="Times New Roman" w:hAnsi="Times New Roman"/>
          <w:sz w:val="13"/>
          <w:szCs w:val="13"/>
          <w:color w:val="auto"/>
        </w:rPr>
        <w:t>We believe that our cash and cash equivalents on hand, anticipated cash flows from operations and our access to expected sources of capital will be sufficient to meet our anticipated funding needs. We continue to pursue additional funding opportunities for growth and streamlining of our capital structure.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is not required to provide the information required by this Item because it is a “smaller reporting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Evaluation of Disclosure Controls and Procedures</w:t>
      </w:r>
    </w:p>
    <w:p>
      <w:pPr>
        <w:spacing w:after="0" w:line="183"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3"/>
          <w:szCs w:val="13"/>
          <w:color w:val="auto"/>
        </w:rPr>
        <w:t>Our management, with the participation of our Co-Chief Executive Officers and our Interim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835" w:right="319" w:bottom="1440" w:gutter="0" w:footer="0" w:header="0"/>
        </w:sectPr>
      </w:pPr>
    </w:p>
    <w:bookmarkStart w:id="65" w:name="page66"/>
    <w:bookmarkEnd w:id="65"/>
    <w:p>
      <w:pPr>
        <w:ind w:firstLine="240"/>
        <w:spacing w:after="0" w:line="294" w:lineRule="auto"/>
        <w:rPr>
          <w:sz w:val="20"/>
          <w:szCs w:val="20"/>
          <w:color w:val="auto"/>
        </w:rPr>
      </w:pPr>
      <w:r>
        <w:rPr>
          <w:rFonts w:ascii="Times New Roman" w:cs="Times New Roman" w:eastAsia="Times New Roman" w:hAnsi="Times New Roman"/>
          <w:sz w:val="13"/>
          <w:szCs w:val="13"/>
          <w:color w:val="auto"/>
        </w:rPr>
        <w:t>Based on that evaluation of our disclosure controls and procedures as required by Rules 13a-15(b) or 15d-15(b) under the Exchange Act, as of June 30, 2024, our Co-Chief Executive Officers and Interim Chief Financial Officer concluded that, as of such date, our disclosure controls and procedures were effective for the period covered by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Changes in Internal Controls over Financial Reporting</w:t>
      </w:r>
    </w:p>
    <w:p>
      <w:pPr>
        <w:spacing w:after="0" w:line="183" w:lineRule="exact"/>
        <w:rPr>
          <w:sz w:val="20"/>
          <w:szCs w:val="20"/>
          <w:color w:val="auto"/>
        </w:rPr>
      </w:pPr>
    </w:p>
    <w:p>
      <w:pPr>
        <w:ind w:firstLine="240"/>
        <w:spacing w:after="0" w:line="294" w:lineRule="auto"/>
        <w:rPr>
          <w:sz w:val="20"/>
          <w:szCs w:val="20"/>
          <w:color w:val="auto"/>
        </w:rPr>
      </w:pPr>
      <w:r>
        <w:rPr>
          <w:rFonts w:ascii="Times New Roman" w:cs="Times New Roman" w:eastAsia="Times New Roman" w:hAnsi="Times New Roman"/>
          <w:sz w:val="13"/>
          <w:szCs w:val="13"/>
          <w:color w:val="auto"/>
        </w:rPr>
        <w:t>No change in our internal control over financial reporting (as defined in Rules 13a-15(f) or 15d-15(f) under the Exchange Act) was identified in the evaluation required by Rule 13a-15(d) or 15d-15(d) under the Exchange Act during the quarter ended June 30, 2024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95"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3"/>
          <w:szCs w:val="13"/>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Central Valley Project</w:t>
      </w:r>
    </w:p>
    <w:p>
      <w:pPr>
        <w:spacing w:after="0" w:line="179"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3"/>
          <w:szCs w:val="13"/>
          <w:color w:val="auto"/>
        </w:rPr>
        <w:t>In September 2021, an indirect subsidiary of the Company, MD Digester, LLC (“</w:t>
      </w:r>
      <w:r>
        <w:rPr>
          <w:rFonts w:ascii="Times New Roman" w:cs="Times New Roman" w:eastAsia="Times New Roman" w:hAnsi="Times New Roman"/>
          <w:sz w:val="13"/>
          <w:szCs w:val="13"/>
          <w:b w:val="1"/>
          <w:bCs w:val="1"/>
          <w:color w:val="auto"/>
        </w:rPr>
        <w:t>MD</w:t>
      </w:r>
      <w:r>
        <w:rPr>
          <w:rFonts w:ascii="Times New Roman" w:cs="Times New Roman" w:eastAsia="Times New Roman" w:hAnsi="Times New Roman"/>
          <w:sz w:val="13"/>
          <w:szCs w:val="13"/>
          <w:color w:val="auto"/>
        </w:rPr>
        <w:t>”), entered into a fixed-price Engineering, Procurement and Construction Contract (an “</w:t>
      </w:r>
      <w:r>
        <w:rPr>
          <w:rFonts w:ascii="Times New Roman" w:cs="Times New Roman" w:eastAsia="Times New Roman" w:hAnsi="Times New Roman"/>
          <w:sz w:val="13"/>
          <w:szCs w:val="13"/>
          <w:b w:val="1"/>
          <w:bCs w:val="1"/>
          <w:color w:val="auto"/>
        </w:rPr>
        <w:t>EPC Contract</w:t>
      </w:r>
      <w:r>
        <w:rPr>
          <w:rFonts w:ascii="Times New Roman" w:cs="Times New Roman" w:eastAsia="Times New Roman" w:hAnsi="Times New Roman"/>
          <w:sz w:val="13"/>
          <w:szCs w:val="13"/>
          <w:color w:val="auto"/>
        </w:rPr>
        <w:t>”) with VEC Partners, Inc. d/b/a CEI Builders (“</w:t>
      </w:r>
      <w:r>
        <w:rPr>
          <w:rFonts w:ascii="Times New Roman" w:cs="Times New Roman" w:eastAsia="Times New Roman" w:hAnsi="Times New Roman"/>
          <w:sz w:val="13"/>
          <w:szCs w:val="13"/>
          <w:b w:val="1"/>
          <w:bCs w:val="1"/>
          <w:color w:val="auto"/>
        </w:rPr>
        <w:t>CEI</w:t>
      </w:r>
      <w:r>
        <w:rPr>
          <w:rFonts w:ascii="Times New Roman" w:cs="Times New Roman" w:eastAsia="Times New Roman" w:hAnsi="Times New Roman"/>
          <w:sz w:val="13"/>
          <w:szCs w:val="13"/>
          <w:color w:val="auto"/>
        </w:rPr>
        <w:t>”) for the design and construction of a turn-key renewable natural gas production facility using dairy cow manure as feedstock. In December 2021, a second indirect subsidiary of the Company, VS Digester, LLC (“</w:t>
      </w:r>
      <w:r>
        <w:rPr>
          <w:rFonts w:ascii="Times New Roman" w:cs="Times New Roman" w:eastAsia="Times New Roman" w:hAnsi="Times New Roman"/>
          <w:sz w:val="13"/>
          <w:szCs w:val="13"/>
          <w:b w:val="1"/>
          <w:bCs w:val="1"/>
          <w:color w:val="auto"/>
        </w:rPr>
        <w:t>VS</w:t>
      </w:r>
      <w:r>
        <w:rPr>
          <w:rFonts w:ascii="Times New Roman" w:cs="Times New Roman" w:eastAsia="Times New Roman" w:hAnsi="Times New Roman"/>
          <w:sz w:val="13"/>
          <w:szCs w:val="13"/>
          <w:color w:val="auto"/>
        </w:rPr>
        <w:t>”) entered into a nearly identical EPC Contract with CEI for the design and construction of a second facility in connection with the same project. CEI’s performance under both of the EPC Contracts is fully bonded by a licensed surety.</w:t>
      </w:r>
    </w:p>
    <w:p>
      <w:pPr>
        <w:spacing w:after="0" w:line="152"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3"/>
          <w:szCs w:val="13"/>
          <w:color w:val="auto"/>
        </w:rPr>
        <w:t>CEI has submitted a series of change order requests seeking to increase the EPC Contract price under each contract by approximately $14 million (i.e., approximately $28 million in total), to cover cost escalations primarily arising from two events: (i) modifications to CEI’s design drawings required to meet its contracted performance guaranties, and (ii) the default of one of CEI’s major equipment manufacturers. The Company disputes responsibility for substantially all of the additional costs.</w:t>
      </w:r>
    </w:p>
    <w:p>
      <w:pPr>
        <w:spacing w:after="0" w:line="146"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3"/>
          <w:szCs w:val="13"/>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The Company and CEI and have each nominated one arbitrator (each, a “</w:t>
      </w:r>
      <w:r>
        <w:rPr>
          <w:rFonts w:ascii="Times New Roman" w:cs="Times New Roman" w:eastAsia="Times New Roman" w:hAnsi="Times New Roman"/>
          <w:sz w:val="13"/>
          <w:szCs w:val="13"/>
          <w:b w:val="1"/>
          <w:bCs w:val="1"/>
          <w:color w:val="auto"/>
        </w:rPr>
        <w:t>Party-selected Arbitrator</w:t>
      </w:r>
      <w:r>
        <w:rPr>
          <w:rFonts w:ascii="Times New Roman" w:cs="Times New Roman" w:eastAsia="Times New Roman" w:hAnsi="Times New Roman"/>
          <w:sz w:val="13"/>
          <w:szCs w:val="13"/>
          <w:color w:val="auto"/>
        </w:rPr>
        <w:t>”) and a third arbitrator was appointed by the Party-selected Arbitrators to chair the panel. As a result of the procedural status of these matters, no discovery has occurred.</w:t>
      </w:r>
    </w:p>
    <w:p>
      <w:pPr>
        <w:spacing w:after="0" w:line="150"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3"/>
          <w:szCs w:val="13"/>
          <w:color w:val="auto"/>
        </w:rPr>
        <w:t>The EPC Contract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has notified CEI’s bond surety of the termination and demanded that it perform under the bond.</w:t>
      </w:r>
    </w:p>
    <w:p>
      <w:pPr>
        <w:spacing w:after="0" w:line="303" w:lineRule="exact"/>
        <w:rPr>
          <w:sz w:val="20"/>
          <w:szCs w:val="20"/>
          <w:color w:val="auto"/>
        </w:rPr>
      </w:pPr>
    </w:p>
    <w:p>
      <w:pPr>
        <w:jc w:val="both"/>
        <w:ind w:firstLine="240"/>
        <w:spacing w:after="0" w:line="278" w:lineRule="auto"/>
        <w:rPr>
          <w:sz w:val="20"/>
          <w:szCs w:val="20"/>
          <w:color w:val="auto"/>
        </w:rPr>
      </w:pPr>
      <w:r>
        <w:rPr>
          <w:rFonts w:ascii="Times New Roman" w:cs="Times New Roman" w:eastAsia="Times New Roman" w:hAnsi="Times New Roman"/>
          <w:sz w:val="13"/>
          <w:szCs w:val="13"/>
          <w:color w:val="auto"/>
        </w:rPr>
        <w:t>On July 11, 2024, VS issued a Notice of Default and Demand to Cure, advising CEI of its defaults and giving it an opportunity to cure. CEI’s cure period has not expired and the Company is hopeful that CEI will so cure. However, if no cure is achieved, VS intends to assess all of its options for next steps, up to and including termination of CEI and demanding performance under the applicable bond.</w:t>
      </w:r>
    </w:p>
    <w:p>
      <w:pPr>
        <w:spacing w:after="0" w:line="134"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3"/>
          <w:szCs w:val="13"/>
          <w:color w:val="auto"/>
        </w:rPr>
        <w:t>The Company believes its claims against CEI have substantial merit, and intends to prosecute its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reasonably estimable at this time to assess the likely outcome of the litigation and related arbitration, the timing of its resolution, or its ultimate impact, if any, on the Central Valley projects or the Company's business, financial condition or results of operations.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85" w:lineRule="exact"/>
        <w:rPr>
          <w:sz w:val="20"/>
          <w:szCs w:val="20"/>
          <w:color w:val="auto"/>
        </w:rPr>
      </w:pPr>
    </w:p>
    <w:p>
      <w:pPr>
        <w:jc w:val="both"/>
        <w:ind w:firstLine="240"/>
        <w:spacing w:after="0" w:line="259" w:lineRule="auto"/>
        <w:rPr>
          <w:sz w:val="20"/>
          <w:szCs w:val="20"/>
          <w:color w:val="auto"/>
        </w:rPr>
      </w:pPr>
      <w:r>
        <w:rPr>
          <w:rFonts w:ascii="Times New Roman" w:cs="Times New Roman" w:eastAsia="Times New Roman" w:hAnsi="Times New Roman"/>
          <w:sz w:val="13"/>
          <w:szCs w:val="13"/>
          <w:color w:val="auto"/>
        </w:rPr>
        <w:t>There have been no material changes from the “Risk Factors” previously disclosed in our Annual Report on Form 10-K for the year ended December 31, 2023, filed with the SEC on March 15, 2024. The risks described in the Annual Report on Form 10-K for the year ended December 31, 2023 are not the only risks facing us. Additional risks and uncertainties not currently known to us or that we currently deem to be immaterial also may materially adversely affect our business, financial condition or future results.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2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9328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159"/>
          </w:cols>
          <w:pgMar w:left="300" w:top="903"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Rule 10b5-1 Trading Plans</w:t>
      </w:r>
    </w:p>
    <w:p>
      <w:pPr>
        <w:spacing w:after="0" w:line="195" w:lineRule="exact"/>
        <w:rPr>
          <w:sz w:val="20"/>
          <w:szCs w:val="20"/>
          <w:color w:val="auto"/>
        </w:rPr>
      </w:pPr>
    </w:p>
    <w:p>
      <w:pPr>
        <w:ind w:firstLine="480"/>
        <w:spacing w:after="0" w:line="294" w:lineRule="auto"/>
        <w:rPr>
          <w:sz w:val="20"/>
          <w:szCs w:val="20"/>
          <w:color w:val="auto"/>
        </w:rPr>
      </w:pPr>
      <w:r>
        <w:rPr>
          <w:rFonts w:ascii="Times New Roman" w:cs="Times New Roman" w:eastAsia="Times New Roman" w:hAnsi="Times New Roman"/>
          <w:sz w:val="13"/>
          <w:szCs w:val="13"/>
          <w:color w:val="auto"/>
        </w:rPr>
        <w:t>During the fiscal quarter ended June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Item 6. Exhibits</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color w:val="auto"/>
                <w:w w:val="96"/>
              </w:rPr>
              <w:t>3.1*</w:t>
            </w:r>
          </w:p>
        </w:tc>
        <w:tc>
          <w:tcPr>
            <w:tcW w:w="100" w:type="dxa"/>
            <w:vAlign w:val="bottom"/>
          </w:tcPr>
          <w:p>
            <w:pPr>
              <w:spacing w:after="0"/>
              <w:rPr>
                <w:sz w:val="11"/>
                <w:szCs w:val="11"/>
                <w:color w:val="auto"/>
              </w:rPr>
            </w:pPr>
          </w:p>
        </w:tc>
        <w:tc>
          <w:tcPr>
            <w:tcW w:w="10000" w:type="dxa"/>
            <w:vAlign w:val="bottom"/>
            <w:tcBorders>
              <w:top w:val="single" w:sz="8" w:color="auto"/>
            </w:tcBorders>
            <w:gridSpan w:val="9"/>
          </w:tcPr>
          <w:p>
            <w:pPr>
              <w:spacing w:after="0" w:line="130" w:lineRule="exact"/>
              <w:rPr>
                <w:rFonts w:ascii="Times New Roman" w:cs="Times New Roman" w:eastAsia="Times New Roman" w:hAnsi="Times New Roman"/>
                <w:sz w:val="13"/>
                <w:szCs w:val="13"/>
                <w:color w:val="0000FF"/>
              </w:rPr>
            </w:pPr>
            <w:hyperlink r:id="rId97">
              <w:r>
                <w:rPr>
                  <w:rFonts w:ascii="Times New Roman" w:cs="Times New Roman" w:eastAsia="Times New Roman" w:hAnsi="Times New Roman"/>
                  <w:sz w:val="13"/>
                  <w:szCs w:val="13"/>
                  <w:color w:val="0000FF"/>
                </w:rPr>
                <w:t>Restated Certificate of Incorporation of OPAL Fuels Inc. (incorporated by reference to Exhibit 3.1 to the Current Report on Form 8-K/A filed by the Company on August 10, 2022).</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3.2*</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7740" w:type="dxa"/>
            <w:vAlign w:val="bottom"/>
            <w:tcBorders>
              <w:top w:val="single" w:sz="8" w:color="0000FF"/>
              <w:bottom w:val="single" w:sz="8" w:color="0000FF"/>
            </w:tcBorders>
            <w:gridSpan w:val="3"/>
            <w:shd w:val="clear" w:color="auto" w:fill="CCEEFF"/>
          </w:tcPr>
          <w:p>
            <w:pPr>
              <w:spacing w:after="0"/>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Bylaws of OPAL Fuels Inc. (incorporated by reference to Exhibit 3.2 to the Current Report on Form 8-K filed by the Company on July 27, 2022)</w:t>
              </w:r>
            </w:hyperlink>
          </w:p>
        </w:tc>
        <w:tc>
          <w:tcPr>
            <w:tcW w:w="188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100" w:type="dxa"/>
            <w:vAlign w:val="bottom"/>
          </w:tcPr>
          <w:p>
            <w:pPr>
              <w:spacing w:after="0"/>
              <w:rPr>
                <w:sz w:val="12"/>
                <w:szCs w:val="12"/>
                <w:color w:val="auto"/>
              </w:rPr>
            </w:pPr>
          </w:p>
        </w:tc>
        <w:tc>
          <w:tcPr>
            <w:tcW w:w="9460" w:type="dxa"/>
            <w:vAlign w:val="bottom"/>
            <w:tcBorders>
              <w:bottom w:val="single" w:sz="8" w:color="0000FF"/>
            </w:tcBorders>
            <w:gridSpan w:val="6"/>
          </w:tcPr>
          <w:p>
            <w:pPr>
              <w:spacing w:after="0" w:line="140" w:lineRule="exact"/>
              <w:rPr>
                <w:sz w:val="20"/>
                <w:szCs w:val="20"/>
                <w:color w:val="auto"/>
              </w:rPr>
            </w:pPr>
            <w:r>
              <w:rPr>
                <w:rFonts w:ascii="Times New Roman" w:cs="Times New Roman" w:eastAsia="Times New Roman" w:hAnsi="Times New Roman"/>
                <w:sz w:val="13"/>
                <w:szCs w:val="13"/>
                <w:color w:val="0000FF"/>
              </w:rPr>
              <w:t>Certification of Co-Principal Executive Officer Pursuant to Rules 13a-14(a) and 15d-14(a) under the Securities Exchange Act of 1934, as Adopted Pursuant to Section 302 of the</w:t>
            </w:r>
          </w:p>
        </w:tc>
        <w:tc>
          <w:tcPr>
            <w:tcW w:w="5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0" w:type="dxa"/>
            <w:vAlign w:val="bottom"/>
            <w:gridSpan w:val="9"/>
            <w:vMerge w:val="restart"/>
          </w:tcPr>
          <w:p>
            <w:pPr>
              <w:spacing w:after="0" w:line="110" w:lineRule="exact"/>
              <w:rPr>
                <w:sz w:val="20"/>
                <w:szCs w:val="20"/>
                <w:color w:val="auto"/>
              </w:rPr>
            </w:pPr>
            <w:r>
              <w:rPr>
                <w:rFonts w:ascii="Times New Roman" w:cs="Times New Roman" w:eastAsia="Times New Roman" w:hAnsi="Times New Roman"/>
                <w:sz w:val="12"/>
                <w:szCs w:val="12"/>
                <w:color w:val="0000FF"/>
              </w:rPr>
              <w:t>Sarbanes-Oxley Act of 2002.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gridSpan w:val="9"/>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9460" w:type="dxa"/>
            <w:vAlign w:val="bottom"/>
            <w:tcBorders>
              <w:bottom w:val="single" w:sz="8" w:color="0000FF"/>
            </w:tcBorders>
            <w:gridSpan w:val="6"/>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0000FF"/>
              </w:rPr>
              <w:t>Certification of Co-Principal Executive Officer Pursuant to Rules 13a-14(a) and 15d-14(a) under the Securities Exchange Act of 1934, as Adopted Pursuant to Section 302 of the</w:t>
            </w:r>
          </w:p>
        </w:tc>
        <w:tc>
          <w:tcPr>
            <w:tcW w:w="540" w:type="dxa"/>
            <w:vAlign w:val="bottom"/>
            <w:tcBorders>
              <w:bottom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000" w:type="dxa"/>
            <w:vAlign w:val="bottom"/>
            <w:gridSpan w:val="9"/>
            <w:vMerge w:val="restart"/>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0000FF"/>
              </w:rPr>
              <w:t>Sarbanes-Oxley Act of 2002.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00" w:type="dxa"/>
            <w:vAlign w:val="bottom"/>
            <w:gridSpan w:val="9"/>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31.3</w:t>
            </w:r>
          </w:p>
        </w:tc>
        <w:tc>
          <w:tcPr>
            <w:tcW w:w="100" w:type="dxa"/>
            <w:vAlign w:val="bottom"/>
          </w:tcPr>
          <w:p>
            <w:pPr>
              <w:spacing w:after="0"/>
              <w:rPr>
                <w:sz w:val="12"/>
                <w:szCs w:val="12"/>
                <w:color w:val="auto"/>
              </w:rPr>
            </w:pPr>
          </w:p>
        </w:tc>
        <w:tc>
          <w:tcPr>
            <w:tcW w:w="1000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0000FF"/>
              </w:rPr>
              <w:t>Certification of Principal Financial Officer Pursuant to Rules 13a-14(a) and 15d-14(a) under the Securities Exchange Act of 1934, as Adopted Pursuant to Section 302 of the Sarbanes-</w:t>
            </w:r>
          </w:p>
        </w:tc>
        <w:tc>
          <w:tcPr>
            <w:tcW w:w="0" w:type="dxa"/>
            <w:vAlign w:val="bottom"/>
          </w:tcPr>
          <w:p>
            <w:pPr>
              <w:spacing w:after="0"/>
              <w:rPr>
                <w:sz w:val="1"/>
                <w:szCs w:val="1"/>
                <w:color w:val="auto"/>
              </w:rPr>
            </w:pPr>
          </w:p>
        </w:tc>
      </w:tr>
      <w:tr>
        <w:trPr>
          <w:trHeight w:val="80"/>
        </w:trPr>
        <w:tc>
          <w:tcPr>
            <w:tcW w:w="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780" w:type="dxa"/>
            <w:vAlign w:val="bottom"/>
            <w:tcBorders>
              <w:top w:val="single" w:sz="8" w:color="0000FF"/>
            </w:tcBorders>
            <w:gridSpan w:val="8"/>
            <w:vMerge w:val="restart"/>
          </w:tcPr>
          <w:p>
            <w:pPr>
              <w:spacing w:after="0" w:line="110" w:lineRule="exact"/>
              <w:rPr>
                <w:sz w:val="20"/>
                <w:szCs w:val="20"/>
                <w:color w:val="auto"/>
              </w:rPr>
            </w:pPr>
            <w:r>
              <w:rPr>
                <w:rFonts w:ascii="Times New Roman" w:cs="Times New Roman" w:eastAsia="Times New Roman" w:hAnsi="Times New Roman"/>
                <w:sz w:val="12"/>
                <w:szCs w:val="12"/>
                <w:color w:val="0000FF"/>
              </w:rPr>
              <w:t>Oxley Act of 2002.</w:t>
            </w:r>
          </w:p>
        </w:tc>
        <w:tc>
          <w:tcPr>
            <w:tcW w:w="2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80" w:type="dxa"/>
            <w:vAlign w:val="bottom"/>
            <w:gridSpan w:val="8"/>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112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right w:val="single" w:sz="8" w:color="CCEEFF"/>
            </w:tcBorders>
            <w:shd w:val="clear" w:color="auto" w:fill="CCEEFF"/>
          </w:tcPr>
          <w:p>
            <w:pPr>
              <w:spacing w:after="0"/>
              <w:rPr>
                <w:sz w:val="12"/>
                <w:szCs w:val="12"/>
                <w:color w:val="auto"/>
              </w:rPr>
            </w:pPr>
          </w:p>
        </w:tc>
        <w:tc>
          <w:tcPr>
            <w:tcW w:w="10000" w:type="dxa"/>
            <w:vAlign w:val="bottom"/>
            <w:gridSpan w:val="9"/>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0000FF"/>
              </w:rPr>
              <w:t>Certification of Co-Principal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2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2"/>
                <w:szCs w:val="12"/>
                <w:color w:val="auto"/>
              </w:rPr>
            </w:pPr>
          </w:p>
        </w:tc>
        <w:tc>
          <w:tcPr>
            <w:tcW w:w="10000" w:type="dxa"/>
            <w:vAlign w:val="bottom"/>
            <w:gridSpan w:val="9"/>
          </w:tcPr>
          <w:p>
            <w:pPr>
              <w:spacing w:after="0" w:line="140" w:lineRule="exact"/>
              <w:rPr>
                <w:sz w:val="20"/>
                <w:szCs w:val="20"/>
                <w:color w:val="auto"/>
              </w:rPr>
            </w:pPr>
            <w:r>
              <w:rPr>
                <w:rFonts w:ascii="Times New Roman" w:cs="Times New Roman" w:eastAsia="Times New Roman" w:hAnsi="Times New Roman"/>
                <w:sz w:val="13"/>
                <w:szCs w:val="13"/>
                <w:color w:val="0000FF"/>
              </w:rPr>
              <w:t>Certification of Co-Principal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Borders>
              <w:right w:val="single" w:sz="8" w:color="CCEEFF"/>
            </w:tcBorders>
            <w:shd w:val="clear" w:color="auto" w:fill="CCEEFF"/>
          </w:tcPr>
          <w:p>
            <w:pPr>
              <w:spacing w:after="0"/>
              <w:rPr>
                <w:sz w:val="13"/>
                <w:szCs w:val="13"/>
                <w:color w:val="auto"/>
              </w:rPr>
            </w:pPr>
          </w:p>
        </w:tc>
        <w:tc>
          <w:tcPr>
            <w:tcW w:w="834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0000FF"/>
              </w:rPr>
              <w:t>Certification of Principal Financial Officer Pursuant to 18 U.S.C. Section 1350, as Adopted Pursuant to Section 906 of the Sarbanes-Oxley Act of 2002.</w:t>
            </w:r>
          </w:p>
        </w:tc>
        <w:tc>
          <w:tcPr>
            <w:tcW w:w="1660" w:type="dxa"/>
            <w:vAlign w:val="bottom"/>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101.INS</w:t>
            </w:r>
          </w:p>
        </w:tc>
        <w:tc>
          <w:tcPr>
            <w:tcW w:w="8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1900" w:type="dxa"/>
            <w:vAlign w:val="bottom"/>
            <w:tcBorders>
              <w:top w:val="single" w:sz="8" w:color="CCEEFF"/>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101.SCH</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101.CAL</w:t>
            </w:r>
          </w:p>
        </w:tc>
        <w:tc>
          <w:tcPr>
            <w:tcW w:w="1000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101.DEF</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101.LAB</w:t>
            </w:r>
          </w:p>
        </w:tc>
        <w:tc>
          <w:tcPr>
            <w:tcW w:w="1000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101.PRE</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0" w:type="dxa"/>
            <w:vAlign w:val="bottom"/>
          </w:tcPr>
          <w:p>
            <w:pPr>
              <w:spacing w:after="0"/>
              <w:rPr>
                <w:sz w:val="1"/>
                <w:szCs w:val="1"/>
                <w:color w:val="auto"/>
              </w:rPr>
            </w:pPr>
          </w:p>
        </w:tc>
      </w:tr>
    </w:tbl>
    <w:p>
      <w:pPr>
        <w:ind w:left="1240" w:hanging="770"/>
        <w:spacing w:after="0"/>
        <w:tabs>
          <w:tab w:leader="none" w:pos="124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w:t>
      </w:r>
    </w:p>
    <w:p>
      <w:pPr>
        <w:spacing w:after="0" w:line="288" w:lineRule="exact"/>
        <w:rPr>
          <w:rFonts w:ascii="Times New Roman" w:cs="Times New Roman" w:eastAsia="Times New Roman" w:hAnsi="Times New Roman"/>
          <w:sz w:val="13"/>
          <w:szCs w:val="13"/>
          <w:color w:val="auto"/>
        </w:rPr>
      </w:pPr>
    </w:p>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23" w:lineRule="exact"/>
        <w:rPr>
          <w:rFonts w:ascii="Times New Roman" w:cs="Times New Roman" w:eastAsia="Times New Roman" w:hAnsi="Times New Roman"/>
          <w:sz w:val="13"/>
          <w:szCs w:val="13"/>
          <w:color w:val="auto"/>
        </w:rPr>
      </w:pPr>
    </w:p>
    <w:p>
      <w:pPr>
        <w:ind w:left="640" w:right="800" w:hanging="627"/>
        <w:spacing w:after="0" w:line="241" w:lineRule="auto"/>
        <w:tabs>
          <w:tab w:leader="none" w:pos="6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19328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69" w:name="page70"/>
    <w:bookmarkEnd w:id="69"/>
    <w:p>
      <w:pPr>
        <w:ind w:left="498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August 9, 2024</w:t>
      </w:r>
    </w:p>
    <w:p>
      <w:pPr>
        <w:spacing w:after="0" w:line="187" w:lineRule="exact"/>
        <w:rPr>
          <w:sz w:val="20"/>
          <w:szCs w:val="20"/>
          <w:color w:val="auto"/>
        </w:rPr>
      </w:pPr>
    </w:p>
    <w:tbl>
      <w:tblPr>
        <w:tblLayout w:type="fixed"/>
        <w:tblInd w:w="5700" w:type="dxa"/>
        <w:tblCellMar>
          <w:top w:w="0" w:type="dxa"/>
          <w:left w:w="0" w:type="dxa"/>
          <w:bottom w:w="0" w:type="dxa"/>
          <w:right w:w="0" w:type="dxa"/>
        </w:tblCellMar>
      </w:tblPr>
      <w:tr>
        <w:trPr>
          <w:trHeight w:val="177"/>
        </w:trPr>
        <w:tc>
          <w:tcPr>
            <w:tcW w:w="5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OPAL Fuels Inc.</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Jonathan Maurer</w:t>
            </w:r>
          </w:p>
        </w:tc>
      </w:tr>
      <w:tr>
        <w:trPr>
          <w:trHeight w:val="180"/>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Jonathan Maurer</w:t>
            </w: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Co- Chief Executive Officer</w:t>
            </w:r>
          </w:p>
        </w:tc>
      </w:tr>
    </w:tbl>
    <w:p>
      <w:pPr>
        <w:spacing w:after="0" w:line="253" w:lineRule="exact"/>
        <w:rPr>
          <w:sz w:val="20"/>
          <w:szCs w:val="20"/>
          <w:color w:val="auto"/>
        </w:rPr>
      </w:pPr>
    </w:p>
    <w:tbl>
      <w:tblPr>
        <w:tblLayout w:type="fixed"/>
        <w:tblInd w:w="732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OPAL Fuels Inc.</w:t>
            </w:r>
          </w:p>
        </w:tc>
      </w:tr>
      <w:tr>
        <w:trPr>
          <w:trHeight w:val="270"/>
        </w:trPr>
        <w:tc>
          <w:tcPr>
            <w:tcW w:w="580" w:type="dxa"/>
            <w:vAlign w:val="bottom"/>
          </w:tcPr>
          <w:p>
            <w:pPr>
              <w:spacing w:after="0"/>
              <w:rPr>
                <w:sz w:val="23"/>
                <w:szCs w:val="23"/>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By:</w:t>
            </w: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Adam Comora</w:t>
            </w:r>
          </w:p>
        </w:tc>
      </w:tr>
      <w:tr>
        <w:trPr>
          <w:trHeight w:val="180"/>
        </w:trPr>
        <w:tc>
          <w:tcPr>
            <w:tcW w:w="580" w:type="dxa"/>
            <w:vAlign w:val="bottom"/>
          </w:tcPr>
          <w:p>
            <w:pPr>
              <w:spacing w:after="0"/>
              <w:rPr>
                <w:sz w:val="15"/>
                <w:szCs w:val="15"/>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Name:</w:t>
            </w: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Adam Comora</w:t>
            </w:r>
          </w:p>
        </w:tc>
      </w:tr>
      <w:tr>
        <w:trPr>
          <w:trHeight w:val="190"/>
        </w:trPr>
        <w:tc>
          <w:tcPr>
            <w:tcW w:w="580" w:type="dxa"/>
            <w:vAlign w:val="bottom"/>
          </w:tcPr>
          <w:p>
            <w:pPr>
              <w:spacing w:after="0"/>
              <w:rPr>
                <w:sz w:val="16"/>
                <w:szCs w:val="16"/>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Title:</w:t>
            </w: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 Chief Executive Officer</w:t>
            </w:r>
          </w:p>
        </w:tc>
      </w:tr>
      <w:tr>
        <w:trPr>
          <w:trHeight w:val="440"/>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OPAL Fuels Inc.</w:t>
            </w:r>
          </w:p>
        </w:tc>
        <w:tc>
          <w:tcPr>
            <w:tcW w:w="2380" w:type="dxa"/>
            <w:vAlign w:val="bottom"/>
          </w:tcPr>
          <w:p>
            <w:pPr>
              <w:spacing w:after="0"/>
              <w:rPr>
                <w:sz w:val="24"/>
                <w:szCs w:val="24"/>
                <w:color w:val="auto"/>
              </w:rPr>
            </w:pPr>
          </w:p>
        </w:tc>
      </w:t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Scott Contino</w:t>
            </w:r>
          </w:p>
        </w:tc>
      </w:tr>
      <w:tr>
        <w:trPr>
          <w:trHeight w:val="180"/>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Scott Contino</w:t>
            </w:r>
          </w:p>
        </w:tc>
        <w:tc>
          <w:tcPr>
            <w:tcW w:w="2380" w:type="dxa"/>
            <w:vAlign w:val="bottom"/>
          </w:tcPr>
          <w:p>
            <w:pPr>
              <w:spacing w:after="0"/>
              <w:rPr>
                <w:sz w:val="15"/>
                <w:szCs w:val="15"/>
                <w:color w:val="auto"/>
              </w:rPr>
            </w:pPr>
          </w:p>
        </w:tc>
      </w:tr>
      <w:tr>
        <w:trPr>
          <w:trHeight w:val="190"/>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1040"/>
          </w:cols>
          <w:pgMar w:left="540" w:top="883" w:right="3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 RULES 13a-14(a) AND 15d-14(a)</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Adam Comora, certify that:</w:t>
      </w:r>
    </w:p>
    <w:p>
      <w:pPr>
        <w:spacing w:after="0" w:line="111" w:lineRule="exact"/>
        <w:rPr>
          <w:sz w:val="20"/>
          <w:szCs w:val="20"/>
          <w:color w:val="auto"/>
        </w:rPr>
      </w:pPr>
    </w:p>
    <w:p>
      <w:pPr>
        <w:ind w:left="460" w:hanging="447"/>
        <w:spacing w:after="0"/>
        <w:tabs>
          <w:tab w:leader="none" w:pos="4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OPAL Fuels Inc.;</w:t>
      </w:r>
    </w:p>
    <w:p>
      <w:pPr>
        <w:spacing w:after="0" w:line="230" w:lineRule="exact"/>
        <w:rPr>
          <w:rFonts w:ascii="Times New Roman" w:cs="Times New Roman" w:eastAsia="Times New Roman" w:hAnsi="Times New Roman"/>
          <w:sz w:val="13"/>
          <w:szCs w:val="13"/>
          <w:color w:val="auto"/>
        </w:rPr>
      </w:pPr>
    </w:p>
    <w:p>
      <w:pPr>
        <w:ind w:left="460" w:right="220" w:hanging="447"/>
        <w:spacing w:after="0" w:line="294" w:lineRule="auto"/>
        <w:tabs>
          <w:tab w:leader="none" w:pos="4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3"/>
          <w:szCs w:val="13"/>
          <w:color w:val="auto"/>
        </w:rPr>
      </w:pPr>
    </w:p>
    <w:p>
      <w:pPr>
        <w:ind w:left="460" w:right="20" w:hanging="447"/>
        <w:spacing w:after="0" w:line="310" w:lineRule="auto"/>
        <w:tabs>
          <w:tab w:leader="none" w:pos="4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3"/>
          <w:szCs w:val="13"/>
          <w:color w:val="auto"/>
        </w:rPr>
      </w:pPr>
    </w:p>
    <w:p>
      <w:pPr>
        <w:ind w:left="460" w:right="340" w:hanging="447"/>
        <w:spacing w:after="0" w:line="310" w:lineRule="auto"/>
        <w:tabs>
          <w:tab w:leader="none" w:pos="4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3"/>
          <w:szCs w:val="13"/>
          <w:color w:val="auto"/>
        </w:rPr>
      </w:pPr>
    </w:p>
    <w:p>
      <w:pPr>
        <w:ind w:left="1040" w:right="160" w:hanging="566"/>
        <w:spacing w:after="0" w:line="294" w:lineRule="auto"/>
        <w:tabs>
          <w:tab w:leader="none" w:pos="104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3"/>
          <w:szCs w:val="13"/>
          <w:color w:val="auto"/>
        </w:rPr>
      </w:pPr>
    </w:p>
    <w:p>
      <w:pPr>
        <w:ind w:left="1040" w:right="20" w:hanging="566"/>
        <w:spacing w:after="0" w:line="310" w:lineRule="auto"/>
        <w:tabs>
          <w:tab w:leader="none" w:pos="104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Times New Roman" w:cs="Times New Roman" w:eastAsia="Times New Roman" w:hAnsi="Times New Roman"/>
          <w:sz w:val="13"/>
          <w:szCs w:val="13"/>
          <w:color w:val="auto"/>
        </w:rPr>
      </w:pPr>
    </w:p>
    <w:p>
      <w:pPr>
        <w:ind w:left="1040" w:right="80" w:hanging="566"/>
        <w:spacing w:after="0" w:line="310" w:lineRule="auto"/>
        <w:tabs>
          <w:tab w:leader="none" w:pos="104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3"/>
          <w:szCs w:val="13"/>
          <w:color w:val="auto"/>
        </w:rPr>
      </w:pPr>
    </w:p>
    <w:p>
      <w:pPr>
        <w:ind w:left="1040" w:right="400" w:hanging="566"/>
        <w:spacing w:after="0" w:line="294" w:lineRule="auto"/>
        <w:tabs>
          <w:tab w:leader="none" w:pos="104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3"/>
          <w:szCs w:val="13"/>
          <w:color w:val="auto"/>
        </w:rPr>
      </w:pPr>
    </w:p>
    <w:p>
      <w:pPr>
        <w:ind w:left="460" w:right="80" w:hanging="447"/>
        <w:spacing w:after="0" w:line="310" w:lineRule="auto"/>
        <w:tabs>
          <w:tab w:leader="none" w:pos="46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Times New Roman" w:cs="Times New Roman" w:eastAsia="Times New Roman" w:hAnsi="Times New Roman"/>
          <w:sz w:val="13"/>
          <w:szCs w:val="13"/>
          <w:color w:val="auto"/>
        </w:rPr>
      </w:pPr>
    </w:p>
    <w:p>
      <w:pPr>
        <w:ind w:left="1040" w:right="60" w:hanging="566"/>
        <w:spacing w:after="0" w:line="310" w:lineRule="auto"/>
        <w:tabs>
          <w:tab w:leader="none" w:pos="104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Times New Roman" w:cs="Times New Roman" w:eastAsia="Times New Roman" w:hAnsi="Times New Roman"/>
          <w:sz w:val="13"/>
          <w:szCs w:val="13"/>
          <w:color w:val="auto"/>
        </w:rPr>
      </w:pPr>
    </w:p>
    <w:p>
      <w:pPr>
        <w:ind w:left="1040" w:hanging="566"/>
        <w:spacing w:after="0"/>
        <w:tabs>
          <w:tab w:leader="none" w:pos="104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760" w:val="left"/>
          <w:tab w:leader="none" w:pos="6240" w:val="left"/>
        </w:tabs>
        <w:rPr>
          <w:sz w:val="20"/>
          <w:szCs w:val="20"/>
          <w:color w:val="auto"/>
        </w:rPr>
      </w:pPr>
      <w:r>
        <w:rPr>
          <w:rFonts w:ascii="Times New Roman" w:cs="Times New Roman" w:eastAsia="Times New Roman" w:hAnsi="Times New Roman"/>
          <w:sz w:val="13"/>
          <w:szCs w:val="13"/>
          <w:color w:val="auto"/>
        </w:rPr>
        <w:t>Date: August 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33655</wp:posOffset>
            </wp:positionV>
            <wp:extent cx="320294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202940" cy="6350"/>
                    </a:xfrm>
                    <a:prstGeom prst="rect">
                      <a:avLst/>
                    </a:prstGeom>
                    <a:noFill/>
                  </pic:spPr>
                </pic:pic>
              </a:graphicData>
            </a:graphic>
          </wp:anchor>
        </w:drawing>
      </w:r>
    </w:p>
    <w:p>
      <w:pPr>
        <w:spacing w:after="0" w:line="5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Co-Chief Executive Officer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493" w:right="319" w:bottom="1440" w:gutter="0" w:footer="0" w:header="0"/>
        </w:sectPr>
      </w:pPr>
    </w:p>
    <w:bookmarkStart w:id="71" w:name="page72"/>
    <w:bookmarkEnd w:id="7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 RULES 13a-14(a) AND 15d-14(a)</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Jonathan Maurer, certify that:</w:t>
      </w:r>
    </w:p>
    <w:p>
      <w:pPr>
        <w:spacing w:after="0" w:line="111" w:lineRule="exact"/>
        <w:rPr>
          <w:sz w:val="20"/>
          <w:szCs w:val="20"/>
          <w:color w:val="auto"/>
        </w:rPr>
      </w:pPr>
    </w:p>
    <w:p>
      <w:pPr>
        <w:ind w:left="460" w:hanging="447"/>
        <w:spacing w:after="0"/>
        <w:tabs>
          <w:tab w:leader="none" w:pos="4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OPAL Fuels Inc.;</w:t>
      </w:r>
    </w:p>
    <w:p>
      <w:pPr>
        <w:spacing w:after="0" w:line="230" w:lineRule="exact"/>
        <w:rPr>
          <w:rFonts w:ascii="Times New Roman" w:cs="Times New Roman" w:eastAsia="Times New Roman" w:hAnsi="Times New Roman"/>
          <w:sz w:val="13"/>
          <w:szCs w:val="13"/>
          <w:color w:val="auto"/>
        </w:rPr>
      </w:pPr>
    </w:p>
    <w:p>
      <w:pPr>
        <w:ind w:left="460" w:right="220" w:hanging="447"/>
        <w:spacing w:after="0" w:line="294" w:lineRule="auto"/>
        <w:tabs>
          <w:tab w:leader="none" w:pos="4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3"/>
          <w:szCs w:val="13"/>
          <w:color w:val="auto"/>
        </w:rPr>
      </w:pPr>
    </w:p>
    <w:p>
      <w:pPr>
        <w:ind w:left="460" w:right="20" w:hanging="447"/>
        <w:spacing w:after="0" w:line="310" w:lineRule="auto"/>
        <w:tabs>
          <w:tab w:leader="none" w:pos="4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3"/>
          <w:szCs w:val="13"/>
          <w:color w:val="auto"/>
        </w:rPr>
      </w:pPr>
    </w:p>
    <w:p>
      <w:pPr>
        <w:ind w:left="460" w:right="340" w:hanging="447"/>
        <w:spacing w:after="0" w:line="310" w:lineRule="auto"/>
        <w:tabs>
          <w:tab w:leader="none" w:pos="4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3"/>
          <w:szCs w:val="13"/>
          <w:color w:val="auto"/>
        </w:rPr>
      </w:pPr>
    </w:p>
    <w:p>
      <w:pPr>
        <w:ind w:left="1040" w:right="160" w:hanging="566"/>
        <w:spacing w:after="0" w:line="294" w:lineRule="auto"/>
        <w:tabs>
          <w:tab w:leader="none" w:pos="1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3"/>
          <w:szCs w:val="13"/>
          <w:color w:val="auto"/>
        </w:rPr>
      </w:pPr>
    </w:p>
    <w:p>
      <w:pPr>
        <w:ind w:left="1040" w:right="20" w:hanging="566"/>
        <w:spacing w:after="0" w:line="310" w:lineRule="auto"/>
        <w:tabs>
          <w:tab w:leader="none" w:pos="1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Times New Roman" w:cs="Times New Roman" w:eastAsia="Times New Roman" w:hAnsi="Times New Roman"/>
          <w:sz w:val="13"/>
          <w:szCs w:val="13"/>
          <w:color w:val="auto"/>
        </w:rPr>
      </w:pPr>
    </w:p>
    <w:p>
      <w:pPr>
        <w:ind w:left="1040" w:right="80" w:hanging="566"/>
        <w:spacing w:after="0" w:line="310" w:lineRule="auto"/>
        <w:tabs>
          <w:tab w:leader="none" w:pos="1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Times New Roman" w:cs="Times New Roman" w:eastAsia="Times New Roman" w:hAnsi="Times New Roman"/>
          <w:sz w:val="13"/>
          <w:szCs w:val="13"/>
          <w:color w:val="auto"/>
        </w:rPr>
      </w:pPr>
    </w:p>
    <w:p>
      <w:pPr>
        <w:ind w:left="1040" w:right="400" w:hanging="566"/>
        <w:spacing w:after="0" w:line="294" w:lineRule="auto"/>
        <w:tabs>
          <w:tab w:leader="none" w:pos="1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3"/>
          <w:szCs w:val="13"/>
          <w:color w:val="auto"/>
        </w:rPr>
      </w:pPr>
    </w:p>
    <w:p>
      <w:pPr>
        <w:ind w:left="460" w:right="80" w:hanging="447"/>
        <w:spacing w:after="0" w:line="310" w:lineRule="auto"/>
        <w:tabs>
          <w:tab w:leader="none" w:pos="4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Times New Roman" w:cs="Times New Roman" w:eastAsia="Times New Roman" w:hAnsi="Times New Roman"/>
          <w:sz w:val="13"/>
          <w:szCs w:val="13"/>
          <w:color w:val="auto"/>
        </w:rPr>
      </w:pPr>
    </w:p>
    <w:p>
      <w:pPr>
        <w:ind w:left="1040" w:right="60" w:hanging="566"/>
        <w:spacing w:after="0" w:line="310" w:lineRule="auto"/>
        <w:tabs>
          <w:tab w:leader="none" w:pos="1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Times New Roman" w:cs="Times New Roman" w:eastAsia="Times New Roman" w:hAnsi="Times New Roman"/>
          <w:sz w:val="13"/>
          <w:szCs w:val="13"/>
          <w:color w:val="auto"/>
        </w:rPr>
      </w:pPr>
    </w:p>
    <w:p>
      <w:pPr>
        <w:ind w:left="1040" w:hanging="566"/>
        <w:spacing w:after="0"/>
        <w:tabs>
          <w:tab w:leader="none" w:pos="10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760" w:val="left"/>
          <w:tab w:leader="none" w:pos="6240" w:val="left"/>
        </w:tabs>
        <w:rPr>
          <w:sz w:val="20"/>
          <w:szCs w:val="20"/>
          <w:color w:val="auto"/>
        </w:rPr>
      </w:pPr>
      <w:r>
        <w:rPr>
          <w:rFonts w:ascii="Times New Roman" w:cs="Times New Roman" w:eastAsia="Times New Roman" w:hAnsi="Times New Roman"/>
          <w:sz w:val="13"/>
          <w:szCs w:val="13"/>
          <w:color w:val="auto"/>
        </w:rPr>
        <w:t>Date: August 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33655</wp:posOffset>
            </wp:positionV>
            <wp:extent cx="320294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202940" cy="6350"/>
                    </a:xfrm>
                    <a:prstGeom prst="rect">
                      <a:avLst/>
                    </a:prstGeom>
                    <a:noFill/>
                  </pic:spPr>
                </pic:pic>
              </a:graphicData>
            </a:graphic>
          </wp:anchor>
        </w:drawing>
      </w:r>
    </w:p>
    <w:p>
      <w:pPr>
        <w:spacing w:after="0" w:line="5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Co-Chief Executive Officer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493" w:right="319"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3"/>
          <w:szCs w:val="13"/>
          <w:b w:val="1"/>
          <w:bCs w:val="1"/>
          <w:color w:val="auto"/>
        </w:rPr>
        <w:t>EXHIBIT 31.3</w:t>
      </w:r>
    </w:p>
    <w:p>
      <w:pPr>
        <w:spacing w:after="0" w:line="30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CERTIFICATION PURSUANT TO RULES 13a-14(a) AND 15d-14(a)</w:t>
      </w:r>
    </w:p>
    <w:p>
      <w:pPr>
        <w:ind w:left="3060"/>
        <w:spacing w:after="0" w:line="222" w:lineRule="auto"/>
        <w:rPr>
          <w:sz w:val="20"/>
          <w:szCs w:val="20"/>
          <w:color w:val="auto"/>
        </w:rPr>
      </w:pPr>
      <w:r>
        <w:rPr>
          <w:rFonts w:ascii="Times New Roman" w:cs="Times New Roman" w:eastAsia="Times New Roman" w:hAnsi="Times New Roman"/>
          <w:sz w:val="13"/>
          <w:szCs w:val="13"/>
          <w:b w:val="1"/>
          <w:bCs w:val="1"/>
          <w:color w:val="auto"/>
        </w:rPr>
        <w:t>UNDER THE SECURITIES EXCHANGE ACT OF 1934, AS ADOPTED PURSUANT TO</w:t>
      </w: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Scott Contino, certify that:</w:t>
      </w:r>
    </w:p>
    <w:p>
      <w:pPr>
        <w:spacing w:after="0" w:line="121" w:lineRule="exact"/>
        <w:rPr>
          <w:sz w:val="20"/>
          <w:szCs w:val="20"/>
          <w:color w:val="auto"/>
        </w:rPr>
      </w:pPr>
    </w:p>
    <w:p>
      <w:pPr>
        <w:ind w:left="460" w:hanging="447"/>
        <w:spacing w:after="0"/>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OPAL Fuels Inc.;</w:t>
      </w:r>
    </w:p>
    <w:p>
      <w:pPr>
        <w:spacing w:after="0" w:line="220" w:lineRule="exact"/>
        <w:rPr>
          <w:rFonts w:ascii="Times New Roman" w:cs="Times New Roman" w:eastAsia="Times New Roman" w:hAnsi="Times New Roman"/>
          <w:sz w:val="13"/>
          <w:szCs w:val="13"/>
          <w:color w:val="auto"/>
        </w:rPr>
      </w:pPr>
    </w:p>
    <w:p>
      <w:pPr>
        <w:ind w:left="460" w:right="220" w:hanging="447"/>
        <w:spacing w:after="0" w:line="310"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Times New Roman" w:cs="Times New Roman" w:eastAsia="Times New Roman" w:hAnsi="Times New Roman"/>
          <w:sz w:val="13"/>
          <w:szCs w:val="13"/>
          <w:color w:val="auto"/>
        </w:rPr>
      </w:pPr>
    </w:p>
    <w:p>
      <w:pPr>
        <w:ind w:left="460" w:right="20" w:hanging="447"/>
        <w:spacing w:after="0" w:line="310"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Times New Roman" w:cs="Times New Roman" w:eastAsia="Times New Roman" w:hAnsi="Times New Roman"/>
          <w:sz w:val="13"/>
          <w:szCs w:val="13"/>
          <w:color w:val="auto"/>
        </w:rPr>
      </w:pPr>
    </w:p>
    <w:p>
      <w:pPr>
        <w:ind w:left="460" w:right="340" w:hanging="447"/>
        <w:spacing w:after="0" w:line="294"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3"/>
          <w:szCs w:val="13"/>
          <w:color w:val="auto"/>
        </w:rPr>
      </w:pPr>
    </w:p>
    <w:p>
      <w:pPr>
        <w:ind w:left="1040" w:right="140" w:hanging="576"/>
        <w:spacing w:after="0" w:line="310"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Times New Roman" w:cs="Times New Roman" w:eastAsia="Times New Roman" w:hAnsi="Times New Roman"/>
          <w:sz w:val="13"/>
          <w:szCs w:val="13"/>
          <w:color w:val="auto"/>
        </w:rPr>
      </w:pPr>
    </w:p>
    <w:p>
      <w:pPr>
        <w:ind w:left="1040" w:right="540" w:hanging="576"/>
        <w:spacing w:after="0" w:line="310"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Times New Roman" w:cs="Times New Roman" w:eastAsia="Times New Roman" w:hAnsi="Times New Roman"/>
          <w:sz w:val="13"/>
          <w:szCs w:val="13"/>
          <w:color w:val="auto"/>
        </w:rPr>
      </w:pPr>
    </w:p>
    <w:p>
      <w:pPr>
        <w:ind w:left="1040" w:right="60" w:hanging="576"/>
        <w:spacing w:after="0" w:line="294"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3"/>
          <w:szCs w:val="13"/>
          <w:color w:val="auto"/>
        </w:rPr>
      </w:pPr>
    </w:p>
    <w:p>
      <w:pPr>
        <w:ind w:left="1040" w:right="380" w:hanging="576"/>
        <w:spacing w:after="0" w:line="310"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Times New Roman" w:cs="Times New Roman" w:eastAsia="Times New Roman" w:hAnsi="Times New Roman"/>
          <w:sz w:val="13"/>
          <w:szCs w:val="13"/>
          <w:color w:val="auto"/>
        </w:rPr>
      </w:pPr>
    </w:p>
    <w:p>
      <w:pPr>
        <w:ind w:left="460" w:right="80" w:hanging="447"/>
        <w:spacing w:after="0" w:line="310" w:lineRule="auto"/>
        <w:tabs>
          <w:tab w:leader="none" w:pos="4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Times New Roman" w:cs="Times New Roman" w:eastAsia="Times New Roman" w:hAnsi="Times New Roman"/>
          <w:sz w:val="13"/>
          <w:szCs w:val="13"/>
          <w:color w:val="auto"/>
        </w:rPr>
      </w:pPr>
    </w:p>
    <w:p>
      <w:pPr>
        <w:ind w:left="1040" w:right="40" w:hanging="576"/>
        <w:spacing w:after="0" w:line="294" w:lineRule="auto"/>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3"/>
          <w:szCs w:val="13"/>
          <w:color w:val="auto"/>
        </w:rPr>
      </w:pPr>
    </w:p>
    <w:p>
      <w:pPr>
        <w:ind w:left="1040" w:hanging="576"/>
        <w:spacing w:after="0"/>
        <w:tabs>
          <w:tab w:leader="none" w:pos="104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074" w:right="319" w:bottom="1440" w:gutter="0" w:footer="0" w:header="0"/>
        </w:sectPr>
      </w:pPr>
    </w:p>
    <w:bookmarkStart w:id="75" w:name="page76"/>
    <w:bookmarkEnd w:id="75"/>
    <w:p>
      <w:pPr>
        <w:spacing w:after="0"/>
        <w:tabs>
          <w:tab w:leader="none" w:pos="5700" w:val="left"/>
          <w:tab w:leader="none" w:pos="6220" w:val="left"/>
        </w:tabs>
        <w:rPr>
          <w:sz w:val="20"/>
          <w:szCs w:val="20"/>
          <w:color w:val="auto"/>
        </w:rPr>
      </w:pPr>
      <w:r>
        <w:rPr>
          <w:rFonts w:ascii="Times New Roman" w:cs="Times New Roman" w:eastAsia="Times New Roman" w:hAnsi="Times New Roman"/>
          <w:sz w:val="13"/>
          <w:szCs w:val="13"/>
          <w:color w:val="auto"/>
        </w:rPr>
        <w:t>Date: August 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33655</wp:posOffset>
            </wp:positionV>
            <wp:extent cx="320294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202940" cy="6350"/>
                    </a:xfrm>
                    <a:prstGeom prst="rect">
                      <a:avLst/>
                    </a:prstGeom>
                    <a:noFill/>
                  </pic:spPr>
                </pic:pic>
              </a:graphicData>
            </a:graphic>
          </wp:anchor>
        </w:drawing>
      </w:r>
    </w:p>
    <w:p>
      <w:pPr>
        <w:spacing w:after="0" w:line="5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Interim Chief Financial Officer</w:t>
      </w:r>
    </w:p>
    <w:p>
      <w:pPr>
        <w:spacing w:after="0" w:line="6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1">
            <w:col w:w="10139"/>
          </w:cols>
          <w:pgMar w:left="320" w:top="1328" w:right="1440" w:bottom="1440"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960"/>
        <w:spacing w:after="0" w:line="222"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Quarterly Report of OPAL Fuels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on Form 10-Q for the three months ended June 30, 2024, as filed with the Securities and Exchange Commission on the date hereof</w:t>
      </w:r>
    </w:p>
    <w:p>
      <w:pPr>
        <w:spacing w:after="0" w:line="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3"/>
          <w:szCs w:val="13"/>
          <w:color w:val="auto"/>
        </w:rPr>
        <w:t>(the “Repor</w:t>
      </w:r>
      <w:r>
        <w:rPr>
          <w:rFonts w:ascii="Times New Roman" w:cs="Times New Roman" w:eastAsia="Times New Roman" w:hAnsi="Times New Roman"/>
          <w:sz w:val="13"/>
          <w:szCs w:val="13"/>
          <w:u w:val="single" w:color="auto"/>
          <w:color w:val="auto"/>
        </w:rPr>
        <w:t>t</w:t>
      </w:r>
      <w:r>
        <w:rPr>
          <w:rFonts w:ascii="Times New Roman" w:cs="Times New Roman" w:eastAsia="Times New Roman" w:hAnsi="Times New Roman"/>
          <w:sz w:val="13"/>
          <w:szCs w:val="13"/>
          <w:color w:val="auto"/>
          <w:highlight w:val="white"/>
        </w:rPr>
        <w:t>”), I, Adam Comora, Co-Chief Executive Officer of the Company, certify, pursuant to 18 U.S.C. Section 1350, as adopted pursuant to Section 906 of the Sarbanes-Oxley Act of 2002, that, to my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700" cy="571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0"/>
                    </a:xfrm>
                    <a:prstGeom prst="rect">
                      <a:avLst/>
                    </a:prstGeom>
                    <a:noFill/>
                  </pic:spPr>
                </pic:pic>
              </a:graphicData>
            </a:graphic>
          </wp:anchor>
        </w:drawing>
      </w:r>
    </w:p>
    <w:p>
      <w:pPr>
        <w:spacing w:after="0" w:line="69" w:lineRule="exact"/>
        <w:rPr>
          <w:sz w:val="20"/>
          <w:szCs w:val="20"/>
          <w:color w:val="auto"/>
        </w:rPr>
      </w:pPr>
    </w:p>
    <w:p>
      <w:pPr>
        <w:ind w:left="460" w:hanging="447"/>
        <w:spacing w:after="0"/>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230" w:lineRule="exact"/>
        <w:rPr>
          <w:rFonts w:ascii="Times New Roman" w:cs="Times New Roman" w:eastAsia="Times New Roman" w:hAnsi="Times New Roman"/>
          <w:sz w:val="13"/>
          <w:szCs w:val="13"/>
          <w:color w:val="auto"/>
        </w:rPr>
      </w:pPr>
    </w:p>
    <w:p>
      <w:pPr>
        <w:ind w:left="460" w:hanging="447"/>
        <w:spacing w:after="0"/>
        <w:tabs>
          <w:tab w:leader="none" w:pos="4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August 9, 2024</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33655</wp:posOffset>
            </wp:positionV>
            <wp:extent cx="326009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260090" cy="6350"/>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Name: Adam Comora</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1073" w:right="31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960"/>
        <w:spacing w:after="0" w:line="222"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Quarterly Report of OPAL Fuels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on Form 10-Q for the three months ended June 30, 2024, as filed with the Securities and Exchange Commission on the date hereof</w:t>
      </w:r>
    </w:p>
    <w:p>
      <w:pPr>
        <w:spacing w:after="0" w:line="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3"/>
          <w:szCs w:val="13"/>
          <w:color w:val="auto"/>
        </w:rPr>
        <w:t>(the “Repor</w:t>
      </w:r>
      <w:r>
        <w:rPr>
          <w:rFonts w:ascii="Times New Roman" w:cs="Times New Roman" w:eastAsia="Times New Roman" w:hAnsi="Times New Roman"/>
          <w:sz w:val="13"/>
          <w:szCs w:val="13"/>
          <w:u w:val="single" w:color="auto"/>
          <w:color w:val="auto"/>
        </w:rPr>
        <w:t>t</w:t>
      </w:r>
      <w:r>
        <w:rPr>
          <w:rFonts w:ascii="Times New Roman" w:cs="Times New Roman" w:eastAsia="Times New Roman" w:hAnsi="Times New Roman"/>
          <w:sz w:val="13"/>
          <w:szCs w:val="13"/>
          <w:color w:val="auto"/>
          <w:highlight w:val="white"/>
        </w:rPr>
        <w:t>”), I, Jonathan Maurer, Co-Chief Executive Officer of the Company, certify, pursuant to 18 U.S.C. Section 1350, as adopted pursuant to Section 906 of the Sarbanes-Oxley Act of 2002, that, to my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700" cy="571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0"/>
                    </a:xfrm>
                    <a:prstGeom prst="rect">
                      <a:avLst/>
                    </a:prstGeom>
                    <a:noFill/>
                  </pic:spPr>
                </pic:pic>
              </a:graphicData>
            </a:graphic>
          </wp:anchor>
        </w:drawing>
      </w:r>
    </w:p>
    <w:p>
      <w:pPr>
        <w:spacing w:after="0" w:line="69" w:lineRule="exact"/>
        <w:rPr>
          <w:sz w:val="20"/>
          <w:szCs w:val="20"/>
          <w:color w:val="auto"/>
        </w:rPr>
      </w:pPr>
    </w:p>
    <w:p>
      <w:pPr>
        <w:ind w:left="460" w:hanging="447"/>
        <w:spacing w:after="0"/>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230" w:lineRule="exact"/>
        <w:rPr>
          <w:rFonts w:ascii="Times New Roman" w:cs="Times New Roman" w:eastAsia="Times New Roman" w:hAnsi="Times New Roman"/>
          <w:sz w:val="13"/>
          <w:szCs w:val="13"/>
          <w:color w:val="auto"/>
        </w:rPr>
      </w:pPr>
    </w:p>
    <w:p>
      <w:pPr>
        <w:ind w:left="460" w:hanging="447"/>
        <w:spacing w:after="0"/>
        <w:tabs>
          <w:tab w:leader="none" w:pos="46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August 9, 2024</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33655</wp:posOffset>
            </wp:positionV>
            <wp:extent cx="326009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260090" cy="6350"/>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Name: Jonathan Maurer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Title: Co-Chief Executive Officer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(Co-Principal Executive Officer)</w:t>
      </w:r>
    </w:p>
    <w:p>
      <w:pPr>
        <w:sectPr>
          <w:pgSz w:w="11900" w:h="16838" w:orient="portrait"/>
          <w:cols w:equalWidth="0" w:num="1">
            <w:col w:w="11280"/>
          </w:cols>
          <w:pgMar w:left="300" w:top="1253" w:right="319" w:bottom="1440" w:gutter="0" w:footer="0" w:header="0"/>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3"/>
          <w:szCs w:val="13"/>
          <w:b w:val="1"/>
          <w:bCs w:val="1"/>
          <w:color w:val="auto"/>
        </w:rPr>
        <w:t>EXHIBIT 32.3</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ind w:left="3960"/>
        <w:spacing w:after="0" w:line="222" w:lineRule="auto"/>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ind w:left="39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the Quarterly Report of OPAL Fuels Inc.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on Form 10-Q for the three months ended June 30, 2024, as filed with the Securities and Exchange Commission on the date hereof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“Repor</w:t>
      </w:r>
      <w:r>
        <w:rPr>
          <w:rFonts w:ascii="Times New Roman" w:cs="Times New Roman" w:eastAsia="Times New Roman" w:hAnsi="Times New Roman"/>
          <w:sz w:val="13"/>
          <w:szCs w:val="13"/>
          <w:u w:val="single" w:color="auto"/>
          <w:color w:val="auto"/>
        </w:rPr>
        <w:t>t</w:t>
      </w:r>
      <w:r>
        <w:rPr>
          <w:rFonts w:ascii="Times New Roman" w:cs="Times New Roman" w:eastAsia="Times New Roman" w:hAnsi="Times New Roman"/>
          <w:sz w:val="13"/>
          <w:szCs w:val="13"/>
          <w:color w:val="auto"/>
          <w:highlight w:val="white"/>
        </w:rPr>
        <w:t>”), I, Ann Anthony, Chief Financial Officer of the Company, certify, pursuant to 18 U.S.C. Section 1350, as adopted pursuant to Section 906 of the Sarbanes-Oxley Act of 2002, that, to my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auto"/>
          <w:highlight w:val="white"/>
        </w:rPr>
        <w:t>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12700" cy="571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2700" cy="57150"/>
                    </a:xfrm>
                    <a:prstGeom prst="rect">
                      <a:avLst/>
                    </a:prstGeom>
                    <a:noFill/>
                  </pic:spPr>
                </pic:pic>
              </a:graphicData>
            </a:graphic>
          </wp:anchor>
        </w:drawing>
      </w:r>
    </w:p>
    <w:p>
      <w:pPr>
        <w:spacing w:after="0" w:line="207" w:lineRule="exact"/>
        <w:rPr>
          <w:sz w:val="20"/>
          <w:szCs w:val="20"/>
          <w:color w:val="auto"/>
        </w:rPr>
      </w:pPr>
    </w:p>
    <w:p>
      <w:pPr>
        <w:ind w:left="460" w:hanging="447"/>
        <w:spacing w:after="0"/>
        <w:tabs>
          <w:tab w:leader="none" w:pos="4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230" w:lineRule="exact"/>
        <w:rPr>
          <w:rFonts w:ascii="Times New Roman" w:cs="Times New Roman" w:eastAsia="Times New Roman" w:hAnsi="Times New Roman"/>
          <w:sz w:val="13"/>
          <w:szCs w:val="13"/>
          <w:color w:val="auto"/>
        </w:rPr>
      </w:pPr>
    </w:p>
    <w:p>
      <w:pPr>
        <w:ind w:left="460" w:hanging="447"/>
        <w:spacing w:after="0"/>
        <w:tabs>
          <w:tab w:leader="none" w:pos="4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August 9, 2024</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33655</wp:posOffset>
            </wp:positionV>
            <wp:extent cx="32600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260090" cy="6350"/>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Name: Scott Contino</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Title: Interim Chief Financial Officer</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color w:val="auto"/>
        </w:rPr>
        <w:t>(Principal Financial Officer)</w:t>
      </w:r>
    </w:p>
    <w:sectPr>
      <w:pgSz w:w="11900" w:h="16838" w:orient="portrait"/>
      <w:cols w:equalWidth="0" w:num="1">
        <w:col w:w="11280"/>
      </w:cols>
      <w:pgMar w:left="300" w:top="14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lowerRoman"/>
      <w:start w:val="3"/>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3"/>
    </w:lvl>
  </w:abstractNum>
  <w:abstractNum w:abstractNumId="18">
    <w:nsid w:val="737B8DDC"/>
    <w:multiLevelType w:val="hybridMultilevel"/>
    <w:lvl w:ilvl="0">
      <w:lvlJc w:val="left"/>
      <w:lvlText w:val="•"/>
      <w:numFmt w:val="bullet"/>
      <w:start w:val="1"/>
    </w:lvl>
    <w:lvl w:ilvl="1">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lvl w:ilvl="1">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lvl w:ilvl="1">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7"/>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lvl w:ilvl="1">
      <w:lvlJc w:val="left"/>
      <w:lvlText w:val="%2"/>
      <w:numFmt w:val="decimal"/>
      <w:start w:val="104"/>
    </w:lvl>
  </w:abstractNum>
  <w:abstractNum w:abstractNumId="37">
    <w:nsid w:val="153EA438"/>
    <w:multiLevelType w:val="hybridMultilevel"/>
    <w:lvl w:ilvl="0">
      <w:lvlJc w:val="left"/>
      <w:lvlText w:val="**"/>
      <w:numFmt w:val="bullet"/>
      <w:start w:val="1"/>
    </w:lvl>
    <w:lvl w:ilvl="1">
      <w:lvlJc w:val="left"/>
      <w:lvlText w:val="%2"/>
      <w:numFmt w:val="decimal"/>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97" Type="http://schemas.openxmlformats.org/officeDocument/2006/relationships/hyperlink" Target="https://www.sec.gov/Archives/edgar/data/1842279/000121390022046338/ea164030ex3-1_opal.htm" TargetMode="External"/><Relationship Id="rId98" Type="http://schemas.openxmlformats.org/officeDocument/2006/relationships/hyperlink" Target="https://www.sec.gov/Archives/edgar/data/1842279/000121390022042020/ea163248ex3-2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2024-08-09T15:29:44Z</dcterms:created>
  <dcterms:modified xsi:type="dcterms:W3CDTF">2024-08-09T15:29:44Z</dcterms:modified>
</cp:coreProperties>
</file>