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20955</wp:posOffset>
            </wp:positionV>
            <wp:extent cx="6993255" cy="5372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37273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Coghlin John</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NORTH LEXINGTON AVE, 14TH FLOOR</w:t>
      </w:r>
    </w:p>
    <w:p>
      <w:pPr>
        <w:spacing w:after="0" w:line="336"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WHITE</w:t>
            </w:r>
          </w:p>
        </w:tc>
        <w:tc>
          <w:tcPr>
            <w:tcW w:w="1120" w:type="dxa"/>
            <w:vAlign w:val="bottom"/>
            <w:vMerge w:val="restart"/>
          </w:tcPr>
          <w:p>
            <w:pPr>
              <w:ind w:left="320"/>
              <w:spacing w:after="0"/>
              <w:rPr>
                <w:sz w:val="20"/>
                <w:szCs w:val="20"/>
                <w:color w:val="auto"/>
              </w:rPr>
            </w:pPr>
            <w:r>
              <w:rPr>
                <w:rFonts w:ascii="Arial" w:cs="Arial" w:eastAsia="Arial" w:hAnsi="Arial"/>
                <w:sz w:val="17"/>
                <w:szCs w:val="17"/>
                <w:color w:val="0000FF"/>
              </w:rPr>
              <w:t>NY</w:t>
            </w:r>
          </w:p>
        </w:tc>
        <w:tc>
          <w:tcPr>
            <w:tcW w:w="1600" w:type="dxa"/>
            <w:vAlign w:val="bottom"/>
            <w:vMerge w:val="restart"/>
          </w:tcPr>
          <w:p>
            <w:pPr>
              <w:ind w:left="420"/>
              <w:spacing w:after="0"/>
              <w:rPr>
                <w:sz w:val="20"/>
                <w:szCs w:val="20"/>
                <w:color w:val="auto"/>
              </w:rPr>
            </w:pPr>
            <w:r>
              <w:rPr>
                <w:rFonts w:ascii="Arial" w:cs="Arial" w:eastAsia="Arial" w:hAnsi="Arial"/>
                <w:sz w:val="17"/>
                <w:szCs w:val="17"/>
                <w:color w:val="0000FF"/>
              </w:rPr>
              <w:t>10601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PLAINS</w:t>
            </w:r>
          </w:p>
        </w:tc>
        <w:tc>
          <w:tcPr>
            <w:tcW w:w="11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2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3820" w:type="dxa"/>
            <w:vAlign w:val="bottom"/>
            <w:gridSpan w:val="4"/>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 xml:space="preserve">OPAL Fuels Inc.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OPAL</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80" w:type="dxa"/>
            <w:vAlign w:val="bottom"/>
            <w:tcBorders>
              <w:bottom w:val="single" w:sz="8" w:color="0000EE"/>
            </w:tcBorders>
          </w:tcPr>
          <w:p>
            <w:pPr>
              <w:spacing w:after="0"/>
              <w:rPr>
                <w:sz w:val="3"/>
                <w:szCs w:val="3"/>
                <w:color w:val="auto"/>
              </w:rPr>
            </w:pPr>
          </w:p>
        </w:tc>
        <w:tc>
          <w:tcPr>
            <w:tcW w:w="2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60"/>
              <w:spacing w:after="0"/>
              <w:rPr>
                <w:sz w:val="20"/>
                <w:szCs w:val="20"/>
                <w:color w:val="auto"/>
              </w:rPr>
            </w:pPr>
            <w:r>
              <w:rPr>
                <w:rFonts w:ascii="Arial" w:cs="Arial" w:eastAsia="Arial" w:hAnsi="Arial"/>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460" w:type="dxa"/>
            <w:vAlign w:val="bottom"/>
            <w:gridSpan w:val="3"/>
          </w:tcPr>
          <w:p>
            <w:pPr>
              <w:ind w:left="60"/>
              <w:spacing w:after="0"/>
              <w:rPr>
                <w:sz w:val="20"/>
                <w:szCs w:val="20"/>
                <w:color w:val="auto"/>
              </w:rPr>
            </w:pPr>
            <w:r>
              <w:rPr>
                <w:rFonts w:ascii="Arial" w:cs="Arial" w:eastAsia="Arial" w:hAnsi="Arial"/>
                <w:sz w:val="17"/>
                <w:szCs w:val="17"/>
                <w:color w:val="0000FF"/>
              </w:rPr>
              <w:t>10/03/2023</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580"/>
              <w:spacing w:after="0"/>
              <w:rPr>
                <w:sz w:val="20"/>
                <w:szCs w:val="20"/>
                <w:color w:val="auto"/>
              </w:rPr>
            </w:pPr>
            <w:r>
              <w:rPr>
                <w:rFonts w:ascii="Arial" w:cs="Arial" w:eastAsia="Arial" w:hAnsi="Arial"/>
                <w:sz w:val="17"/>
                <w:szCs w:val="17"/>
                <w:color w:val="0000FF"/>
              </w:rPr>
              <w:t>General Counsel</w:t>
            </w:r>
          </w:p>
        </w:tc>
        <w:tc>
          <w:tcPr>
            <w:tcW w:w="0" w:type="dxa"/>
            <w:vAlign w:val="bottom"/>
          </w:tcPr>
          <w:p>
            <w:pPr>
              <w:spacing w:after="0"/>
              <w:rPr>
                <w:sz w:val="1"/>
                <w:szCs w:val="1"/>
                <w:color w:val="auto"/>
              </w:rPr>
            </w:pPr>
          </w:p>
        </w:tc>
      </w:tr>
      <w:tr>
        <w:trPr>
          <w:trHeight w:val="77"/>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9"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2"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9" w:lineRule="exact"/>
        <w:rPr>
          <w:sz w:val="24"/>
          <w:szCs w:val="24"/>
          <w:color w:val="auto"/>
        </w:rPr>
      </w:pPr>
    </w:p>
    <w:p>
      <w:pPr>
        <w:ind w:left="320" w:right="620"/>
        <w:spacing w:after="0" w:line="24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580" w:type="dxa"/>
            <w:vAlign w:val="bottom"/>
            <w:gridSpan w:val="6"/>
          </w:tcPr>
          <w:p>
            <w:pPr>
              <w:ind w:left="60"/>
              <w:spacing w:after="0" w:line="127"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80" w:type="dxa"/>
            <w:vAlign w:val="bottom"/>
            <w:gridSpan w:val="2"/>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560" w:type="dxa"/>
            <w:vAlign w:val="bottom"/>
          </w:tcPr>
          <w:p>
            <w:pPr>
              <w:ind w:left="240"/>
              <w:spacing w:after="0" w:line="130" w:lineRule="exact"/>
              <w:rPr>
                <w:sz w:val="20"/>
                <w:szCs w:val="20"/>
                <w:color w:val="auto"/>
              </w:rPr>
            </w:pPr>
            <w:r>
              <w:rPr>
                <w:rFonts w:ascii="Arial" w:cs="Arial" w:eastAsia="Arial" w:hAnsi="Arial"/>
                <w:sz w:val="12"/>
                <w:szCs w:val="12"/>
                <w:b w:val="1"/>
                <w:bCs w:val="1"/>
                <w:color w:val="auto"/>
                <w:w w:val="93"/>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gridSpan w:val="2"/>
          </w:tcPr>
          <w:p>
            <w:pPr>
              <w:jc w:val="center"/>
              <w:ind w:left="592"/>
              <w:spacing w:after="0"/>
              <w:rPr>
                <w:sz w:val="20"/>
                <w:szCs w:val="20"/>
                <w:color w:val="auto"/>
              </w:rPr>
            </w:pPr>
            <w:r>
              <w:rPr>
                <w:rFonts w:ascii="Arial" w:cs="Arial" w:eastAsia="Arial" w:hAnsi="Arial"/>
                <w:sz w:val="17"/>
                <w:szCs w:val="17"/>
                <w:color w:val="0000FF"/>
                <w:w w:val="91"/>
              </w:rPr>
              <w:t>10/03/2023</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ind w:left="260"/>
              <w:spacing w:after="0"/>
              <w:rPr>
                <w:sz w:val="20"/>
                <w:szCs w:val="20"/>
                <w:color w:val="auto"/>
              </w:rPr>
            </w:pPr>
            <w:r>
              <w:rPr>
                <w:rFonts w:ascii="Arial" w:cs="Arial" w:eastAsia="Arial" w:hAnsi="Arial"/>
                <w:sz w:val="17"/>
                <w:szCs w:val="17"/>
                <w:color w:val="0000FF"/>
                <w:w w:val="84"/>
              </w:rPr>
              <w:t>25,000</w:t>
            </w:r>
          </w:p>
        </w:tc>
        <w:tc>
          <w:tcPr>
            <w:tcW w:w="20" w:type="dxa"/>
            <w:vAlign w:val="bottom"/>
          </w:tcPr>
          <w:p>
            <w:pPr>
              <w:spacing w:after="0"/>
              <w:rPr>
                <w:sz w:val="22"/>
                <w:szCs w:val="22"/>
                <w:color w:val="auto"/>
              </w:rPr>
            </w:pPr>
          </w:p>
        </w:tc>
        <w:tc>
          <w:tcPr>
            <w:tcW w:w="5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16"/>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Arial" w:cs="Arial" w:eastAsia="Arial" w:hAnsi="Arial"/>
                <w:sz w:val="17"/>
                <w:szCs w:val="17"/>
                <w:color w:val="0000FF"/>
              </w:rPr>
              <w:t>25,000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80" w:type="dxa"/>
            <w:vAlign w:val="bottom"/>
            <w:tcBorders>
              <w:bottom w:val="single" w:sz="8" w:color="2C2C2C"/>
            </w:tcBorders>
            <w:gridSpan w:val="2"/>
          </w:tcPr>
          <w:p>
            <w:pPr>
              <w:jc w:val="center"/>
              <w:ind w:left="592"/>
              <w:spacing w:after="0"/>
              <w:rPr>
                <w:sz w:val="20"/>
                <w:szCs w:val="20"/>
                <w:color w:val="auto"/>
              </w:rPr>
            </w:pPr>
            <w:r>
              <w:rPr>
                <w:rFonts w:ascii="Arial" w:cs="Arial" w:eastAsia="Arial" w:hAnsi="Arial"/>
                <w:sz w:val="17"/>
                <w:szCs w:val="17"/>
                <w:color w:val="0000FF"/>
                <w:w w:val="91"/>
              </w:rPr>
              <w:t>10/03/2023</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321"/>
              <w:spacing w:after="0"/>
              <w:rPr>
                <w:sz w:val="20"/>
                <w:szCs w:val="20"/>
                <w:color w:val="auto"/>
              </w:rPr>
            </w:pPr>
            <w:r>
              <w:rPr>
                <w:rFonts w:ascii="Arial" w:cs="Arial" w:eastAsia="Arial" w:hAnsi="Arial"/>
                <w:sz w:val="25"/>
                <w:szCs w:val="25"/>
                <w:color w:val="0000FF"/>
                <w:vertAlign w:val="subscript"/>
              </w:rPr>
              <w:t>F</w:t>
            </w:r>
            <w:r>
              <w:rPr>
                <w:rFonts w:ascii="Arial" w:cs="Arial" w:eastAsia="Arial" w:hAnsi="Arial"/>
                <w:sz w:val="11"/>
                <w:szCs w:val="11"/>
                <w:color w:val="008000"/>
              </w:rPr>
              <w:t>(2)</w:t>
            </w:r>
          </w:p>
        </w:tc>
        <w:tc>
          <w:tcPr>
            <w:tcW w:w="74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w w:val="80"/>
              </w:rPr>
              <w:t>9,012</w:t>
            </w:r>
            <w:r>
              <w:rPr>
                <w:rFonts w:ascii="Arial" w:cs="Arial" w:eastAsia="Arial" w:hAnsi="Arial"/>
                <w:sz w:val="21"/>
                <w:szCs w:val="21"/>
                <w:color w:val="008000"/>
                <w:w w:val="80"/>
                <w:vertAlign w:val="superscript"/>
              </w:rPr>
              <w:t>(2)</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7.9</w:t>
            </w:r>
          </w:p>
        </w:tc>
        <w:tc>
          <w:tcPr>
            <w:tcW w:w="132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15,988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80" w:type="dxa"/>
            <w:vAlign w:val="bottom"/>
            <w:gridSpan w:val="10"/>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21"/>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3"/>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21"/>
              <w:spacing w:after="0" w:line="130"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gridSpan w:val="2"/>
            <w:vMerge w:val="restart"/>
          </w:tcPr>
          <w:p>
            <w:pPr>
              <w:jc w:val="right"/>
              <w:ind w:right="321"/>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40"/>
              <w:spacing w:after="0"/>
              <w:rPr>
                <w:sz w:val="20"/>
                <w:szCs w:val="20"/>
                <w:color w:val="auto"/>
              </w:rPr>
            </w:pPr>
            <w:r>
              <w:rPr>
                <w:rFonts w:ascii="Arial" w:cs="Arial" w:eastAsia="Arial" w:hAnsi="Arial"/>
                <w:sz w:val="11"/>
                <w:szCs w:val="11"/>
                <w:color w:val="008000"/>
              </w:rPr>
              <w:t>(3)</w:t>
            </w:r>
          </w:p>
        </w:tc>
        <w:tc>
          <w:tcPr>
            <w:tcW w:w="2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3"/>
                <w:szCs w:val="13"/>
                <w:color w:val="0000FF"/>
              </w:rPr>
              <w:t>Class A</w:t>
            </w:r>
          </w:p>
        </w:tc>
        <w:tc>
          <w:tcPr>
            <w:tcW w:w="540" w:type="dxa"/>
            <w:vAlign w:val="bottom"/>
            <w:vMerge w:val="restart"/>
          </w:tcPr>
          <w:p>
            <w:pPr>
              <w:jc w:val="right"/>
              <w:spacing w:after="0"/>
              <w:rPr>
                <w:sz w:val="20"/>
                <w:szCs w:val="20"/>
                <w:color w:val="auto"/>
              </w:rPr>
            </w:pPr>
            <w:r>
              <w:rPr>
                <w:rFonts w:ascii="Arial" w:cs="Arial" w:eastAsia="Arial" w:hAnsi="Arial"/>
                <w:sz w:val="17"/>
                <w:szCs w:val="17"/>
                <w:color w:val="0000FF"/>
                <w:w w:val="88"/>
              </w:rPr>
              <w:t>25,000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20" w:type="dxa"/>
            <w:vAlign w:val="bottom"/>
          </w:tcPr>
          <w:p>
            <w:pPr>
              <w:jc w:val="right"/>
              <w:ind w:right="120"/>
              <w:spacing w:after="0" w:line="143" w:lineRule="exact"/>
              <w:rPr>
                <w:sz w:val="20"/>
                <w:szCs w:val="20"/>
                <w:color w:val="auto"/>
              </w:rPr>
            </w:pPr>
            <w:r>
              <w:rPr>
                <w:rFonts w:ascii="Arial" w:cs="Arial" w:eastAsia="Arial" w:hAnsi="Arial"/>
                <w:sz w:val="13"/>
                <w:szCs w:val="13"/>
                <w:color w:val="0000FF"/>
              </w:rPr>
              <w:t>10/03/2023</w:t>
            </w:r>
          </w:p>
        </w:tc>
        <w:tc>
          <w:tcPr>
            <w:tcW w:w="1140" w:type="dxa"/>
            <w:vAlign w:val="bottom"/>
          </w:tcPr>
          <w:p>
            <w:pPr>
              <w:spacing w:after="0"/>
              <w:rPr>
                <w:sz w:val="12"/>
                <w:szCs w:val="12"/>
                <w:color w:val="auto"/>
              </w:rPr>
            </w:pPr>
          </w:p>
        </w:tc>
        <w:tc>
          <w:tcPr>
            <w:tcW w:w="74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900" w:type="dxa"/>
            <w:vAlign w:val="bottom"/>
          </w:tcPr>
          <w:p>
            <w:pPr>
              <w:ind w:left="460"/>
              <w:spacing w:after="0" w:line="143" w:lineRule="exact"/>
              <w:rPr>
                <w:sz w:val="20"/>
                <w:szCs w:val="20"/>
                <w:color w:val="auto"/>
              </w:rPr>
            </w:pPr>
            <w:r>
              <w:rPr>
                <w:rFonts w:ascii="Arial" w:cs="Arial" w:eastAsia="Arial" w:hAnsi="Arial"/>
                <w:sz w:val="13"/>
                <w:szCs w:val="13"/>
                <w:color w:val="0000FF"/>
              </w:rPr>
              <w:t>25,000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80" w:type="dxa"/>
            <w:vAlign w:val="bottom"/>
            <w:gridSpan w:val="2"/>
          </w:tcPr>
          <w:p>
            <w:pPr>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tcPr>
          <w:p>
            <w:pPr>
              <w:ind w:left="220"/>
              <w:spacing w:after="0" w:line="143" w:lineRule="exact"/>
              <w:rPr>
                <w:sz w:val="20"/>
                <w:szCs w:val="20"/>
                <w:color w:val="auto"/>
              </w:rPr>
            </w:pPr>
            <w:r>
              <w:rPr>
                <w:rFonts w:ascii="Arial" w:cs="Arial" w:eastAsia="Arial" w:hAnsi="Arial"/>
                <w:sz w:val="13"/>
                <w:szCs w:val="13"/>
                <w:color w:val="0000FF"/>
                <w:w w:val="90"/>
              </w:rPr>
              <w:t>82,498</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-2019300</wp:posOffset>
            </wp:positionV>
            <wp:extent cx="29210" cy="202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2438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3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at settlement, one share of Class A common stock. This transaction represents the settlement of restricted stock units in shares of Class A common stock on their scheduled vesting date.</w:t>
      </w:r>
    </w:p>
    <w:p>
      <w:pPr>
        <w:spacing w:after="0" w:line="24" w:lineRule="exact"/>
        <w:rPr>
          <w:rFonts w:ascii="Arial" w:cs="Arial" w:eastAsia="Arial" w:hAnsi="Arial"/>
          <w:sz w:val="13"/>
          <w:szCs w:val="13"/>
          <w:color w:val="008000"/>
        </w:rPr>
      </w:pPr>
    </w:p>
    <w:p>
      <w:pPr>
        <w:ind w:left="40" w:right="480" w:firstLine="3"/>
        <w:spacing w:after="0" w:line="251"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shares held by the Company to satisfy tax withholding requirements on vesting of restricted stock units. The total value of securities withheld was based on a price of $7.90 per share, the closing price of Class A common stock on October 3, 2023.</w:t>
      </w:r>
    </w:p>
    <w:p>
      <w:pPr>
        <w:spacing w:after="0" w:line="24" w:lineRule="exact"/>
        <w:rPr>
          <w:rFonts w:ascii="Arial" w:cs="Arial" w:eastAsia="Arial" w:hAnsi="Arial"/>
          <w:sz w:val="13"/>
          <w:szCs w:val="13"/>
          <w:color w:val="008000"/>
        </w:rPr>
      </w:pPr>
    </w:p>
    <w:p>
      <w:pPr>
        <w:ind w:left="40" w:right="280" w:firstLine="3"/>
        <w:spacing w:after="0" w:line="23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25,000 restricted stock units were awarded on October 4, 2022. This award vested in full on October 3, 2023. 82,498 restricted stock units were awarded on March 31, 2023 of which 32,880 restricted stock units are scheduled to vest on each March 31, 2024 and March 31, 2025 and 16,738 restricted stock units are scheduled to vest on March 31, 2026, provided that the Reporting Person remains in continuous service on the vesting date.</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John Coghlin as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10/05/2023</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0669" TargetMode="External"/><Relationship Id="rId13"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2023-10-05T15:18:04Z</dcterms:created>
  <dcterms:modified xsi:type="dcterms:W3CDTF">2023-10-05T15:18:04Z</dcterms:modified>
</cp:coreProperties>
</file>