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0" w:name="ea183305-s3a1_opalfuels.htm"/>
      <w:bookmarkStart w:id="1" w:name="ksea183305s3a1_opalfuels"/>
      <w:bookmarkEnd w:id="0"/>
      <w:bookmarkEnd w:id="1"/>
      <w:r>
        <w:rPr>
          <w:rFonts w:ascii="Times New Roman;Times;Serif" w:hAnsi="Times New Roman;Times;Serif"/>
          <w:b/>
          <w:i w:val="false"/>
          <w:caps w:val="false"/>
          <w:smallCaps w:val="false"/>
          <w:sz w:val="20"/>
        </w:rPr>
        <w:t>As filed with the Securities and Exchange Commission on August 11, 2023</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333-273584</w:t>
      </w:r>
      <w:r>
        <w:rPr>
          <w:rFonts w:ascii="Times New Roman;Times;Serif" w:hAnsi="Times New Roman;Times;Serif"/>
          <w:b w:val="false"/>
          <w:i w:val="false"/>
          <w:caps w:val="false"/>
          <w:smallCaps w:val="false"/>
          <w:sz w:val="20"/>
        </w:rPr>
        <w:t xml:space="preserve">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AMENDMENT NO. 1 TO</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OPAL FUELS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450" w:type="dxa"/>
        <w:jc w:val="left"/>
        <w:tblInd w:w="0" w:type="dxa"/>
        <w:tblLayout w:type="fixed"/>
        <w:tblCellMar>
          <w:top w:w="0" w:type="dxa"/>
          <w:left w:w="0" w:type="dxa"/>
          <w:bottom w:w="28" w:type="dxa"/>
          <w:right w:w="0" w:type="dxa"/>
        </w:tblCellMar>
      </w:tblPr>
      <w:tblGrid>
        <w:gridCol w:w="2495"/>
        <w:gridCol w:w="60"/>
        <w:gridCol w:w="1895"/>
      </w:tblGrid>
      <w:tr>
        <w:trPr/>
        <w:tc>
          <w:tcPr>
            <w:tcW w:w="2495" w:type="dxa"/>
            <w:tcBorders>
              <w:bottom w:val="single" w:sz="12" w:space="0" w:color="000000"/>
            </w:tcBorders>
            <w:vAlign w:val="center"/>
          </w:tcPr>
          <w:p>
            <w:pPr>
              <w:pStyle w:val="TableContents"/>
              <w:bidi w:val="0"/>
              <w:spacing w:before="0" w:after="283"/>
              <w:jc w:val="center"/>
              <w:rPr>
                <w:b/>
                <w:sz w:val="20"/>
              </w:rPr>
            </w:pPr>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12" w:space="0" w:color="000000"/>
            </w:tcBorders>
            <w:vAlign w:val="center"/>
          </w:tcPr>
          <w:p>
            <w:pPr>
              <w:pStyle w:val="TableContents"/>
              <w:bidi w:val="0"/>
              <w:spacing w:before="0" w:after="283"/>
              <w:jc w:val="center"/>
              <w:rPr>
                <w:b/>
                <w:sz w:val="20"/>
              </w:rPr>
            </w:pPr>
            <w:r>
              <w:rPr>
                <w:b/>
                <w:sz w:val="20"/>
              </w:rPr>
              <w:t>98-1578357</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North Lexington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1450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 Plains, New York 10601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(914) 705-4000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 Anthony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OPAL Fuels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North Lexington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1450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 Plains, New York 10601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(914) 705-4000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all communications, including communications sent to agent for service, should be sent to:</w:t>
      </w:r>
    </w:p>
    <w:p>
      <w:pPr>
        <w:pStyle w:val="TextBody"/>
        <w:bidi w:val="0"/>
        <w:spacing w:before="0" w:after="0"/>
        <w:ind w:left="0" w:right="0" w:hanging="0"/>
        <w:jc w:val="center"/>
        <w:rPr>
          <w:caps w:val="false"/>
          <w:smallCaps w:val="false"/>
        </w:rPr>
      </w:pPr>
      <w:r>
        <w:rPr>
          <w:caps w:val="false"/>
          <w:smallCaps w:val="false"/>
        </w:rPr>
        <w:t> </w:t>
      </w:r>
    </w:p>
    <w:tbl>
      <w:tblPr>
        <w:tblW w:w="3725" w:type="dxa"/>
        <w:jc w:val="left"/>
        <w:tblInd w:w="0" w:type="dxa"/>
        <w:tblLayout w:type="fixed"/>
        <w:tblCellMar>
          <w:top w:w="0" w:type="dxa"/>
          <w:left w:w="0" w:type="dxa"/>
          <w:bottom w:w="0" w:type="dxa"/>
          <w:right w:w="0" w:type="dxa"/>
        </w:tblCellMar>
      </w:tblPr>
      <w:tblGrid>
        <w:gridCol w:w="3725"/>
      </w:tblGrid>
      <w:tr>
        <w:trPr/>
        <w:tc>
          <w:tcPr>
            <w:tcW w:w="372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Edward M. Welch, Esq.</w:t>
              <w:br/>
              <w:t>Sheppard, Mullin, Richter &amp; Hampton LLP</w:t>
              <w:br/>
              <w:t>30 Rockefeller Plaza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10112</w:t>
              <w:br/>
              <w:t>Tel: (212) 653-8700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From time to time after this Registration Statement becomes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sz w:val="20"/>
              </w:rPr>
            </w:pPr>
            <w:r>
              <w:rPr>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sz w:val="20"/>
              </w:rPr>
            </w:pPr>
            <w:r>
              <w:rPr>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Securities Act.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 acting pursuant to said Section 8(a),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SUBJECT TO COMPLETION, DATED AUGUST 11, 2023</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2514600"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14600" cy="5905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OPAL FUELS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offer and sell, from time to time in one or more offerings, any combination of Class A common stock, preferred stock, warrants to purchase Class A common stock, preferred stock, or any combination of the foregoing, either individually or as units comprised of one or more of the other securities, having aggregate offering proceeds not exceeding $200 million.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a general description of the securities we may offer. Each time we sell a particular class or series of securities, we will provide specific terms of the securities offered in a supplement to this prospectus. The prospectus supplement and any related free writing prospectus may also add, update or change information contained in this prospectus. We may also authorize one or more free writing prospectuses to be provided to you in connection with these offerings. You should read carefully this prospectus, the applicable prospectus supplement and any related free writing prospectus, as well as any documents incorporated by reference herein or therein before you invest in any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terms of any securities to be offered, and the specific manner in which they may be offered, will be described in one or more supplements to this prospectus. This prospectus may not be used to consummate sales of any of these securities unless it is accompanied by a prospectus supplement. Before investing, you should carefully read this prospectus and any related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common stock is presently listed on The Nasdaq Capital Market under the symbol “OPAL.” On August 10, 2023, the last reported sale price of our Class A common stock was $7.33 per share. The applicable prospectus supplement will contain information, where applicable, as to any other listing on The Nasdaq Capital Market or any securities market or other exchange of the securities, if any, covered by the prospectus supplement. Prospective purchasers of our securities are urged to obtain current information as to the market prices of our securities, where applicable.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securities may be sold directly by us, through dealers or agents designated from time to time, to or through underwriters, dealers, or through a combination of these methods on a continuous or delayed basis. See “Plan of Distribution” in this prospectus. We may also describe the plan of distribution for any particular offering of our securities in a prospectus supplement. If any agents, underwriters or dealers are involved in the sale of any securities in respect of which this prospectus is being delivered, we will disclose their names and the nature of our arrangements with them in a prospectus supplement. The price to the public of such securities and the net proceeds we expect to receive from any such sale will also be included in a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that term is defined under the federal securities laws and, as such, are subject to certain reduced public company reporting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that are described in the “Risk Factors” section beginning on page 4 of this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6890"/>
        <w:gridCol w:w="275"/>
      </w:tblGrid>
      <w:tr>
        <w:trPr/>
        <w:tc>
          <w:tcPr>
            <w:tcW w:w="689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TRADEMARKS</w:t>
              </w:r>
            </w:hyperlink>
          </w:p>
        </w:tc>
        <w:tc>
          <w:tcPr>
            <w:tcW w:w="275" w:type="dxa"/>
            <w:tcBorders/>
            <w:shd w:fill="CCEEFF" w:val="clear"/>
            <w:vAlign w:val="center"/>
          </w:tcPr>
          <w:p>
            <w:pPr>
              <w:pStyle w:val="TableContents"/>
              <w:bidi w:val="0"/>
              <w:spacing w:before="0" w:after="283"/>
              <w:jc w:val="center"/>
              <w:rPr/>
            </w:pPr>
            <w:r>
              <w:rPr/>
              <w:t>ii</w:t>
            </w:r>
          </w:p>
        </w:tc>
      </w:tr>
      <w:tr>
        <w:trPr/>
        <w:tc>
          <w:tcPr>
            <w:tcW w:w="6890"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SELECTED DEFINITIONS</w:t>
              </w:r>
            </w:hyperlink>
          </w:p>
        </w:tc>
        <w:tc>
          <w:tcPr>
            <w:tcW w:w="275" w:type="dxa"/>
            <w:tcBorders/>
            <w:shd w:fill="FFFFFF" w:val="clear"/>
            <w:vAlign w:val="center"/>
          </w:tcPr>
          <w:p>
            <w:pPr>
              <w:pStyle w:val="TableContents"/>
              <w:bidi w:val="0"/>
              <w:spacing w:before="0" w:after="283"/>
              <w:jc w:val="center"/>
              <w:rPr/>
            </w:pPr>
            <w:r>
              <w:rPr/>
              <w:t>ii</w:t>
            </w:r>
          </w:p>
        </w:tc>
      </w:tr>
      <w:tr>
        <w:trPr/>
        <w:tc>
          <w:tcPr>
            <w:tcW w:w="689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ABOUT THIS PROSPECTUS</w:t>
              </w:r>
            </w:hyperlink>
          </w:p>
        </w:tc>
        <w:tc>
          <w:tcPr>
            <w:tcW w:w="275" w:type="dxa"/>
            <w:tcBorders/>
            <w:shd w:fill="CCEEFF" w:val="clear"/>
            <w:vAlign w:val="center"/>
          </w:tcPr>
          <w:p>
            <w:pPr>
              <w:pStyle w:val="TableContents"/>
              <w:bidi w:val="0"/>
              <w:spacing w:before="0" w:after="283"/>
              <w:jc w:val="center"/>
              <w:rPr/>
            </w:pPr>
            <w:r>
              <w:rPr/>
              <w:t>v</w:t>
            </w:r>
          </w:p>
        </w:tc>
      </w:tr>
      <w:tr>
        <w:trPr/>
        <w:tc>
          <w:tcPr>
            <w:tcW w:w="689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CAUTIONARY STATEMENT REGARDING FORWARD-LOOKING STATEMENTS</w:t>
              </w:r>
            </w:hyperlink>
          </w:p>
        </w:tc>
        <w:tc>
          <w:tcPr>
            <w:tcW w:w="275" w:type="dxa"/>
            <w:tcBorders/>
            <w:shd w:fill="FFFFFF" w:val="clear"/>
            <w:vAlign w:val="center"/>
          </w:tcPr>
          <w:p>
            <w:pPr>
              <w:pStyle w:val="TableContents"/>
              <w:bidi w:val="0"/>
              <w:spacing w:before="0" w:after="283"/>
              <w:jc w:val="center"/>
              <w:rPr/>
            </w:pPr>
            <w:r>
              <w:rPr/>
              <w:t>vi</w:t>
            </w:r>
          </w:p>
        </w:tc>
      </w:tr>
      <w:tr>
        <w:trPr/>
        <w:tc>
          <w:tcPr>
            <w:tcW w:w="689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SUMMARY</w:t>
              </w:r>
            </w:hyperlink>
          </w:p>
        </w:tc>
        <w:tc>
          <w:tcPr>
            <w:tcW w:w="275" w:type="dxa"/>
            <w:tcBorders/>
            <w:shd w:fill="CCEEFF" w:val="clear"/>
            <w:vAlign w:val="center"/>
          </w:tcPr>
          <w:p>
            <w:pPr>
              <w:pStyle w:val="TableContents"/>
              <w:bidi w:val="0"/>
              <w:spacing w:before="0" w:after="283"/>
              <w:jc w:val="center"/>
              <w:rPr/>
            </w:pPr>
            <w:r>
              <w:rPr/>
              <w:t>1</w:t>
            </w:r>
          </w:p>
        </w:tc>
      </w:tr>
      <w:tr>
        <w:trPr/>
        <w:tc>
          <w:tcPr>
            <w:tcW w:w="6890"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RISK FACTORS</w:t>
              </w:r>
            </w:hyperlink>
          </w:p>
        </w:tc>
        <w:tc>
          <w:tcPr>
            <w:tcW w:w="275" w:type="dxa"/>
            <w:tcBorders/>
            <w:shd w:fill="FFFFFF" w:val="clear"/>
            <w:vAlign w:val="center"/>
          </w:tcPr>
          <w:p>
            <w:pPr>
              <w:pStyle w:val="TableContents"/>
              <w:bidi w:val="0"/>
              <w:spacing w:before="0" w:after="283"/>
              <w:jc w:val="center"/>
              <w:rPr/>
            </w:pPr>
            <w:r>
              <w:rPr/>
              <w:t>4</w:t>
            </w:r>
          </w:p>
        </w:tc>
      </w:tr>
      <w:tr>
        <w:trPr/>
        <w:tc>
          <w:tcPr>
            <w:tcW w:w="689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USE OF PROCEEDS</w:t>
              </w:r>
            </w:hyperlink>
          </w:p>
        </w:tc>
        <w:tc>
          <w:tcPr>
            <w:tcW w:w="275" w:type="dxa"/>
            <w:tcBorders/>
            <w:shd w:fill="CCEEFF" w:val="clear"/>
            <w:vAlign w:val="center"/>
          </w:tcPr>
          <w:p>
            <w:pPr>
              <w:pStyle w:val="TableContents"/>
              <w:bidi w:val="0"/>
              <w:spacing w:before="0" w:after="283"/>
              <w:jc w:val="center"/>
              <w:rPr/>
            </w:pPr>
            <w:r>
              <w:rPr/>
              <w:t>4</w:t>
            </w:r>
          </w:p>
        </w:tc>
      </w:tr>
      <w:tr>
        <w:trPr/>
        <w:tc>
          <w:tcPr>
            <w:tcW w:w="6890"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DESCRIPTION OF CAPITAL STOCK</w:t>
              </w:r>
            </w:hyperlink>
            <w:r>
              <w:rPr/>
              <w:t xml:space="preserve"> </w:t>
            </w:r>
          </w:p>
        </w:tc>
        <w:tc>
          <w:tcPr>
            <w:tcW w:w="275" w:type="dxa"/>
            <w:tcBorders/>
            <w:shd w:fill="FFFFFF" w:val="clear"/>
            <w:vAlign w:val="center"/>
          </w:tcPr>
          <w:p>
            <w:pPr>
              <w:pStyle w:val="TableContents"/>
              <w:bidi w:val="0"/>
              <w:spacing w:before="0" w:after="283"/>
              <w:jc w:val="center"/>
              <w:rPr/>
            </w:pPr>
            <w:r>
              <w:rPr/>
              <w:t xml:space="preserve">4 </w:t>
            </w:r>
          </w:p>
        </w:tc>
      </w:tr>
      <w:tr>
        <w:trPr/>
        <w:tc>
          <w:tcPr>
            <w:tcW w:w="6890"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DESCRIPTION OF WARRANTS</w:t>
              </w:r>
            </w:hyperlink>
          </w:p>
        </w:tc>
        <w:tc>
          <w:tcPr>
            <w:tcW w:w="275" w:type="dxa"/>
            <w:tcBorders/>
            <w:shd w:fill="CCEEFF" w:val="clear"/>
            <w:vAlign w:val="center"/>
          </w:tcPr>
          <w:p>
            <w:pPr>
              <w:pStyle w:val="TableContents"/>
              <w:bidi w:val="0"/>
              <w:spacing w:before="0" w:after="283"/>
              <w:jc w:val="center"/>
              <w:rPr/>
            </w:pPr>
            <w:r>
              <w:rPr/>
              <w:t>12</w:t>
            </w:r>
          </w:p>
        </w:tc>
      </w:tr>
      <w:tr>
        <w:trPr/>
        <w:tc>
          <w:tcPr>
            <w:tcW w:w="6890" w:type="dxa"/>
            <w:tcBorders/>
            <w:shd w:fill="FFFF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DESCRIPTION OF UNITS</w:t>
              </w:r>
            </w:hyperlink>
          </w:p>
        </w:tc>
        <w:tc>
          <w:tcPr>
            <w:tcW w:w="275" w:type="dxa"/>
            <w:tcBorders/>
            <w:shd w:fill="FFFFFF" w:val="clear"/>
            <w:vAlign w:val="center"/>
          </w:tcPr>
          <w:p>
            <w:pPr>
              <w:pStyle w:val="TableContents"/>
              <w:bidi w:val="0"/>
              <w:spacing w:before="0" w:after="283"/>
              <w:jc w:val="center"/>
              <w:rPr/>
            </w:pPr>
            <w:r>
              <w:rPr/>
              <w:t>14</w:t>
            </w:r>
          </w:p>
        </w:tc>
      </w:tr>
      <w:tr>
        <w:trPr/>
        <w:tc>
          <w:tcPr>
            <w:tcW w:w="6890"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LEGAL OWNERSHIP OF SECURITIES</w:t>
              </w:r>
            </w:hyperlink>
          </w:p>
        </w:tc>
        <w:tc>
          <w:tcPr>
            <w:tcW w:w="275" w:type="dxa"/>
            <w:tcBorders/>
            <w:shd w:fill="CCEEFF" w:val="clear"/>
            <w:vAlign w:val="center"/>
          </w:tcPr>
          <w:p>
            <w:pPr>
              <w:pStyle w:val="TableContents"/>
              <w:bidi w:val="0"/>
              <w:spacing w:before="0" w:after="283"/>
              <w:jc w:val="center"/>
              <w:rPr/>
            </w:pPr>
            <w:r>
              <w:rPr/>
              <w:t>15</w:t>
            </w:r>
          </w:p>
        </w:tc>
      </w:tr>
      <w:tr>
        <w:trPr/>
        <w:tc>
          <w:tcPr>
            <w:tcW w:w="6890"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PLAN OF DISTRIBUTION</w:t>
              </w:r>
            </w:hyperlink>
          </w:p>
        </w:tc>
        <w:tc>
          <w:tcPr>
            <w:tcW w:w="275" w:type="dxa"/>
            <w:tcBorders/>
            <w:shd w:fill="FFFFFF" w:val="clear"/>
            <w:vAlign w:val="center"/>
          </w:tcPr>
          <w:p>
            <w:pPr>
              <w:pStyle w:val="TableContents"/>
              <w:bidi w:val="0"/>
              <w:spacing w:before="0" w:after="283"/>
              <w:jc w:val="center"/>
              <w:rPr/>
            </w:pPr>
            <w:r>
              <w:rPr/>
              <w:t>18</w:t>
            </w:r>
          </w:p>
        </w:tc>
      </w:tr>
      <w:tr>
        <w:trPr/>
        <w:tc>
          <w:tcPr>
            <w:tcW w:w="6890"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LEGAL MATTERS</w:t>
              </w:r>
            </w:hyperlink>
          </w:p>
        </w:tc>
        <w:tc>
          <w:tcPr>
            <w:tcW w:w="275" w:type="dxa"/>
            <w:tcBorders/>
            <w:shd w:fill="CCEEFF" w:val="clear"/>
            <w:vAlign w:val="center"/>
          </w:tcPr>
          <w:p>
            <w:pPr>
              <w:pStyle w:val="TableContents"/>
              <w:bidi w:val="0"/>
              <w:spacing w:before="0" w:after="283"/>
              <w:jc w:val="center"/>
              <w:rPr/>
            </w:pPr>
            <w:r>
              <w:rPr/>
              <w:t>20</w:t>
            </w:r>
          </w:p>
        </w:tc>
      </w:tr>
      <w:tr>
        <w:trPr/>
        <w:tc>
          <w:tcPr>
            <w:tcW w:w="6890" w:type="dxa"/>
            <w:tcBorders/>
            <w:shd w:fill="FFFF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EXPERTS</w:t>
              </w:r>
            </w:hyperlink>
          </w:p>
        </w:tc>
        <w:tc>
          <w:tcPr>
            <w:tcW w:w="275" w:type="dxa"/>
            <w:tcBorders/>
            <w:shd w:fill="FFFFFF" w:val="clear"/>
            <w:vAlign w:val="center"/>
          </w:tcPr>
          <w:p>
            <w:pPr>
              <w:pStyle w:val="TableContents"/>
              <w:bidi w:val="0"/>
              <w:spacing w:before="0" w:after="283"/>
              <w:jc w:val="center"/>
              <w:rPr/>
            </w:pPr>
            <w:r>
              <w:rPr/>
              <w:t>20</w:t>
            </w:r>
          </w:p>
        </w:tc>
      </w:tr>
      <w:tr>
        <w:trPr/>
        <w:tc>
          <w:tcPr>
            <w:tcW w:w="6890"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WHERE YOU CAN FIND MORE INFORMATION</w:t>
              </w:r>
            </w:hyperlink>
          </w:p>
        </w:tc>
        <w:tc>
          <w:tcPr>
            <w:tcW w:w="275" w:type="dxa"/>
            <w:tcBorders/>
            <w:shd w:fill="CCEEFF" w:val="clear"/>
            <w:vAlign w:val="center"/>
          </w:tcPr>
          <w:p>
            <w:pPr>
              <w:pStyle w:val="TableContents"/>
              <w:bidi w:val="0"/>
              <w:spacing w:before="0" w:after="283"/>
              <w:jc w:val="center"/>
              <w:rPr/>
            </w:pPr>
            <w:r>
              <w:rPr/>
              <w:t>20</w:t>
            </w:r>
          </w:p>
        </w:tc>
      </w:tr>
      <w:tr>
        <w:trPr/>
        <w:tc>
          <w:tcPr>
            <w:tcW w:w="6890" w:type="dxa"/>
            <w:tcBorders/>
            <w:shd w:fill="FFFF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INCORPORATION OF CERTAIN INFORMATION BY REFERENCE</w:t>
              </w:r>
            </w:hyperlink>
          </w:p>
        </w:tc>
        <w:tc>
          <w:tcPr>
            <w:tcW w:w="275" w:type="dxa"/>
            <w:tcBorders/>
            <w:shd w:fill="FFFFFF" w:val="clear"/>
            <w:vAlign w:val="center"/>
          </w:tcPr>
          <w:p>
            <w:pPr>
              <w:pStyle w:val="TableContents"/>
              <w:bidi w:val="0"/>
              <w:spacing w:before="0" w:after="283"/>
              <w:jc w:val="center"/>
              <w:rPr/>
            </w:pPr>
            <w:r>
              <w:rPr/>
              <w:t>21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TRADEMARKS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contains references to trademarks and service marks belonging to other entities. Solely for convenience, trademarks and trade names referred to in this prospectus may appear without the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SELECTED DEFINITIONS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used in this prospectus, unless the context otherwise requires: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BCA” or “Business Combination Agreement” refers to the Business Combination Agreement dated as of December 2, 2021 (as the same has been or may be amended, modified, supplemented or waived from time to time), by and among ArcLight, Opco and OPAL Holdco.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Business Combination” refers to the transaction contemplated by the BCA.</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Bylaws” refers to the bylaws of OPAL.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Charter” refers to certificate of incorporation of OPAL.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Class A common stock” refers to the shares of Class A common stock, par value $0.0001 per share, of OPAL.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Class A Units” refers to the Class A Units as defined in the Second A&amp;R LLC Agreement.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Class B common stock” refers to the shares of Class B common stock, par value $0.0001 per share, of OPAL.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Class B Units” refers to the Class B Units as defined in the Second A&amp;R LLC Agreement.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Class C common stock” refers to the shares of Class C common stock, par value $0.0001 per share, of OPAL.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Class D common stock” refers to the shares of Class D common stock, par value $0.0001 per share, of OPAL.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r>
        <w:rPr>
          <w:rFonts w:ascii="Times New Roman;Times;Serif" w:hAnsi="Times New Roman;Times;Serif"/>
          <w:b w:val="false"/>
          <w:i/>
          <w:caps w:val="false"/>
          <w:smallCaps w:val="false"/>
          <w:sz w:val="20"/>
        </w:rPr>
        <w:t>Closing” refers to the closing of the Business Combination.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Common Stock” refers to the collective shares of Class A common stock, Class B common stock, Class C common stock and Class D common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Company”, “we”, “our”, “us” or similar terms refers to OPAL Fuels Inc. individually or on a consolidated basis, as the context may require.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Exchange Act” refers to the Securities Exchange Act of 1934, as amended.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Fortistar” refers to Fortistar LLC, a Delaware limited liability company.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Fueling Stations” refers to facilities where (i) natural gas is dispensed into fuel tanks of vehicles for use as transportation fuel, and (ii) transactional data from the dispensing of the fuel is recorded so that Environmental Attributes can be subsequently reported, matched with the dispensed fuel to the extent sourced from RNG, and generated under the federal or state RFS or LCFS programs and other current and potential future programs aimed at providing support for RNG into the transportation market. At the Fueling Stations, the natural gas is pressurized using compressor systems and, in this state, is referred to as </w:t>
      </w:r>
      <w:r>
        <w:rPr>
          <w:rFonts w:ascii="Times New Roman;Times;Serif" w:hAnsi="Times New Roman;Times;Serif"/>
          <w:b w:val="false"/>
          <w:i w:val="false"/>
          <w:caps w:val="false"/>
          <w:smallCaps w:val="false"/>
          <w:sz w:val="20"/>
        </w:rPr>
        <w:t xml:space="preserve">CNG. </w:t>
      </w:r>
      <w:r>
        <w:rPr>
          <w:rFonts w:ascii="Times New Roman;Times;Serif" w:hAnsi="Times New Roman;Times;Serif"/>
          <w:b w:val="false"/>
          <w:i/>
          <w:caps w:val="false"/>
          <w:smallCaps w:val="false"/>
          <w:sz w:val="20"/>
        </w:rPr>
        <w:t>Because Environmental Attributes associated with RNG are nominated/assigned to the physical quantity of CNG dispensed at the Fueling Station, when the CNG is dispensed into to fuel tanks for use as transportation fuel and subsequently reported to the EPA and/or state environmental agency and matched with the production of RNG, the respective RINs and LCFS credits are generated. Some of these stations are designed, developed, constructed, operated and maintained by us while others are third party stations where we may only provide maintenance services.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Hillman” refers to Hillman RNG Investments, LLC, a Delaware limited liability company.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Investor Rights Agreement” refers to the Investor Rights Agreement, dated July 21, 2022, by and among OPAL Fuels Inc., each of the Sellers named therein, the Sponsor and the Sponsor Principals as included in Exhibit 10.7 to the Current Report on Form 8-K, filed with the SEC on July 27, 2021, as the same may be amended, modified, supplemented or waived from time to time in accordance with its terms.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IPO” refers to ArcLight’s initial public offering of its Class A ordinary shares and ArcLight Public Warrants pursuant to the IPO Registration Statement and completed on March 25, 2021.</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IPO Registration Statement” refers to ArcLight’s Registration Statement on Form S-1, filed with the SEC (File No. 333-252730), on March 22, 2021.</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NextEra” refers to Mendocino Capital, LLC, a Delaware limited liability company.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OPAL” and “OPAL Fuels” refers to OPAL Fuels Inc., a Delaware corporation.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OPAL Preferred Stock” refers to our shares of preferred stock, par value $0.0001 per share.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Opco Common Units” refers to the Class B Units resulting from the re-classification of the collective Opco common units existing immediately prior to the Closing.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Organizational Documents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refers to the Charter and the Bylaws</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Person” means an individual, partnership, corporation, limited liability company, joint stock company, unincorporated organization or association, trust, joint venture or other similar entity, whether or not a legal entity.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PIPE Investors” refers, collectively, to the institutional and accredited investors that entered into Subscription Agreements with ArcLight.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Private Placement Warrants” refers to the 9,223,261 redeemable warrants that were exchanged for the ArcLight Private Placement Warrants in connection with the Closing, and which were subsequently exchanged for Class A common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Public Warrants” refers to the 6,223,233 redeemable warrants exchanged for the ArcLight Public Warrants in connection with the Closing, and which were subsequently exchanged for Class A common stock</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Sarbanes-Oxley Act” refers to the Sarbanes-Oxley Act of 2002.</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Second A&amp;R LLC Agreement” refers to the Second Amended and Restated Limited Liability Company Agreement of Opco.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Securities Act” refers to the Securities Act of 1933, as amended.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Subscription Agreements” refer to the subscription agreements (as amended from time to time) that ArcLight entered into in connection with the Business Combination Agreement, each dated as of December 2, 2021.</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Warrants” refers collectively to the Private Placement Warrants together with the Public Warrants.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following is a glossary of key industry terms used herein: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Biogas Conversion Projects” refers to projects derived from the recovery and processing of biogas from landfills and other non-fossil fuel sources, such as livestock and dairy farms, for beneficial use as a replacement to fossil fuels.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Btu” refers to British thermal units.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CNG” refers to compressed natural gas.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Environmental Attributes” refer to federal, state and local government incentives in the United States, provided in the form of RINs, RECs, LCFS credits, rebates, tax credits and other incentives to end users, distributors, system integrators and manufacturers of renewable energy projects, that promote the use of renewable energy.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EPA” refers to the U.S. Environmental Protection Agency.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LCFS” refers to Low Carbon Fuel Standard or similar types of federal and state programs.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RECs” refers to renewable energy credits.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Renewable Power” refers to electricity generated from renewable sources.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RFS” refers to the EPA’s Renewable Fuel Standard.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RINs” refers to Renewable Identification Numbers.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RNG” refers to renewable natural gas.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is part of a registration statement that we filed with the U.S. Securities and Exchange Commission (“SEC”) using a “shelf” registration process. Under this shelf registration statement, we may sell from time to time in one or more offerings of Class A common stock, preferred stock and/or warrants to purchase any of such securities, either individually or as units comprised of a combination of one or more of the other securities in one or more offerings up to a total dollar amount of $200 million. This prospectus provides you with a general description of the securities we may offer. Each time we sell any type or series of securities under this prospectus, we will provide a prospectus supplement that will contain more specific information about the terms of that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does not contain all of the information included in the registration statement. For a more complete understanding of the offering of the securities, you should refer to the registration statement, including its exhibits. We may add, update or change, in a prospectus supplement or free writing prospectus, any of the information contained in this prospectus or in the documents we have incorporated by reference into this prospectus. We may also authorize one or more free writing prospectuses to be provided to you that may contain material information relating to these offerings.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You should carefully read both this prospectus and the applicable prospectus supplement and any related free writing prospectus, together with the additional information described under “Where You Can Find More Information,” before buying any of the securities being offered.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authorized any dealer, agent or other person to give any information or to make any representation other than those contained or incorporated by reference in this prospectus, any accompanying prospectus supplement or any related free writing prospectus that we may authorize to be provided to you. You must not rely upon any information or representation not contained or incorporated by reference in this prospectus or an accompanying prospectus supplement, or any related free writing prospectus that we may authorize to be provided to you. This prospectus, the accompanying prospectus supplement and any related free writing prospectus, if any, do not constitute an offer to sell or the solicitation of an offer to buy any securities other than the registered securities to which they relate, nor do this prospectus, the accompanying prospectus supplement or any related free writing prospectus, if any, constitute an offer to sell or the solicitation of an offer to buy securities in any jurisdiction to any person to whom it is unlawful to make such offer or solicitation in such jurisdiction. 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(as our business, financial condition, results of operations and prospects may have changed since that date), even though this prospectus, any applicable prospectus supplement or any related free writing prospectus is delivered or securities are sold on a later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the rules and regulations of the SEC, the registration statement, of which this prospectus forms a part, includes additional information not contained in this prospectus. You may read the registration statement and the other reports we file with the SEC at the SEC’s web site or at the SEC’s offices described below under the heading “Where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References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“the Company,” “we,” “us,” and “our” refer to OPAL Fuels Inc., a Delaware corporation, and its subsidiaries, unless the context otherwise requires.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made in this prospectus are “forward-looking statements.” Words such as “estimates,” “projected,” “expects,”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that could cause actual results or outcomes to differ materially from those discussed in the forward-looking statements. Important factors, among others, that may affect actual results or outcomes include: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failure to realize the benefits of the Business Combination, which may be affected by, among other things, competition, our ability to grow and manage growth profitably, maintain relationships with customers and suppliers and retain key employees;</w:t>
            </w:r>
          </w:p>
        </w:tc>
      </w:tr>
    </w:tbl>
    <w:p>
      <w:pPr>
        <w:pStyle w:val="TextBody"/>
        <w:bidi w:val="0"/>
        <w:spacing w:before="0" w:after="0"/>
        <w:ind w:left="960" w:right="0" w:hanging="480"/>
        <w:jc w:val="both"/>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75"/>
        <w:gridCol w:w="170"/>
        <w:gridCol w:w="71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both"/>
              <w:rPr>
                <w:sz w:val="20"/>
              </w:rPr>
            </w:pPr>
            <w:r>
              <w:rPr>
                <w:sz w:val="20"/>
              </w:rPr>
              <w:t>our success in retaining or recruiting, our principal officers, key employees or directors;</w:t>
            </w:r>
          </w:p>
        </w:tc>
      </w:tr>
    </w:tbl>
    <w:p>
      <w:pPr>
        <w:pStyle w:val="TextBody"/>
        <w:bidi w:val="0"/>
        <w:spacing w:before="0" w:after="0"/>
        <w:ind w:left="960" w:right="0" w:hanging="480"/>
        <w:jc w:val="both"/>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75"/>
        <w:gridCol w:w="170"/>
        <w:gridCol w:w="85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both"/>
              <w:rPr>
                <w:sz w:val="20"/>
              </w:rPr>
            </w:pPr>
            <w:r>
              <w:rPr>
                <w:sz w:val="20"/>
              </w:rPr>
              <w:t>intense competition and competitive pressures from other companies in the industry in which we operate;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increased costs of, or delays in obtaining, key components or labor for the construction and completion of landfill gas and livestock waste projects that generate electricity, and RNG, CNG and hydrogen dispensing stations;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factors relating to our business, operations and financial performance, including market conditions and global and economic factors beyond our control;</w:t>
            </w:r>
          </w:p>
        </w:tc>
      </w:tr>
    </w:tbl>
    <w:p>
      <w:pPr>
        <w:pStyle w:val="TextBody"/>
        <w:bidi w:val="0"/>
        <w:spacing w:before="0" w:after="0"/>
        <w:ind w:left="960" w:right="0" w:hanging="48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75"/>
        <w:gridCol w:w="170"/>
        <w:gridCol w:w="57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both"/>
              <w:rPr>
                <w:sz w:val="20"/>
              </w:rPr>
            </w:pPr>
            <w:r>
              <w:rPr>
                <w:sz w:val="20"/>
              </w:rPr>
              <w:t>macroeconomic conditions related to the global COVID-19 pandemic;</w:t>
            </w:r>
          </w:p>
        </w:tc>
      </w:tr>
    </w:tbl>
    <w:p>
      <w:pPr>
        <w:pStyle w:val="TextBody"/>
        <w:bidi w:val="0"/>
        <w:spacing w:before="0" w:after="0"/>
        <w:ind w:left="960" w:right="0" w:hanging="480"/>
        <w:jc w:val="both"/>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75"/>
        <w:gridCol w:w="170"/>
        <w:gridCol w:w="79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both"/>
              <w:rPr>
                <w:sz w:val="20"/>
              </w:rPr>
            </w:pPr>
            <w:r>
              <w:rPr>
                <w:sz w:val="20"/>
              </w:rPr>
              <w:t>the reduction or elimination of government economic incentives to the renewable energy market;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factors associated with companies, such as us, that are engaged in the production and integration of RNG, including (i) anticipated trends, growth rates and challenges in those businesses and in the markets in which they operate (ii) contractual arrangements with, and the cooperation of, owners and operators of landfill and livestock Biogas Conversion Project sites on which we operate our landfill gas and livestock waste projects that generate electricity and (iii) RNG prices for Environmental Attributes, low carbon fuel standard credits and other incentives;</w:t>
            </w:r>
          </w:p>
        </w:tc>
      </w:tr>
    </w:tbl>
    <w:p>
      <w:pPr>
        <w:pStyle w:val="TextBody"/>
        <w:bidi w:val="0"/>
        <w:spacing w:before="0" w:after="0"/>
        <w:ind w:left="960" w:right="0" w:hanging="480"/>
        <w:jc w:val="both"/>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75"/>
        <w:gridCol w:w="170"/>
        <w:gridCol w:w="75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50" w:type="dxa"/>
            <w:tcBorders/>
            <w:vAlign w:val="center"/>
          </w:tcPr>
          <w:p>
            <w:pPr>
              <w:pStyle w:val="TableContents"/>
              <w:bidi w:val="0"/>
              <w:spacing w:before="0" w:after="283"/>
              <w:jc w:val="both"/>
              <w:rPr>
                <w:sz w:val="20"/>
              </w:rPr>
            </w:pPr>
            <w:r>
              <w:rPr>
                <w:sz w:val="20"/>
              </w:rPr>
              <w:t>the ability to identify, acquire, develop and operate renewable projects and Fueling Stations;</w:t>
            </w:r>
          </w:p>
        </w:tc>
      </w:tr>
    </w:tbl>
    <w:p>
      <w:pPr>
        <w:pStyle w:val="TextBody"/>
        <w:bidi w:val="0"/>
        <w:spacing w:before="0" w:after="0"/>
        <w:ind w:left="960" w:right="0" w:hanging="480"/>
        <w:jc w:val="both"/>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75"/>
        <w:gridCol w:w="170"/>
        <w:gridCol w:w="63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65" w:type="dxa"/>
            <w:tcBorders/>
            <w:vAlign w:val="center"/>
          </w:tcPr>
          <w:p>
            <w:pPr>
              <w:pStyle w:val="TableContents"/>
              <w:bidi w:val="0"/>
              <w:spacing w:before="0" w:after="283"/>
              <w:jc w:val="both"/>
              <w:rPr>
                <w:sz w:val="20"/>
              </w:rPr>
            </w:pPr>
            <w:r>
              <w:rPr>
                <w:sz w:val="20"/>
              </w:rPr>
              <w:t>our ability to issue equity or equity-linked securities or obtain debt financing;</w:t>
            </w:r>
          </w:p>
        </w:tc>
      </w:tr>
    </w:tbl>
    <w:p>
      <w:pPr>
        <w:pStyle w:val="TextBody"/>
        <w:bidi w:val="0"/>
        <w:spacing w:before="0" w:after="0"/>
        <w:ind w:left="960" w:right="0" w:hanging="480"/>
        <w:jc w:val="both"/>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75"/>
        <w:gridCol w:w="170"/>
        <w:gridCol w:w="44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both"/>
              <w:rPr>
                <w:sz w:val="20"/>
              </w:rPr>
            </w:pPr>
            <w:r>
              <w:rPr>
                <w:sz w:val="20"/>
              </w:rPr>
              <w:t>the demand for renewable energy not being sustained;</w:t>
            </w:r>
          </w:p>
        </w:tc>
      </w:tr>
    </w:tbl>
    <w:p>
      <w:pPr>
        <w:pStyle w:val="TextBody"/>
        <w:bidi w:val="0"/>
        <w:spacing w:before="0" w:after="0"/>
        <w:ind w:left="960" w:right="0" w:hanging="480"/>
        <w:jc w:val="both"/>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75"/>
        <w:gridCol w:w="170"/>
        <w:gridCol w:w="73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283"/>
              <w:jc w:val="both"/>
              <w:rPr>
                <w:sz w:val="20"/>
              </w:rPr>
            </w:pPr>
            <w:r>
              <w:rPr>
                <w:sz w:val="20"/>
              </w:rPr>
              <w:t>impacts of climate change, changing weather patterns and conditions and natural disasters;</w:t>
            </w:r>
          </w:p>
        </w:tc>
      </w:tr>
    </w:tbl>
    <w:p>
      <w:pPr>
        <w:pStyle w:val="TextBody"/>
        <w:bidi w:val="0"/>
        <w:spacing w:before="0" w:after="0"/>
        <w:ind w:left="960" w:right="0" w:hanging="480"/>
        <w:jc w:val="both"/>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75"/>
        <w:gridCol w:w="170"/>
        <w:gridCol w:w="41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283"/>
              <w:jc w:val="both"/>
              <w:rPr>
                <w:sz w:val="20"/>
              </w:rPr>
            </w:pPr>
            <w:r>
              <w:rPr>
                <w:sz w:val="20"/>
              </w:rPr>
              <w:t>the effect of legal, tax and regulatory changes; and</w:t>
            </w:r>
          </w:p>
        </w:tc>
      </w:tr>
    </w:tbl>
    <w:p>
      <w:pPr>
        <w:pStyle w:val="TextBody"/>
        <w:bidi w:val="0"/>
        <w:spacing w:before="0" w:after="0"/>
        <w:ind w:left="960" w:right="0" w:hanging="48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75"/>
        <w:gridCol w:w="170"/>
        <w:gridCol w:w="51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both"/>
              <w:rPr>
                <w:sz w:val="20"/>
              </w:rPr>
            </w:pPr>
            <w:r>
              <w:rPr>
                <w:sz w:val="20"/>
              </w:rPr>
              <w:t>other factors detailed under the section entitled “</w:t>
            </w:r>
            <w:r>
              <w:rPr>
                <w:i/>
                <w:sz w:val="20"/>
              </w:rPr>
              <w:t>Risk Factors.</w:t>
            </w:r>
            <w:r>
              <w:rPr>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vi</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jc w:val="center"/>
        <w:rPr>
          <w:rFonts w:ascii="Times New Roman;Times;Serif" w:hAnsi="Times New Roman;Times;Serif"/>
          <w:b/>
          <w:i w:val="false"/>
          <w:caps w:val="false"/>
          <w:smallCaps w:val="false"/>
          <w:sz w:val="20"/>
          <w:bdr w:val="single" w:sz="12" w:space="3" w:color="000000"/>
        </w:rPr>
      </w:pPr>
      <w:bookmarkStart w:id="6" w:name="a_005"/>
      <w:bookmarkEnd w:id="6"/>
      <w:r>
        <w:rPr>
          <w:rFonts w:ascii="Times New Roman;Times;Serif" w:hAnsi="Times New Roman;Times;Serif"/>
          <w:b/>
          <w:i w:val="false"/>
          <w:caps w:val="false"/>
          <w:smallCaps w:val="false"/>
          <w:sz w:val="20"/>
          <w:bdr w:val="single" w:sz="12" w:space="3" w:color="000000"/>
        </w:rPr>
        <w:t>SUMMARY</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12" w:space="3" w:color="000000"/>
        </w:rPr>
      </w:pPr>
      <w:r>
        <w:rPr>
          <w:rFonts w:ascii="Times New Roman;Times;Serif" w:hAnsi="Times New Roman;Times;Serif"/>
          <w:b w:val="false"/>
          <w:i/>
          <w:caps w:val="false"/>
          <w:smallCaps w:val="false"/>
          <w:sz w:val="20"/>
          <w:bdr w:val="single" w:sz="12" w:space="3" w:color="000000"/>
        </w:rPr>
        <w:t>This summary highlights selected information contained elsewhere in this prospectus and does not contain all of the information you should consider when making your investment decision. Before investing in our securities, you should carefully read this entire prospectus. See also the section entitled “Where You Can Find More Information.” The definition of some of the terms used in this prospectus are set forth under the section “Selected Definitions.”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jc w:val="left"/>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Business Overview</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We are 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We have been an established biogas-to-energy producer in the United States, having participated in the landfill gas to energy industry for over 20 years.</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Biogas is comprised of non-fossil waste gas, with high concentrations of methane, which is the primary component of RNG and the source for combustion utilized by Renewable Power plants to generate Renewable Power. Biogas can not only be collected and processed to remove impurities for use as RNG (a form of high-Btu fuel) and injected into existing natural gas pipelines as it is fully interchangeable with fossil natural gas, but partially treated biogas can be used directly in heating applications (as a form of medium-Btu fuel) or in the production of Renewable Power. The biogas is generated by microbes as they break down organic matter in the absence of oxygen. Our principal sources of biogas are (i) landfill gas, which is produced by the decomposition of organic waste at landfills and (ii) dairy manure, which is processed through anaerobic digesters to produce the biogas.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We also design, develop, construct, operate and service Fueling Stations for trucking fleets across the country that use natural gas to displace diesel as their transportation fuel. We have participated in the alternative vehicle fuels industry for approximately 12 years and have established an expanding network of Fueling Stations for dispensing RNG. In addition, we have recently begun implementing design, development, and construction services for hydrogen fueling stations, and we are pursuing opportunities to diversify its sources of biogas to other waste streams.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Additional information about us can be found in our most recent annual report on Form 10-K incorporated by reference herein together with any material changes thereto contained in subsequently filed quarterly reports on Form 10-Q.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jc w:val="left"/>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 xml:space="preserve">Corporation Information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We are a Delaware corporation. Our principal executive offices are located at One North Lexington Avenue, Suite 1450, White Plains, New York 10601 and our telephone number is (914) 705-4000. Our website is </w:t>
      </w:r>
      <w:r>
        <w:rPr>
          <w:rFonts w:ascii="Times New Roman;Times;Serif" w:hAnsi="Times New Roman;Times;Serif"/>
          <w:b w:val="false"/>
          <w:i/>
          <w:caps w:val="false"/>
          <w:smallCaps w:val="false"/>
          <w:sz w:val="20"/>
          <w:bdr w:val="single" w:sz="12" w:space="3" w:color="000000"/>
        </w:rPr>
        <w:t>www.opalfuels.com</w:t>
      </w:r>
      <w:r>
        <w:rPr>
          <w:rFonts w:ascii="Times New Roman;Times;Serif" w:hAnsi="Times New Roman;Times;Serif"/>
          <w:b w:val="false"/>
          <w:i w:val="false"/>
          <w:caps w:val="false"/>
          <w:smallCaps w:val="false"/>
          <w:sz w:val="20"/>
          <w:bdr w:val="single" w:sz="12" w:space="3" w:color="000000"/>
        </w:rPr>
        <w:t>. Our website and the information contained on, or accessed through, its website are not part of this prospectus, and you should rely only on the information contained in this prospectus when making a decision as to whether to invest in our securities.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jc w:val="left"/>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The Securities We May Offer</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We may offer shares of our Class A common stock and preferred stock, and warrants to purchase any of such securities, either individually or in units, from time to time under this prospectus, together with any applicable prospectus supplement and related free writing prospectus, at prices and on terms to be determined by market conditions at the time of offering. Each time we offer securities under this prospectus, we will provide offerees with a prospectus supplement that will describe the specific amounts, prices and other important terms of the securities being offered, including, to the extent applicable: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tbl>
      <w:tblPr>
        <w:tblW w:w="2913" w:type="dxa"/>
        <w:jc w:val="left"/>
        <w:tblInd w:w="0" w:type="dxa"/>
        <w:tblLayout w:type="fixed"/>
        <w:tblCellMar>
          <w:top w:w="0" w:type="dxa"/>
          <w:left w:w="0" w:type="dxa"/>
          <w:bottom w:w="0" w:type="dxa"/>
          <w:right w:w="0" w:type="dxa"/>
        </w:tblCellMar>
      </w:tblPr>
      <w:tblGrid>
        <w:gridCol w:w="38"/>
        <w:gridCol w:w="170"/>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05" w:type="dxa"/>
            <w:tcBorders/>
            <w:vAlign w:val="center"/>
          </w:tcPr>
          <w:p>
            <w:pPr>
              <w:pStyle w:val="TableContents"/>
              <w:bidi w:val="0"/>
              <w:spacing w:before="0" w:after="283"/>
              <w:jc w:val="both"/>
              <w:rPr/>
            </w:pPr>
            <w:r>
              <w:rPr/>
              <w:t>designation or classification;</w:t>
            </w:r>
          </w:p>
        </w:tc>
      </w:tr>
    </w:tbl>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tbl>
      <w:tblPr>
        <w:tblW w:w="5433" w:type="dxa"/>
        <w:jc w:val="left"/>
        <w:tblInd w:w="0" w:type="dxa"/>
        <w:tblLayout w:type="fixed"/>
        <w:tblCellMar>
          <w:top w:w="0" w:type="dxa"/>
          <w:left w:w="0" w:type="dxa"/>
          <w:bottom w:w="0" w:type="dxa"/>
          <w:right w:w="0" w:type="dxa"/>
        </w:tblCellMar>
      </w:tblPr>
      <w:tblGrid>
        <w:gridCol w:w="38"/>
        <w:gridCol w:w="170"/>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both"/>
              <w:rPr/>
            </w:pPr>
            <w:r>
              <w:rPr/>
              <w:t>aggregate principal amount or aggregate offering price;</w:t>
            </w:r>
          </w:p>
        </w:tc>
      </w:tr>
    </w:tbl>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tbl>
      <w:tblPr>
        <w:tblW w:w="2358" w:type="dxa"/>
        <w:jc w:val="left"/>
        <w:tblInd w:w="0" w:type="dxa"/>
        <w:tblLayout w:type="fixed"/>
        <w:tblCellMar>
          <w:top w:w="0" w:type="dxa"/>
          <w:left w:w="0" w:type="dxa"/>
          <w:bottom w:w="0" w:type="dxa"/>
          <w:right w:w="0" w:type="dxa"/>
        </w:tblCellMar>
      </w:tblPr>
      <w:tblGrid>
        <w:gridCol w:w="38"/>
        <w:gridCol w:w="170"/>
        <w:gridCol w:w="21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50" w:type="dxa"/>
            <w:tcBorders/>
            <w:vAlign w:val="center"/>
          </w:tcPr>
          <w:p>
            <w:pPr>
              <w:pStyle w:val="TableContents"/>
              <w:bidi w:val="0"/>
              <w:spacing w:before="0" w:after="283"/>
              <w:jc w:val="both"/>
              <w:rPr/>
            </w:pPr>
            <w:r>
              <w:rPr/>
              <w:t>maturity, if applicable;</w:t>
            </w:r>
          </w:p>
        </w:tc>
      </w:tr>
    </w:tbl>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tbl>
      <w:tblPr>
        <w:tblW w:w="3063" w:type="dxa"/>
        <w:jc w:val="left"/>
        <w:tblInd w:w="0" w:type="dxa"/>
        <w:tblLayout w:type="fixed"/>
        <w:tblCellMar>
          <w:top w:w="0" w:type="dxa"/>
          <w:left w:w="0" w:type="dxa"/>
          <w:bottom w:w="0" w:type="dxa"/>
          <w:right w:w="0" w:type="dxa"/>
        </w:tblCellMar>
      </w:tblPr>
      <w:tblGrid>
        <w:gridCol w:w="38"/>
        <w:gridCol w:w="170"/>
        <w:gridCol w:w="2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55" w:type="dxa"/>
            <w:tcBorders/>
            <w:vAlign w:val="center"/>
          </w:tcPr>
          <w:p>
            <w:pPr>
              <w:pStyle w:val="TableContents"/>
              <w:bidi w:val="0"/>
              <w:spacing w:before="0" w:after="283"/>
              <w:jc w:val="both"/>
              <w:rPr/>
            </w:pPr>
            <w:r>
              <w:rPr/>
              <w:t>original issue discount, if any;</w:t>
            </w:r>
          </w:p>
        </w:tc>
      </w:tr>
    </w:tbl>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tbl>
      <w:tblPr>
        <w:tblW w:w="5703" w:type="dxa"/>
        <w:jc w:val="left"/>
        <w:tblInd w:w="0" w:type="dxa"/>
        <w:tblLayout w:type="fixed"/>
        <w:tblCellMar>
          <w:top w:w="0" w:type="dxa"/>
          <w:left w:w="0" w:type="dxa"/>
          <w:bottom w:w="0" w:type="dxa"/>
          <w:right w:w="0" w:type="dxa"/>
        </w:tblCellMar>
      </w:tblPr>
      <w:tblGrid>
        <w:gridCol w:w="38"/>
        <w:gridCol w:w="17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95" w:type="dxa"/>
            <w:tcBorders/>
            <w:vAlign w:val="center"/>
          </w:tcPr>
          <w:p>
            <w:pPr>
              <w:pStyle w:val="TableContents"/>
              <w:bidi w:val="0"/>
              <w:spacing w:before="0" w:after="283"/>
              <w:jc w:val="both"/>
              <w:rPr/>
            </w:pPr>
            <w:r>
              <w:rPr/>
              <w:t>rates and times of payment of interest or dividends, if any;</w:t>
            </w:r>
          </w:p>
        </w:tc>
      </w:tr>
    </w:tbl>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tbl>
      <w:tblPr>
        <w:tblW w:w="6273" w:type="dxa"/>
        <w:jc w:val="left"/>
        <w:tblInd w:w="0" w:type="dxa"/>
        <w:tblLayout w:type="fixed"/>
        <w:tblCellMar>
          <w:top w:w="0" w:type="dxa"/>
          <w:left w:w="0" w:type="dxa"/>
          <w:bottom w:w="0" w:type="dxa"/>
          <w:right w:w="0" w:type="dxa"/>
        </w:tblCellMar>
      </w:tblPr>
      <w:tblGrid>
        <w:gridCol w:w="38"/>
        <w:gridCol w:w="170"/>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283"/>
              <w:jc w:val="both"/>
              <w:rPr/>
            </w:pPr>
            <w:r>
              <w:rPr/>
              <w:t>redemption, conversion, exchange or sinking fund terms, if any;</w:t>
            </w:r>
          </w:p>
        </w:tc>
      </w:tr>
    </w:tbl>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conversion or exchange prices or rates, if any, and, if applicable, any provisions for changes to or adjustments in the conversion or exchange prices or rates and in the securities or other property receivable upon conversion or exchange;</w:t>
            </w:r>
          </w:p>
        </w:tc>
      </w:tr>
    </w:tbl>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tbl>
      <w:tblPr>
        <w:tblW w:w="1023" w:type="dxa"/>
        <w:jc w:val="left"/>
        <w:tblInd w:w="0" w:type="dxa"/>
        <w:tblLayout w:type="fixed"/>
        <w:tblCellMar>
          <w:top w:w="0" w:type="dxa"/>
          <w:left w:w="0" w:type="dxa"/>
          <w:bottom w:w="0" w:type="dxa"/>
          <w:right w:w="0" w:type="dxa"/>
        </w:tblCellMar>
      </w:tblPr>
      <w:tblGrid>
        <w:gridCol w:w="38"/>
        <w:gridCol w:w="170"/>
        <w:gridCol w:w="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jc w:val="both"/>
              <w:rPr/>
            </w:pPr>
            <w:r>
              <w:rPr/>
              <w:t>ranking;</w:t>
            </w:r>
          </w:p>
        </w:tc>
      </w:tr>
    </w:tbl>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tbl>
      <w:tblPr>
        <w:tblW w:w="2883" w:type="dxa"/>
        <w:jc w:val="left"/>
        <w:tblInd w:w="0" w:type="dxa"/>
        <w:tblLayout w:type="fixed"/>
        <w:tblCellMar>
          <w:top w:w="0" w:type="dxa"/>
          <w:left w:w="0" w:type="dxa"/>
          <w:bottom w:w="0" w:type="dxa"/>
          <w:right w:w="0" w:type="dxa"/>
        </w:tblCellMar>
      </w:tblPr>
      <w:tblGrid>
        <w:gridCol w:w="38"/>
        <w:gridCol w:w="17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75" w:type="dxa"/>
            <w:tcBorders/>
            <w:vAlign w:val="center"/>
          </w:tcPr>
          <w:p>
            <w:pPr>
              <w:pStyle w:val="TableContents"/>
              <w:bidi w:val="0"/>
              <w:spacing w:before="0" w:after="283"/>
              <w:jc w:val="both"/>
              <w:rPr/>
            </w:pPr>
            <w:r>
              <w:rPr/>
              <w:t>restrictive covenants, if any;</w:t>
            </w:r>
          </w:p>
        </w:tc>
      </w:tr>
    </w:tbl>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tbl>
      <w:tblPr>
        <w:tblW w:w="3348" w:type="dxa"/>
        <w:jc w:val="left"/>
        <w:tblInd w:w="0" w:type="dxa"/>
        <w:tblLayout w:type="fixed"/>
        <w:tblCellMar>
          <w:top w:w="0" w:type="dxa"/>
          <w:left w:w="0" w:type="dxa"/>
          <w:bottom w:w="0" w:type="dxa"/>
          <w:right w:w="0" w:type="dxa"/>
        </w:tblCellMar>
      </w:tblPr>
      <w:tblGrid>
        <w:gridCol w:w="38"/>
        <w:gridCol w:w="170"/>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40" w:type="dxa"/>
            <w:tcBorders/>
            <w:vAlign w:val="center"/>
          </w:tcPr>
          <w:p>
            <w:pPr>
              <w:pStyle w:val="TableContents"/>
              <w:bidi w:val="0"/>
              <w:spacing w:before="0" w:after="283"/>
              <w:jc w:val="both"/>
              <w:rPr/>
            </w:pPr>
            <w:r>
              <w:rPr/>
              <w:t>voting or other rights, if any; and</w:t>
            </w:r>
          </w:p>
        </w:tc>
      </w:tr>
    </w:tbl>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tbl>
      <w:tblPr>
        <w:tblW w:w="5733" w:type="dxa"/>
        <w:jc w:val="left"/>
        <w:tblInd w:w="0" w:type="dxa"/>
        <w:tblLayout w:type="fixed"/>
        <w:tblCellMar>
          <w:top w:w="0" w:type="dxa"/>
          <w:left w:w="0" w:type="dxa"/>
          <w:bottom w:w="0" w:type="dxa"/>
          <w:right w:w="0" w:type="dxa"/>
        </w:tblCellMar>
      </w:tblPr>
      <w:tblGrid>
        <w:gridCol w:w="38"/>
        <w:gridCol w:w="170"/>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both"/>
              <w:rPr/>
            </w:pPr>
            <w:r>
              <w:rPr/>
              <w:t>important United States federal income tax considerations.</w:t>
            </w:r>
          </w:p>
        </w:tc>
      </w:tr>
    </w:tbl>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A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We may sell the securities to or through underwriters, dealers or agents or directly to purchasers. We, as well as any agents acting on our behalf, reserve the sole right to accept and to reject in whole or in part any proposed purchase of securities. Each prospectus supplement will set forth the names of any underwriters, dealers or agents involved in the sale of securities described in that prospectus supplement and any applicable fee, commission or discount arrangements with them, details regarding any over-allotment option granted to them, and net proceeds to us. The following is a summary of the securities we may offer with this prospectus.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 xml:space="preserve">Class A Common Stock </w:t>
      </w:r>
    </w:p>
    <w:p>
      <w:pPr>
        <w:pStyle w:val="TextBody"/>
        <w:bidi w:val="0"/>
        <w:spacing w:before="0" w:after="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We currently have authorized 1,120,000,000 shares, consisting of 820,000,000 shares of common Stock, par value $0.0001 per share, divided into: 340,000,000 shares of Class A common stock, 160,000,000 shares of Class B common stock, 160,000,000 shares of Class C common stock, and 160,000,000 shares of Class D common stock. As of August 10, 2023, there were 27,694,332 shares of Class A common stock issued and outstanding, no shares of Class B common stock issued and outstanding, no shares of Class C common stock issued and outstanding, and 144,399,037 shares of Class D common stock issued and outstanding. We may offer shares of our Class A common stock either alone or underlying other registered securities convertible into or exercisable for our Class A common stock. Holders of our Class A common stock are entitled to such dividends as our board of directors (the “Board of Directors” or “Board”) may declare from time to time out of legally available funds, subject to the preferential rights of the holders of any shares of our preferred stock that are outstanding or that we may issue in the future. Currently, we do not pay any dividends on our Class A common stock. Each holder of our Class A common stock is entitled to one vote per share held on all matters submitted to a vote of our stockholders. In this prospectus, we provide a general description of, among other things, the rights and restrictions that apply to holders of our Class A common stock.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jc w:val="left"/>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Preferred Stock</w:t>
      </w:r>
      <w:r>
        <w:rPr>
          <w:rFonts w:ascii="Times New Roman;Times;Serif" w:hAnsi="Times New Roman;Times;Serif"/>
          <w:b w:val="false"/>
          <w:i w:val="false"/>
          <w:caps w:val="false"/>
          <w:smallCaps w:val="false"/>
          <w:sz w:val="20"/>
          <w:bdr w:val="single" w:sz="12" w:space="3" w:color="000000"/>
        </w:rPr>
        <w:t xml:space="preserve">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We currently have authorized 300,000,000 shares of preferred stock, par value $0.0001, none of which are issued and outstanding. </w:t>
      </w:r>
    </w:p>
    <w:p>
      <w:pPr>
        <w:pStyle w:val="TextBody"/>
        <w:bidi w:val="0"/>
        <w:spacing w:before="0" w:after="0"/>
        <w:ind w:left="0" w:right="0" w:firstLine="72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Any authorized and undesignated shares of preferred stock may be issued from time to time in one or more series pursuant to a resolution or resolutions providing for such issue duly adopted by our Board of Directors (authority to do so being hereby expressly vested in the Board of Directors). The Board of Directors is further authorized, subject to limitations prescribed by law, to fix by resolution or resolutions the designations, powers, preferences and rights, and the qualifications, limitations or restrictions thereof, of any wholly unissued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The rights, preferences, privileges, and restrictions granted to or imposed upon any series of preferred stock that we offer and sell under this prospectus and applicable prospectus supplements will be set forth in a certificate of designation relating to the series. We will incorporate by reference into the registration statement of which this prospectus is a part the form of any certificate of designation that describes the terms of the series of preferred stock we are offering before the issuance of shares of that series of preferred stock. You should read any prospectus supplement and any free writing prospectus that we may authorize to be provided to you related to the series of preferred stock being offered, as well as the complete certificate of designation that contains the terms of the applicable series of preferred stock.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jc w:val="left"/>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Warrants</w:t>
      </w:r>
      <w:r>
        <w:rPr>
          <w:rFonts w:ascii="Times New Roman;Times;Serif" w:hAnsi="Times New Roman;Times;Serif"/>
          <w:b w:val="false"/>
          <w:i w:val="false"/>
          <w:caps w:val="false"/>
          <w:smallCaps w:val="false"/>
          <w:sz w:val="20"/>
          <w:bdr w:val="single" w:sz="12" w:space="3" w:color="000000"/>
        </w:rPr>
        <w:t xml:space="preserve">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We may offer warrants for the purchase of shares of our Class A common stock or preferred stock. We may issue the warrants by themselves or together with Class A common stock or preferred stock, and the warrants may be attached to or separate from any offered securities. Any warrants issued under this prospectus may be evidenced by warrant certificates. Warrants may be issued under a separate warrant agreement to be entered into between us and the investors or a warrant agent. Our Board of Directors will determine the terms of the warrants. This prospectus contains only general terms and provisions of the warrants. The applicable prospectus supplement will describe the particular terms of the warrants being offered thereby. You should read any prospectus supplement and any free writing prospectus that we may authorize to be provided to you related to the series of warrants being offered, as well as the complete warrant agreements that contain the terms of the warrants. Specific warrant agreements will contain additional important terms and provisions and will be incorporated by reference into the registration statement of which this prospectus is a part from reports we file with the SEC.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jc w:val="left"/>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Units</w:t>
      </w:r>
      <w:r>
        <w:rPr>
          <w:rFonts w:ascii="Times New Roman;Times;Serif" w:hAnsi="Times New Roman;Times;Serif"/>
          <w:b w:val="false"/>
          <w:i w:val="false"/>
          <w:caps w:val="false"/>
          <w:smallCaps w:val="false"/>
          <w:sz w:val="20"/>
          <w:bdr w:val="single" w:sz="12" w:space="3" w:color="000000"/>
        </w:rPr>
        <w:t xml:space="preserve"> </w:t>
      </w:r>
    </w:p>
    <w:p>
      <w:pPr>
        <w:pStyle w:val="TextBody"/>
        <w:bidi w:val="0"/>
        <w:spacing w:before="0" w:after="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 xml:space="preserve">We may offer units consisting of our Class A common stock or preferred stock, and/or warrants to purchase any of these securities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 This prospectus contains only a summary of certain general features of the units. The applicable prospectus supplement will describe the particular features of the units being offered thereby.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will be incorporated by reference into the registration statement of which this prospectus is a part from reports we file with the SEC. </w:t>
      </w:r>
    </w:p>
    <w:p>
      <w:pPr>
        <w:pStyle w:val="TextBody"/>
        <w:bidi w:val="0"/>
        <w:spacing w:before="0" w:after="0"/>
        <w:ind w:left="0" w:right="0" w:hanging="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RISK FACTORS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securities involves a high degree of risk. This prospectus contains, and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this prospectus and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Item 1A, “Risk Factors,” in our Annual Report on Form 10-K for the fiscal year ended December 31, 2022, filed with the SEC on March 29, 2023, and incorporated herein by reference, as may be amended, supplemented or superseded from time to time by other reports we file with the SEC in the future and any prospectus supplement related to a particular offering. The risks and uncertainties we have described are not the only ones we face. Additional risks and uncertainties not presently known to us or that we currently deem immaterial may also affect our operations. The occurrence of any of these known or unknown risks might cause you to lose all or part of your investment in the offered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USE OF PROCEEDS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in any prospectus supplement and any free writing prospectus in connection with a specific offering, we currently intend to use the net proceeds from the sale of the securities offered under this prospectus for general corporate purposes, including (i) sales and marketing, (ii) operational costs, (iii) design, development, construction, operation and maintenance of renewable energy and Fueling Stations, (iv) strategic transactions and (v) working capital and other general corporate purposes. We may also use the net proceeds to repay any debts and/or invest in or acquire complementary businesses, products, or technologies, although we have no current commitments or agreements with respect to any such investments or acquisitions as of the date of this prospectus. We have not determined the amount of net proceeds to be used specifically for the foregoing purposes. As a result, our management will have broad discretion in the allocation of the net proceeds and investors will be relying on the judgment of our management regarding the application of the proceeds of any sale of the securities. Pending use of the net proceeds, we intend to invest the proceeds in short-term, investment-grade, interest-bearing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offer securities under this prospectus, we will describe the intended use of the net proceeds from that offering in the applicable prospectus supplement. The actual amount of net proceeds we spend on a particular use will depend on many factors, including, our future capital expenditures, the amount of cash required by our operations, and our future revenue growth, if any. Therefore, we will retain broad discretion in the use of the net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9" w:name="a_008"/>
      <w:bookmarkEnd w:id="9"/>
      <w:r>
        <w:rPr>
          <w:rFonts w:ascii="Times New Roman;Times;Serif" w:hAnsi="Times New Roman;Times;Serif"/>
          <w:b/>
          <w:i w:val="false"/>
          <w:caps w:val="false"/>
          <w:smallCaps w:val="false"/>
          <w:sz w:val="20"/>
        </w:rPr>
        <w:t>DESCRIPTION OF CAPITAL STOCK</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description of OPAL’s capital stock is only a summary, and it does not contain all the information that may be important to you. For a complete description of the matters set forth in this section, you should refer to the Charter, the Bylaws, the Second A&amp;R LLC Agreement, the Investor Rights Agreement, and to the applicable provisions of Delaware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Capitalization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shares of all classes of stock that OPAL has the authority to issue is 1,120,000,000 shares, consisting of:</w:t>
      </w:r>
    </w:p>
    <w:p>
      <w:pPr>
        <w:pStyle w:val="TextBody"/>
        <w:bidi w:val="0"/>
        <w:spacing w:before="0" w:after="0"/>
        <w:ind w:left="960" w:right="0" w:hanging="360"/>
        <w:jc w:val="both"/>
        <w:rPr>
          <w:caps w:val="false"/>
          <w:smallCaps w:val="false"/>
        </w:rPr>
      </w:pPr>
      <w:r>
        <w:rPr>
          <w:caps w:val="false"/>
          <w:smallCaps w:val="false"/>
        </w:rPr>
        <w:t> </w:t>
      </w:r>
    </w:p>
    <w:tbl>
      <w:tblPr>
        <w:tblW w:w="7023" w:type="dxa"/>
        <w:jc w:val="left"/>
        <w:tblInd w:w="0" w:type="dxa"/>
        <w:tblLayout w:type="fixed"/>
        <w:tblCellMar>
          <w:top w:w="0" w:type="dxa"/>
          <w:left w:w="0" w:type="dxa"/>
          <w:bottom w:w="0" w:type="dxa"/>
          <w:right w:w="0" w:type="dxa"/>
        </w:tblCellMar>
      </w:tblPr>
      <w:tblGrid>
        <w:gridCol w:w="38"/>
        <w:gridCol w:w="170"/>
        <w:gridCol w:w="6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15" w:type="dxa"/>
            <w:tcBorders/>
            <w:vAlign w:val="center"/>
          </w:tcPr>
          <w:p>
            <w:pPr>
              <w:pStyle w:val="TableContents"/>
              <w:bidi w:val="0"/>
              <w:spacing w:before="0" w:after="283"/>
              <w:jc w:val="both"/>
              <w:rPr>
                <w:sz w:val="20"/>
              </w:rPr>
            </w:pPr>
            <w:r>
              <w:rPr>
                <w:sz w:val="20"/>
              </w:rPr>
              <w:t>820,000,000 shares of Common Stock, par value of $0.0001 per share, divided into:</w:t>
            </w:r>
          </w:p>
        </w:tc>
      </w:tr>
    </w:tbl>
    <w:p>
      <w:pPr>
        <w:pStyle w:val="TextBody"/>
        <w:bidi w:val="0"/>
        <w:spacing w:before="0" w:after="0"/>
        <w:ind w:left="1440" w:right="0" w:hanging="360"/>
        <w:jc w:val="both"/>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170"/>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70" w:type="dxa"/>
            <w:tcBorders/>
            <w:vAlign w:val="center"/>
          </w:tcPr>
          <w:p>
            <w:pPr>
              <w:pStyle w:val="TableContents"/>
              <w:bidi w:val="0"/>
              <w:spacing w:before="0" w:after="283"/>
              <w:jc w:val="both"/>
              <w:rPr>
                <w:sz w:val="20"/>
              </w:rPr>
            </w:pPr>
            <w:r>
              <w:rPr>
                <w:sz w:val="20"/>
              </w:rPr>
              <w:t>340,000,000 shares of Class A common stock;</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144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360"/>
        <w:jc w:val="both"/>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170"/>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70" w:type="dxa"/>
            <w:tcBorders/>
            <w:vAlign w:val="center"/>
          </w:tcPr>
          <w:p>
            <w:pPr>
              <w:pStyle w:val="TableContents"/>
              <w:bidi w:val="0"/>
              <w:spacing w:before="0" w:after="283"/>
              <w:jc w:val="both"/>
              <w:rPr>
                <w:sz w:val="20"/>
              </w:rPr>
            </w:pPr>
            <w:r>
              <w:rPr>
                <w:sz w:val="20"/>
              </w:rPr>
              <w:t>160,000,000 shares of Class B common stock;</w:t>
            </w:r>
          </w:p>
        </w:tc>
      </w:tr>
    </w:tbl>
    <w:p>
      <w:pPr>
        <w:pStyle w:val="TextBody"/>
        <w:bidi w:val="0"/>
        <w:spacing w:before="0" w:after="0"/>
        <w:ind w:left="1440" w:right="0" w:hanging="360"/>
        <w:jc w:val="both"/>
        <w:rPr>
          <w:caps w:val="false"/>
          <w:smallCaps w:val="false"/>
        </w:rPr>
      </w:pPr>
      <w:r>
        <w:rPr>
          <w:caps w:val="false"/>
          <w:smallCaps w:val="false"/>
        </w:rPr>
        <w:t> </w:t>
      </w:r>
    </w:p>
    <w:tbl>
      <w:tblPr>
        <w:tblW w:w="4323" w:type="dxa"/>
        <w:jc w:val="left"/>
        <w:tblInd w:w="0" w:type="dxa"/>
        <w:tblLayout w:type="fixed"/>
        <w:tblCellMar>
          <w:top w:w="0" w:type="dxa"/>
          <w:left w:w="0" w:type="dxa"/>
          <w:bottom w:w="0" w:type="dxa"/>
          <w:right w:w="0" w:type="dxa"/>
        </w:tblCellMar>
      </w:tblPr>
      <w:tblGrid>
        <w:gridCol w:w="38"/>
        <w:gridCol w:w="170"/>
        <w:gridCol w:w="41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283"/>
              <w:jc w:val="both"/>
              <w:rPr>
                <w:sz w:val="20"/>
              </w:rPr>
            </w:pPr>
            <w:r>
              <w:rPr>
                <w:sz w:val="20"/>
              </w:rPr>
              <w:t>160,000,000 shares of Class C common stock; and</w:t>
            </w:r>
          </w:p>
        </w:tc>
      </w:tr>
    </w:tbl>
    <w:p>
      <w:pPr>
        <w:pStyle w:val="TextBody"/>
        <w:bidi w:val="0"/>
        <w:spacing w:before="0" w:after="0"/>
        <w:ind w:left="1440" w:right="0" w:hanging="360"/>
        <w:jc w:val="both"/>
        <w:rPr>
          <w:caps w:val="false"/>
          <w:smallCaps w:val="false"/>
        </w:rPr>
      </w:pPr>
      <w:r>
        <w:rPr>
          <w:caps w:val="false"/>
          <w:smallCaps w:val="false"/>
        </w:rPr>
        <w:t> </w:t>
      </w:r>
    </w:p>
    <w:tbl>
      <w:tblPr>
        <w:tblW w:w="4323" w:type="dxa"/>
        <w:jc w:val="left"/>
        <w:tblInd w:w="0" w:type="dxa"/>
        <w:tblLayout w:type="fixed"/>
        <w:tblCellMar>
          <w:top w:w="0" w:type="dxa"/>
          <w:left w:w="0" w:type="dxa"/>
          <w:bottom w:w="0" w:type="dxa"/>
          <w:right w:w="0" w:type="dxa"/>
        </w:tblCellMar>
      </w:tblPr>
      <w:tblGrid>
        <w:gridCol w:w="38"/>
        <w:gridCol w:w="170"/>
        <w:gridCol w:w="41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283"/>
              <w:jc w:val="both"/>
              <w:rPr>
                <w:sz w:val="20"/>
              </w:rPr>
            </w:pPr>
            <w:r>
              <w:rPr>
                <w:sz w:val="20"/>
              </w:rPr>
              <w:t>160,000,000 shares of Class D common stock; and</w:t>
            </w:r>
          </w:p>
        </w:tc>
      </w:tr>
    </w:tbl>
    <w:p>
      <w:pPr>
        <w:pStyle w:val="TextBody"/>
        <w:bidi w:val="0"/>
        <w:spacing w:before="0" w:after="0"/>
        <w:ind w:left="960" w:right="0" w:hanging="360"/>
        <w:jc w:val="both"/>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38"/>
        <w:gridCol w:w="170"/>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05" w:type="dxa"/>
            <w:tcBorders/>
            <w:vAlign w:val="center"/>
          </w:tcPr>
          <w:p>
            <w:pPr>
              <w:pStyle w:val="TableContents"/>
              <w:bidi w:val="0"/>
              <w:spacing w:before="0" w:after="283"/>
              <w:jc w:val="both"/>
              <w:rPr>
                <w:sz w:val="20"/>
              </w:rPr>
            </w:pPr>
            <w:r>
              <w:rPr>
                <w:sz w:val="20"/>
              </w:rPr>
              <w:t>300,000,000 shares of OPAL Preferred Stock, par value $0.0001 per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Stock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10, 2023, we had 27,694,332 shares of Class A common stock issued and outstanding.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Voting Rights. </w:t>
      </w:r>
      <w:r>
        <w:rPr>
          <w:rFonts w:ascii="Times New Roman;Times;Serif" w:hAnsi="Times New Roman;Times;Serif"/>
          <w:b w:val="false"/>
          <w:i w:val="false"/>
          <w:caps w:val="false"/>
          <w:smallCaps w:val="false"/>
          <w:sz w:val="20"/>
        </w:rPr>
        <w:t>Each holder of Class A common stock is entitled to one vote for each share of Class A common stock held of record by such holder on all matters on which stockholders generally are entitled to vote. Further, the holders of the outstanding shares of Class A common stock are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B common stock, the Class C common stock and the Class D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permitted by law, holders of shares of each class of the Common Stock, as such, have no voting power with respect to, and are not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Delaware General Corporation Law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Dividends; Stock Splits or Combinations.</w:t>
      </w:r>
      <w:r>
        <w:rPr>
          <w:rFonts w:ascii="Times New Roman;Times;Serif" w:hAnsi="Times New Roman;Times;Serif"/>
          <w:b w:val="false"/>
          <w:i w:val="false"/>
          <w:caps w:val="false"/>
          <w:smallCaps w:val="false"/>
          <w:sz w:val="20"/>
        </w:rPr>
        <w:t> Subject to applicable law and the rights, if any, of the holders of any outstanding series of OPAL Preferred Stock or any class or series of stock having a preference senior to or the right to participate with the Class A common stock and the Class C common stock with respect to the payment of dividends, dividends and other distributions of cash, stock or property may be declared and paid on the shares of Class A common stock and the shares of Class C common stock out of the assets of OPAL that are by law available therefor, at the times and in the amounts as our board of directors in its discretion may determine.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will any stock dividend, stock split, reverse stock split, combination of stock, reclassification or recapitalization be declared or made on any series of Common Stock (each, a “Stock Adjustment”) unless:</w:t>
      </w:r>
    </w:p>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20"/>
              </w:rPr>
            </w:pPr>
            <w:r>
              <w:rPr>
                <w:sz w:val="20"/>
              </w:rPr>
              <w:t>(a)</w:t>
            </w:r>
          </w:p>
        </w:tc>
        <w:tc>
          <w:tcPr>
            <w:tcW w:w="9956" w:type="dxa"/>
            <w:tcBorders/>
            <w:vAlign w:val="center"/>
          </w:tcPr>
          <w:p>
            <w:pPr>
              <w:pStyle w:val="TableContents"/>
              <w:bidi w:val="0"/>
              <w:spacing w:before="0" w:after="283"/>
              <w:jc w:val="both"/>
              <w:rPr>
                <w:sz w:val="20"/>
              </w:rPr>
            </w:pPr>
            <w:r>
              <w:rPr>
                <w:sz w:val="20"/>
              </w:rPr>
              <w:t>a corresponding Stock Adjustment for all other series of Common Stock not so adjusted at the time outstanding is made in the same proportion and the same manner; and</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(b)</w:t>
            </w:r>
          </w:p>
        </w:tc>
        <w:tc>
          <w:tcPr>
            <w:tcW w:w="9937" w:type="dxa"/>
            <w:tcBorders/>
            <w:vAlign w:val="center"/>
          </w:tcPr>
          <w:p>
            <w:pPr>
              <w:pStyle w:val="TableContents"/>
              <w:bidi w:val="0"/>
              <w:spacing w:before="0" w:after="283"/>
              <w:jc w:val="both"/>
              <w:rPr>
                <w:sz w:val="20"/>
              </w:rPr>
            </w:pPr>
            <w:r>
              <w:rPr>
                <w:sz w:val="20"/>
              </w:rPr>
              <w:t>the Stock Adjustment has been reflected in the same economically equivalent manner on all Class A Units (as defined in the Second A&amp;R LLC Agreement).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dividends with respect to each class of Common Stock may only be paid with shares of stock of the same series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Liquidation.</w:t>
      </w:r>
      <w:r>
        <w:rPr>
          <w:rFonts w:ascii="Times New Roman;Times;Serif" w:hAnsi="Times New Roman;Times;Serif"/>
          <w:b w:val="false"/>
          <w:i w:val="false"/>
          <w:caps w:val="false"/>
          <w:smallCaps w:val="false"/>
          <w:sz w:val="20"/>
        </w:rPr>
        <w:t> In the event of any voluntary or involuntary liquidation, dissolution or winding-up of the affairs of OPAL, after payment or provision for payment of the debts and other liabilities of OPAL and of the preferential and other amounts to which the holders of OPAL Preferred Stock are entitled, if any, the holders of all outstanding shares of Class A common stock and Class C common stock will be entitled to receive,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an amount per share equal to the par value thereof, and thereafter the holders of all outstanding shares of Class A common stock and Class C common stock will be entitled to receive the remaining assets of OPAL available for distribution ratably in proportion to the number of shares of Class A common stock and Class C common stock, which shall be treated as a single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B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31, 2023, we had no shares of Class B common stock issued and outstanding. Shares of Class B common stock may, together with the corresponding Class B Units (as defined in the Second A&amp;R LLC Agreement), be exchanged for shares of Class A common stock pursuant to the Second A&amp;R LLC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w:t>
      </w:r>
      <w:r>
        <w:rPr>
          <w:rFonts w:ascii="Times New Roman;Times;Serif" w:hAnsi="Times New Roman;Times;Serif"/>
          <w:b w:val="false"/>
          <w:i w:val="false"/>
          <w:caps w:val="false"/>
          <w:smallCaps w:val="false"/>
          <w:sz w:val="20"/>
        </w:rPr>
        <w:t> Each holder of Class B common stock will be entitled to one vote for each share of Class B common stock held of record by such holder on all matters on which stockholders generally are entitled to vote. Further, the holders of the outstanding shares of Class B common stock will be entitled to vote separately 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C common stock and the Class D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Dividends; Stock Splits or Combinations.</w:t>
      </w:r>
      <w:r>
        <w:rPr>
          <w:rFonts w:ascii="Times New Roman;Times;Serif" w:hAnsi="Times New Roman;Times;Serif"/>
          <w:b w:val="false"/>
          <w:i w:val="false"/>
          <w:caps w:val="false"/>
          <w:smallCaps w:val="false"/>
          <w:sz w:val="20"/>
        </w:rPr>
        <w:t xml:space="preserve"> Dividends of cash or property may not be declared or paid on shares of Class B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Liquidation.</w:t>
      </w:r>
      <w:r>
        <w:rPr>
          <w:rFonts w:ascii="Times New Roman;Times;Serif" w:hAnsi="Times New Roman;Times;Serif"/>
          <w:b w:val="false"/>
          <w:i w:val="false"/>
          <w:caps w:val="false"/>
          <w:smallCaps w:val="false"/>
          <w:sz w:val="20"/>
        </w:rPr>
        <w:t> In the event of any voluntary or involuntary liquidation, dissolution or winding-up of the affairs of OPAL, after payment or provision for payment of the debts and other liabilities of OPAL and of the preferential and other amounts to which the holders of OPAL Preferred Stock are entitled, if any, the holders of shares of Class B common stock will not be entitled to receive, with respect to such shares, any assets of OPAL in excess of the par value thereof. Notwithstanding the foregoing, the holders of Class B common stock will have the right to exchange their shares of Class B common stock, together with the corresponding Class B Units constituting the remainder of any Paired Interests (as defined in the Charter) in which such shares are included, for shares of Class A common stock in accordance with the Second A&amp;R LLC Agreement (or for the consideration payable in respect of shares of Class A common stock in such voluntary or involuntary liquidation, dissolution or winding-up).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Subscription Rights. </w:t>
      </w:r>
      <w:r>
        <w:rPr>
          <w:rFonts w:ascii="Times New Roman;Times;Serif" w:hAnsi="Times New Roman;Times;Serif"/>
          <w:b w:val="false"/>
          <w:i w:val="false"/>
          <w:caps w:val="false"/>
          <w:smallCaps w:val="false"/>
          <w:sz w:val="20"/>
        </w:rPr>
        <w:t>To the extent Class B Units are issued pursuant to the Second A&amp;R LLC Agreement to any stockholder of OPAL other than a Qualified Stockholder (as defined in the Charter), such stockholder shall have the right to subscribe for an equivalent number of shares of Class B common stock (subject to adjustment as set forth in the Charter) in exchange for a payment in cash equal to the aggregate par value of such shares of Class B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C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31, 2023, we did not have any shares of Class C common stock issued and outstanding. Shares of Class C common stock may be converted to shares of Class A common stock, as discussed further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w:t>
      </w:r>
      <w:r>
        <w:rPr>
          <w:rFonts w:ascii="Times New Roman;Times;Serif" w:hAnsi="Times New Roman;Times;Serif"/>
          <w:b w:val="false"/>
          <w:i w:val="false"/>
          <w:caps w:val="false"/>
          <w:smallCaps w:val="false"/>
          <w:sz w:val="20"/>
        </w:rPr>
        <w:t> Each holder of Class C common stock will be entitled to five votes for each share of Class C common stock held of record by such holder on all matters on which stockholders generally are entitled to vote. Further, the holders of the outstanding shares of Class C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D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Liquidation.</w:t>
      </w:r>
      <w:r>
        <w:rPr>
          <w:rFonts w:ascii="Times New Roman;Times;Serif" w:hAnsi="Times New Roman;Times;Serif"/>
          <w:b w:val="false"/>
          <w:i w:val="false"/>
          <w:caps w:val="false"/>
          <w:smallCaps w:val="false"/>
          <w:sz w:val="20"/>
        </w:rPr>
        <w:t> In the event of any voluntary or involuntary liquidation, dissolution or winding-up of the affairs of OPAL, after payment or provision for payment of the debts and other liabilities of OPAL and of the preferential and other amounts to which the holders of OPAL Preferred Stock are entitled, if any, the holders of all outstanding shares of Class A common stock and Class C common stock will be entitled to receive,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an amount per share equal to the par value thereof, and thereafter the holders of all outstanding shares of Class A common stock and Class C common stock will be entitled to receive the remaining assets of OPAL available for distribution ratably in proportion to the number of shares of Class A common stock and Class C common stock, which shall be treated as a single class.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w:t>
      </w:r>
    </w:p>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a.</w:t>
            </w:r>
          </w:p>
        </w:tc>
        <w:tc>
          <w:tcPr>
            <w:tcW w:w="10012" w:type="dxa"/>
            <w:tcBorders/>
            <w:vAlign w:val="center"/>
          </w:tcPr>
          <w:p>
            <w:pPr>
              <w:pStyle w:val="TableContents"/>
              <w:bidi w:val="0"/>
              <w:spacing w:before="0" w:after="283"/>
              <w:jc w:val="both"/>
              <w:rPr>
                <w:sz w:val="20"/>
              </w:rPr>
            </w:pPr>
            <w:r>
              <w:rPr>
                <w:i/>
                <w:sz w:val="20"/>
              </w:rPr>
              <w:t>Voluntary Conversion</w:t>
            </w:r>
            <w:r>
              <w:rPr>
                <w:sz w:val="20"/>
              </w:rPr>
              <w:t>. Each share of Class C common stock shall be convertible into one share of Class A common stock at the option of the holder thereof, at any time upon written notice to OPAL; provided that, for the avoidance of doubt, any such holder of shares of Class C common stock may in such written notice to OPAL specify that such conversion into shares of Class A common stock shall be contingent upon the consummation of one or more sale or other transfer transactions.</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b.</w:t>
            </w:r>
          </w:p>
        </w:tc>
        <w:tc>
          <w:tcPr>
            <w:tcW w:w="9997" w:type="dxa"/>
            <w:tcBorders/>
            <w:vAlign w:val="center"/>
          </w:tcPr>
          <w:p>
            <w:pPr>
              <w:pStyle w:val="TableContents"/>
              <w:bidi w:val="0"/>
              <w:spacing w:before="0" w:after="283"/>
              <w:jc w:val="both"/>
              <w:rPr>
                <w:sz w:val="20"/>
              </w:rPr>
            </w:pPr>
            <w:r>
              <w:rPr>
                <w:i/>
                <w:sz w:val="20"/>
              </w:rPr>
              <w:t>Automatic Conversion</w:t>
            </w:r>
            <w:r>
              <w:rPr>
                <w:sz w:val="20"/>
              </w:rPr>
              <w:t>. Each share of Class C common stock shall automatically, without any further action, convert into one share of Class A common stock upon a Transfer (as defined in the Charter), other than a Transfer to a Qualified Stockholder (as defined in the Charter).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D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31, 2023, we had 144,399,037 shares of Class D common stock issued and outstanding. Shares of Class D common stock may be converted into shares of Class B common stock pursuant to the Charter. Further, shares of Class D common stock, together with the corresponding Class B Units may be exchanged for shares of Class C common stock pursuant to the Second A&amp;R LLC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w:t>
      </w:r>
      <w:r>
        <w:rPr>
          <w:rFonts w:ascii="Times New Roman;Times;Serif" w:hAnsi="Times New Roman;Times;Serif"/>
          <w:b w:val="false"/>
          <w:i w:val="false"/>
          <w:caps w:val="false"/>
          <w:smallCaps w:val="false"/>
          <w:sz w:val="20"/>
        </w:rPr>
        <w:t> Each holder of Class D common stock will be entitled to five votes for each share of Class D common stock held of record by such holder on all matters on which stockholders generally are entitled to vote. Further, the holders of the outstanding shares of Class D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C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Dividends; Stock Splits and Combinations.</w:t>
      </w:r>
      <w:r>
        <w:rPr>
          <w:rFonts w:ascii="Times New Roman;Times;Serif" w:hAnsi="Times New Roman;Times;Serif"/>
          <w:b w:val="false"/>
          <w:i w:val="false"/>
          <w:caps w:val="false"/>
          <w:smallCaps w:val="false"/>
          <w:sz w:val="20"/>
        </w:rPr>
        <w:t> Dividends of cash or property may not be declared or paid on shares of Class D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Liquidation.</w:t>
      </w:r>
      <w:r>
        <w:rPr>
          <w:rFonts w:ascii="Times New Roman;Times;Serif" w:hAnsi="Times New Roman;Times;Serif"/>
          <w:b w:val="false"/>
          <w:i w:val="false"/>
          <w:caps w:val="false"/>
          <w:smallCaps w:val="false"/>
          <w:sz w:val="20"/>
        </w:rPr>
        <w:t> In the event of any voluntary or involuntary liquidation, dissolution or winding-up of the affairs of OPAL, after payment or provision for payment of the debts and other liabilities of OPAL and of the preferential and other amounts to which the holders of OPAL Preferred Stock are entitled, if any, the holders of shares of Class D common stock will not be entitled to receive, with respect to such shares, any assets of OPAL in excess of the par value thereof. Notwithstanding the foregoing, the holders of Class D common stock will have the right to exchange their shares of Class D common stock, together with the corresponding Class B Units constituting the remainder of any Paired Interests in which such shares are included, for shares of Class C common stock in accordance with the Second A&amp;R LLC Agreement (or for the consideration payable in respect of shares of Class C common stock in such voluntary or involuntary liquidation, dissolution or winding-up).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Subscription Rights.</w:t>
      </w:r>
      <w:r>
        <w:rPr>
          <w:rFonts w:ascii="Times New Roman;Times;Serif" w:hAnsi="Times New Roman;Times;Serif"/>
          <w:b w:val="false"/>
          <w:i w:val="false"/>
          <w:caps w:val="false"/>
          <w:smallCaps w:val="false"/>
          <w:sz w:val="20"/>
        </w:rPr>
        <w:t> To the extent that Class B Units are issued pursuant to the Second A&amp;R LLC Agreement to any Qualified Stockholder, such Qualified Stockholder shall have the right to subscribe for an equivalent number of shares of Class D common stock (subject to adjustment as set forth in the Charter) in exchange for a payment in cash equal to the aggregate par value of such shares of Class D common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w:t>
      </w:r>
    </w:p>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a.</w:t>
            </w:r>
          </w:p>
        </w:tc>
        <w:tc>
          <w:tcPr>
            <w:tcW w:w="10012" w:type="dxa"/>
            <w:tcBorders/>
            <w:vAlign w:val="center"/>
          </w:tcPr>
          <w:p>
            <w:pPr>
              <w:pStyle w:val="TableContents"/>
              <w:bidi w:val="0"/>
              <w:spacing w:before="0" w:after="283"/>
              <w:jc w:val="both"/>
              <w:rPr>
                <w:sz w:val="20"/>
              </w:rPr>
            </w:pPr>
            <w:r>
              <w:rPr>
                <w:i/>
                <w:sz w:val="20"/>
              </w:rPr>
              <w:t>Voluntary Conversion</w:t>
            </w:r>
            <w:r>
              <w:rPr>
                <w:sz w:val="20"/>
              </w:rPr>
              <w:t>. Each share of Class D common stock shall be convertible into one share of Class B common stock at the option of the holder thereof at any time upon written notice to OPAL; provided that, for the avoidance of doubt, any such holder of shares of Class D common stock may in such written notice to OPAL specify that such conversion into shares of Class B common stock shall be contingent upon the consummation of one or more sale or other transfer transactions. Further, shares of Class D common stock, together with the corresponding Class B Units may be exchanged for shares of Class C common stock pursuant to the Second A&amp;R LLC Agreement.</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b.</w:t>
            </w:r>
          </w:p>
        </w:tc>
        <w:tc>
          <w:tcPr>
            <w:tcW w:w="9997" w:type="dxa"/>
            <w:tcBorders/>
            <w:vAlign w:val="center"/>
          </w:tcPr>
          <w:p>
            <w:pPr>
              <w:pStyle w:val="TableContents"/>
              <w:bidi w:val="0"/>
              <w:spacing w:before="0" w:after="283"/>
              <w:jc w:val="both"/>
              <w:rPr>
                <w:sz w:val="20"/>
              </w:rPr>
            </w:pPr>
            <w:r>
              <w:rPr>
                <w:i/>
                <w:sz w:val="20"/>
              </w:rPr>
              <w:t>Automatic Conversion</w:t>
            </w:r>
            <w:r>
              <w:rPr>
                <w:sz w:val="20"/>
              </w:rPr>
              <w:t>. Each share of Class D common stock shall automatically, without any further action, convert into one share of Class B common stock upon a Transfer, other than a Transfer to a Qualified Stockholder.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Cancellation of Class B common stock and Class D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Class B common stock or Class D common stock may transfer shares of Class B common stock or Class D common stock, respectively, to any person unless such holder transfers a corresponding number of Class B Units to the same person in accordance with the provisions of the Second A&amp;R LLC Agreement. If any outstanding shares of Class B common stock or Class D common stock ceases to be held by a holder of the corresponding Class B Unit, such shares of Class B common stock or Class D common stock, respectively, will automatically and without further action on the part of OPAL or any holder of Class B common stock or Class D common stock, respectively, be transferred to OPAL for no consideration and shall be cancelled.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OPAL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expressly authorized, subject to any limitations prescribed by the laws of the State of Delaware, by resolution or resolutions adopted from time to time, to provide for the issuance of shares of OPAL Preferred Stock in one or more series, and, by filing a certificate of designation pursuant to the applicable laws of the State of Delaware, to establish from time to time the number of shares of OPAL Preferred Stock to be included in each such series, to fix the designation, vesting, powers (including voting powers), preferences and relative, participating, optional or other special rights (and the qualifications, limitations or restrictions thereof) of the shares of each such series and to increase (but not above the total number of authorized shares of the OPAL Preferred Stock) or decrease (but not below the number of shares of such series then outstanding) the number of shares of OPAL Preferred Stock of any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expressly provided in any certificate of designation designating any series of OPAL Preferred Stock, (i) any new series of OPAL Preferred Stock may be designated, fixed and determined as provided by the Charter by our board of directors without approval of the holders of Common Stock or the holders of OPAL Preferred Stock, or any series thereof, and (ii) any such new series may have powers, preferences and rights, including, without limitation, voting rights, dividend rights, liquidation rights, redemption rights and conversion rights, senior to, junior to or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rights of the Common Stock, the OPAL Preferred Stock or any future class or series of OPAL Preferred Stock or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But Unissued OPAL Capital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it relates to Class A common stock, we will at all times reserve and keep available out of its authorized and unissued shares of Class A common stock, (i) solely for the purpose of the issuance in connection with the exchange of Paired Interests, the number of shares of Class A common stock that are issuable upon the exchange of all outstanding Paired Interests which consist of Class B common stock and Class B Units pursuant to the Second A&amp;R LLC Agreement and (ii) solely for the purpose of the issuance in connection with the conversion of shares of all outstanding Class C common stock (including all shares of Class C common stock issuable upon the exchange of Paired Interests which consist of Class D common stock and Class B Units pursuant to the Second A&amp;R LLC Agreement) into shares of Class A common stock pursuant to the Charter, the number of shares of Class A common stock that are issuable upon such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it relates to Class B common stock, we will at all times reserve and keep available out of its authorized and unissued shares of Class B common stock, solely for the purpose of the issuance in connection with the conversion of shares of all outstanding Class D common stock into shares of Class B common stock pursuant to the Charter, the number of shares of Class B common stock that are issuable upon such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it relates to Class C common stock, we will at all times reserve and keep available out of its authorized and unissued shares of Class C common stock, solely for the purpose of the issuance in connection with the exchange of Paired Interests which consist of Class D common stock and Class B Units, the number of shares of Class C common stock that are issuable upon the exchange of all outstanding Paired Interests which consist of Class D common stock and Class B Units, pursuant to the Second A&amp;R LLC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Provisions of Delaware Law and the Organizational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the Organizational Documents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or proxy fight. Such provisions could have the effect of discouraging others from making tender offers for our shares and, as a consequence, they also may inhibit fluctuations in the market price of Class A common stock that could result from actual or rumored takeover attempts. Such provisions also may have the effect of preventing changes in our management or delaying or preventing a transaction that might benefit you or other minority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include: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Action by Written Consent; Special Meeting of Stockholder.</w:t>
      </w:r>
      <w:r>
        <w:rPr>
          <w:rFonts w:ascii="Times New Roman;Times;Serif" w:hAnsi="Times New Roman;Times;Serif"/>
          <w:b w:val="false"/>
          <w:i w:val="false"/>
          <w:caps w:val="false"/>
          <w:smallCaps w:val="false"/>
          <w:sz w:val="20"/>
        </w:rPr>
        <w:t> Subject to, with respect to the OPAL Preferred Stock, the terms of any series of OPAL Preferred Stock, (i) for so long as the holders of shares of Class C common stock and Class D common stock beneficially own, directly or indirectly, a majority of the total voting power of stock entitled to vote generally in election of directors, any action that is required or permitted to be taken by the stockholders of we may be effected by consent in lieu of a meeting and (ii) if the holders of shares of Class C common stock and Class D common stock do not beneficially own, directly or indirectly, a majority of the total voting power of stock entitled to vote generally in election of directors, any action required or permitted to be taken by the stockholders of OPAL must be effected at a duly called annual or special meeting of the stockholders and may not be effected by any consent in lieu of a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special rights of the holders of any series of OPAL Preferred Stock and the requirements of applicable law, a special meetings of stockholders may be called only by the chairperson of our board of directors, the vice chairperson of our board of directors, the chief executive officer or at the direction of our board of directors pursuant to a written resolution adopted by a majority of the total number of directors that we would have if there were no vacancies, and the ability of the stockholders or any other Persons to call a special meeting of the stockholders is specifically denied.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Election and Removal of Directors.</w:t>
      </w:r>
      <w:r>
        <w:rPr>
          <w:rFonts w:ascii="Times New Roman;Times;Serif" w:hAnsi="Times New Roman;Times;Serif"/>
          <w:b w:val="false"/>
          <w:i w:val="false"/>
          <w:caps w:val="false"/>
          <w:smallCaps w:val="false"/>
          <w:sz w:val="20"/>
        </w:rPr>
        <w:t> Subject to any limitations imposed by applicable law and except for additional directors of OPAL elected by the holders of any series of OPAL Preferred Stock as provided for or fixed pursuant to the Charter, any director of OPAL or the entire board of directors may be removed from office at any time, with or without cause, by the affirmative vote of the holders of at least a majority of the total voting power of the outstanding shares of capital stock of OPAL entitled to vote generally in the election of directors of OPAL, voting together as a single class. In case our board of directors or any one or more directors of OPAL should be so removed, any new directors of OPAL shall, unless our board of directors determines by resolution that any such vacancies shall be filled by the stockholders and except as otherwise provided by applicable law, be filled only by the affirmative vote of a majority of the remaining directors of OPAL then in office, even if less than a quorum of our board of directors, and not by the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Limitations on Stockholder Actions</w:t>
      </w:r>
      <w:r>
        <w:rPr>
          <w:rFonts w:ascii="Times New Roman;Times;Serif" w:hAnsi="Times New Roman;Times;Serif"/>
          <w:b w:val="false"/>
          <w:i/>
          <w:caps w:val="false"/>
          <w:smallCaps w:val="false"/>
          <w:sz w:val="20"/>
        </w:rPr>
        <w:t>. </w:t>
      </w:r>
      <w:r>
        <w:rPr>
          <w:rFonts w:ascii="Times New Roman;Times;Serif" w:hAnsi="Times New Roman;Times;Serif"/>
          <w:b w:val="false"/>
          <w:i w:val="false"/>
          <w:caps w:val="false"/>
          <w:smallCaps w:val="false"/>
          <w:sz w:val="20"/>
        </w:rPr>
        <w:t>Our Bylaws also impose some procedural requirements on stockholders who wish to:</w:t>
      </w:r>
    </w:p>
    <w:p>
      <w:pPr>
        <w:pStyle w:val="TextBody"/>
        <w:bidi w:val="0"/>
        <w:spacing w:before="0" w:after="0"/>
        <w:ind w:left="960" w:right="0" w:hanging="360"/>
        <w:jc w:val="both"/>
        <w:rPr>
          <w:caps w:val="false"/>
          <w:smallCaps w:val="false"/>
        </w:rPr>
      </w:pPr>
      <w:r>
        <w:rPr>
          <w:caps w:val="false"/>
          <w:smallCaps w:val="false"/>
        </w:rPr>
        <w:t> </w:t>
      </w:r>
    </w:p>
    <w:tbl>
      <w:tblPr>
        <w:tblW w:w="4188" w:type="dxa"/>
        <w:jc w:val="left"/>
        <w:tblInd w:w="0" w:type="dxa"/>
        <w:tblLayout w:type="fixed"/>
        <w:tblCellMar>
          <w:top w:w="0" w:type="dxa"/>
          <w:left w:w="0" w:type="dxa"/>
          <w:bottom w:w="0" w:type="dxa"/>
          <w:right w:w="0" w:type="dxa"/>
        </w:tblCellMar>
      </w:tblPr>
      <w:tblGrid>
        <w:gridCol w:w="38"/>
        <w:gridCol w:w="170"/>
        <w:gridCol w:w="3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80" w:type="dxa"/>
            <w:tcBorders/>
            <w:vAlign w:val="center"/>
          </w:tcPr>
          <w:p>
            <w:pPr>
              <w:pStyle w:val="TableContents"/>
              <w:bidi w:val="0"/>
              <w:spacing w:before="0" w:after="283"/>
              <w:jc w:val="both"/>
              <w:rPr>
                <w:sz w:val="20"/>
              </w:rPr>
            </w:pPr>
            <w:r>
              <w:rPr>
                <w:sz w:val="20"/>
              </w:rPr>
              <w:t>make nominations in the election of directors; or</w:t>
            </w:r>
          </w:p>
        </w:tc>
      </w:tr>
    </w:tbl>
    <w:p>
      <w:pPr>
        <w:pStyle w:val="TextBody"/>
        <w:bidi w:val="0"/>
        <w:spacing w:before="0" w:after="0"/>
        <w:ind w:left="960" w:right="0" w:hanging="360"/>
        <w:jc w:val="both"/>
        <w:rPr>
          <w:caps w:val="false"/>
          <w:smallCaps w:val="false"/>
        </w:rPr>
      </w:pPr>
      <w:r>
        <w:rPr>
          <w:caps w:val="false"/>
          <w:smallCaps w:val="false"/>
        </w:rPr>
        <w:t> </w:t>
      </w:r>
    </w:p>
    <w:tbl>
      <w:tblPr>
        <w:tblW w:w="7008" w:type="dxa"/>
        <w:jc w:val="left"/>
        <w:tblInd w:w="0" w:type="dxa"/>
        <w:tblLayout w:type="fixed"/>
        <w:tblCellMar>
          <w:top w:w="0" w:type="dxa"/>
          <w:left w:w="0" w:type="dxa"/>
          <w:bottom w:w="0" w:type="dxa"/>
          <w:right w:w="0" w:type="dxa"/>
        </w:tblCellMar>
      </w:tblPr>
      <w:tblGrid>
        <w:gridCol w:w="38"/>
        <w:gridCol w:w="170"/>
        <w:gridCol w:w="68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00" w:type="dxa"/>
            <w:tcBorders/>
            <w:vAlign w:val="center"/>
          </w:tcPr>
          <w:p>
            <w:pPr>
              <w:pStyle w:val="TableContents"/>
              <w:bidi w:val="0"/>
              <w:spacing w:before="0" w:after="283"/>
              <w:jc w:val="both"/>
              <w:rPr>
                <w:sz w:val="20"/>
              </w:rPr>
            </w:pPr>
            <w:r>
              <w:rPr>
                <w:sz w:val="20"/>
              </w:rPr>
              <w:t>propose any other business to be brought before an annual meeting of stockholders.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these procedural requirements, in order to bring a proposal of business before an annual meeting of stockholders, a stockholder must deliver timely written notice of a proposal pertaining to a proper matter for stockholder action at the annual meeting to OPAL’s secretary containing, among other things, the following:</w:t>
      </w:r>
    </w:p>
    <w:p>
      <w:pPr>
        <w:pStyle w:val="TextBody"/>
        <w:bidi w:val="0"/>
        <w:spacing w:before="0" w:after="0"/>
        <w:ind w:left="960" w:right="0" w:hanging="360"/>
        <w:jc w:val="both"/>
        <w:rPr>
          <w:caps w:val="false"/>
          <w:smallCaps w:val="false"/>
        </w:rPr>
      </w:pPr>
      <w:r>
        <w:rPr>
          <w:caps w:val="false"/>
          <w:smallCaps w:val="false"/>
        </w:rPr>
        <w:t> </w:t>
      </w:r>
    </w:p>
    <w:tbl>
      <w:tblPr>
        <w:tblW w:w="8493" w:type="dxa"/>
        <w:jc w:val="left"/>
        <w:tblInd w:w="0" w:type="dxa"/>
        <w:tblLayout w:type="fixed"/>
        <w:tblCellMar>
          <w:top w:w="0" w:type="dxa"/>
          <w:left w:w="0" w:type="dxa"/>
          <w:bottom w:w="0" w:type="dxa"/>
          <w:right w:w="0" w:type="dxa"/>
        </w:tblCellMar>
      </w:tblPr>
      <w:tblGrid>
        <w:gridCol w:w="38"/>
        <w:gridCol w:w="170"/>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85" w:type="dxa"/>
            <w:tcBorders/>
            <w:vAlign w:val="center"/>
          </w:tcPr>
          <w:p>
            <w:pPr>
              <w:pStyle w:val="TableContents"/>
              <w:bidi w:val="0"/>
              <w:spacing w:before="0" w:after="283"/>
              <w:jc w:val="both"/>
              <w:rPr>
                <w:sz w:val="20"/>
              </w:rPr>
            </w:pPr>
            <w:r>
              <w:rPr>
                <w:sz w:val="20"/>
              </w:rPr>
              <w:t>the name and record address of each stockholder proposing business, as they appear in OPAL’s books;</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class or series and number of shares of stock of OPAL, directly or indirectly, held of record and beneficially by the Proponent or Stockholder Associated Person, as such terms are defined in the Bylaws;</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9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names of all persons with whom the stockholder is acting in concert and a description of all arrangements and understandings with those persons;</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 description of any agreement, arrangement or understanding reached with respect to shares of our stock, such as any derivative or short positions, profit interests, options, hedging transactions, warrant, convertible security, stock appreciation right or similar right with an exercise or conversion privilege or a settlement payment or mechanism at a price related to any class of securities and/or borrowed or loaned shares;</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 description of the business or nomination to be brought before the meeting, the text of the proposal and the reasons for conducting such business at the meeting; and</w:t>
            </w:r>
          </w:p>
        </w:tc>
      </w:tr>
    </w:tbl>
    <w:p>
      <w:pPr>
        <w:pStyle w:val="TextBody"/>
        <w:bidi w:val="0"/>
        <w:spacing w:before="0" w:after="0"/>
        <w:ind w:left="960" w:right="0" w:hanging="360"/>
        <w:jc w:val="both"/>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38"/>
        <w:gridCol w:w="170"/>
        <w:gridCol w:w="7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both"/>
              <w:rPr>
                <w:sz w:val="20"/>
              </w:rPr>
            </w:pPr>
            <w:r>
              <w:rPr>
                <w:sz w:val="20"/>
              </w:rPr>
              <w:t>any material interest of the Proponent or Stockholder Associated Person in such business.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also set out the timeliness requirements for delivery of such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submit a nomination for our board of directors, a stockholder must also submit any information with respect to the nominee that we would be required to include in a proxy statement, as well as some other information. If a stockholder fails to follow the required procedures, the stockholder’s proposal or nominee will be ineligible and will not be voted on by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 of Officers and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Organizational Documents provide indemnification for OPAL’s directors and officers to the fullest extent permitted by the DGCL.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2022, we entered into certain Indemnification Agreements (“Indemnification Agreements”) with each of our directors and executive officers pursuant to which, subject to certain exceptions, we shall indemnify our directors and executive officers for all reasonable and documented direct and indirect expenses, including attorneys’ fees, paid or incurred by such officer or director in connection with the investigation, defense or appeal of, or being a witness or otherwise involved in, a Proceeding (as defined in the Indemnification Agreements), or establishing or enforcing a right to indemnification under such agreement, Section 145 of the DGCL or otherwise (the “Expenses”). Pursuant to the Indemnification Agreements, in the event an officer or director who was or is a party to or witness in or is threatened to be made a party to or witness in any Proceeding with respect such officer’s or director’s service for us or a subsidiary or affiliate as an Indemnifiable Person (as defined in the Indemnification Agreements), or by reason of anything done or not done, or any act or omission, by such officer or director in any such capacity, we shall indemnify such officer and director from and against any and all Expenses and Other Liabilities (as defined in the Indemnification Agreements) incurred by such officer and director in connection with such Proceeding to the fullest extent not prohibited by the provisions of our Bylaws and the DGCL. Furthermore, pursuant to the Indemnification Agreements, we shall, subject to certain exception, at the request of an officer or director, advance all Expenses incurred by such officer or director prior to the final disposition of a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Exclusive Forum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unless we consent in writing to the selection of an alternative forum, the Court of Chancery of the State of Delaware shall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thereof shall, to the fullest extent permitted by applicable law, be the sole and exclusive forum for the following types of actions or proceedings under Delaware statutory or common law: (i) any derivative action, suit or proceeding brought on our behalf of; (ii) any action, suit or proceeding (including any class action) asserting a claim of breach of a fiduciary duty owed by any current or former director, officer, other employee, agent or stockholder of OPAL to OPAL or OPAL’s stockholders; (iii) any action, suit or proceeding (including any class action) asserting a claim against OPAL or any current or former director, officer, other employee, agent or stockholder of OPAL arising out of or pursuant to any provision of the DGCL, the Charter or the Bylaws (as each may be amended from time to time); (iv) any action, suit or proceeding (including any class action) to interpret, apply, enforce or determine the validity of our Charter or Bylaws (including any right, obligation or remedy thereunder); (v) any action, suit or proceeding as to which the DGCL confers jurisdiction to the Court of Chancery of the State of Delaware; or (vi) any action asserting a claim against us or any director, officer or other employee governed by the internal affairs doctrine, in all cases to the fullest extent permitted by law and subject to the court having personal jurisdiction over the indispensable parties named as defendants. The exclusive forum provisions of the Charter shall not apply to suits brought to enforce a duty or liability created by the Exchange Act or any other claim for which the federal courts have exclusive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action, the subject matter of which is within the scope of the exclusive forum provisions of the Charter,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the exclusive forum provisions of the Charter (an “Enforcement Action”) and (ii) having service of process made upon such stockholder in any such Enforcement Action by service upon such stockholder’s counsel in the Foreign Action as agent for such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or entity purchasing, holding, owning or otherwise acquiring any interest in any of our securities shall be deemed to have notice of and to have consented to the exclusive forum provisions of the Charter.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Opco, Ares, Hillman and the Class B shareholders (collectively the “OPAL Holders”) entered into the Investor Rights Agreement, pursuant to which, among other things, (i) ArcLight and Sponsor agreed to terminate the Registration and Shareholder Rights Agreement, dated as of March 25, 2021, entered into by them in connection with ArcLight’s IPO, (ii) we agreed to provide the OPAL Holders certain registration rights with respect to certain shares of Class A common stock held by them or otherwise issuable to them pursuant to the Business Combination Agreement, Second A&amp;R LLC Agreement or the Charter and (iii) the OPAL Holders agreed not to transfer, sell, assign or otherwise dispose of their shares of Class A common stock for up to 180 days following the closing of the Business Combination, subject to certain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for OPAL’s Common Stock is Continental Transfer &amp; Trust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A common stock are listed on Nasdaq under the symbol “OPAL”.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rFonts w:ascii="Times New Roman;Times;Serif" w:hAnsi="Times New Roman;Times;Serif"/>
          <w:b/>
          <w:i w:val="false"/>
          <w:caps w:val="false"/>
          <w:smallCaps w:val="false"/>
          <w:sz w:val="20"/>
        </w:rPr>
      </w:pPr>
      <w:bookmarkStart w:id="10" w:name="a_010"/>
      <w:bookmarkEnd w:id="10"/>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description, together with the additional information we may include in any applicable prospectus supplements and free writing prospectuses, summarizes the material terms and provisions of the warrants that we may offer under this prospectus, which may consist of warrants to purchase Class A common stock or preferred stock and may be issued in one or more series. Warrants may be offered independently or together with Class A common stock or preferred stock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warrants under a warrant agreement that we will enter into with a warrant agent to be selected by us. If selected, the warrant agent will act solely as an agent of ours in connection with the warrants and will not act as an agent for the holders or beneficial owners of the warrants. If applicable, we will file as exhibits to the registration statement of which this prospectus is a part, or will incorporate by reference from a Current Report on Form 8-K that we file with the SEC, the form of warrant agreement, including a form of warrant certificate, that describes the terms of the particular series of warrants we are offering before the issuance of the related series of warrants. The following summaries of material provisions of the warrants and the warrant agreements are subject to, and qualified in their entirety by reference to, all the provisions of the warrant agreement and warrant certificate applicable to a particular series of warrants. We urge you to read the applicable prospectus supplement and any applicable free writing prospectus related to the particular series of warrants that we sell under this prospectus, as well as the complete warrant agreements and warrant certificates that contain the terms of the warrants.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relating to a series of warrants,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offering price and aggregate number of warrants offered;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currency for which the warrants may be purchased;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if applicable, the designation and terms of the securities with which the warrants are issued and the number of warrants issued with each such security or each principal amount of such security;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if applicable, the date on and after which the warrants and the related securities will be separately transferable;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in the case of warrants to purchase Class A common stock or preferred stock, the number of shares of Class A common stock or preferred stock, as the case may be, purchasable upon the exercise of one warrant and the price at which these shares may be purchased upon such exercise;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effect of any merger, consolidation, sale or other disposition of our business on the warrant agreements and the warrants;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terms of any rights to redeem or call the warrants;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provisions for changes to or adjustments in the exercise price or number of securities issuable upon exercise of the warrants;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dates on which the right to exercise the warrants will commence and expire;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7585" w:type="dxa"/>
        <w:jc w:val="left"/>
        <w:tblInd w:w="0" w:type="dxa"/>
        <w:tblLayout w:type="fixed"/>
        <w:tblCellMar>
          <w:top w:w="0" w:type="dxa"/>
          <w:left w:w="0" w:type="dxa"/>
          <w:bottom w:w="0" w:type="dxa"/>
          <w:right w:w="0" w:type="dxa"/>
        </w:tblCellMar>
      </w:tblPr>
      <w:tblGrid>
        <w:gridCol w:w="75"/>
        <w:gridCol w:w="170"/>
        <w:gridCol w:w="73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283"/>
              <w:jc w:val="both"/>
              <w:rPr>
                <w:sz w:val="20"/>
              </w:rPr>
            </w:pPr>
            <w:r>
              <w:rPr>
                <w:sz w:val="20"/>
              </w:rPr>
              <w:t>the manner in which the warrant agreements and warrants may be modified;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283"/>
              <w:jc w:val="both"/>
              <w:rPr>
                <w:sz w:val="20"/>
              </w:rPr>
            </w:pPr>
            <w:r>
              <w:rPr>
                <w:sz w:val="20"/>
              </w:rPr>
              <w:t>United States federal income tax consequences of holding or exercising the warrants;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283"/>
              <w:jc w:val="both"/>
              <w:rPr>
                <w:sz w:val="20"/>
              </w:rPr>
            </w:pPr>
            <w:r>
              <w:rPr>
                <w:sz w:val="20"/>
              </w:rPr>
              <w:t>the terms of the securities issuable upon exercise of the warrants;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283"/>
              <w:jc w:val="both"/>
              <w:rPr>
                <w:sz w:val="20"/>
              </w:rPr>
            </w:pPr>
            <w:r>
              <w:rPr>
                <w:sz w:val="20"/>
              </w:rPr>
              <w:t>any other specific terms, preferences, rights or limitations of or restrictions on the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Before exercising their warrants, holders of warrants will not have any of the rights of holders of the securities purchasable upon such exercise, including, in the case of warrants to purchase common stock or preferred stock, the right to receive dividends, if any, or, payments upon our liquidation, dissolution or winding up or to exercise voting rights, if 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us or the warrant agent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Rights by Holders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selected, 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a_011"/>
      <w:bookmarkEnd w:id="11"/>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may include in any applicable prospectus supplements and free writing prospectuses, summarizes the material terms and provisions of the units that we may offer under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as exhibits to the registration statement of which this prospectus is a part, or will incorporate by reference from a Current Report on Form 8-K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sell under this prospectus, as well as the complete unit agreement and any supplemental agreements that contain the terms of the units.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issue units comprised of shares of Class A common stock, shares of preferred stock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of the series of units,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designation and terms of the units and of the securities comprising the units, including whether and under what circumstances those securities may be held or transferred separately;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provisions of the governing unit agreement that differ from those described below;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provisions for the issuance, payment, settlement, transfer or exchange of the units or of the securities comprising the units.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provisions described in this section, as well as those described under “Description of Capital Stock” and “Description of Warrants” will apply to each unit and to any common stock, preferred stock, or warrant included in each unit,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and address of the unit agent, if any, for any units we offer will be set forth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in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in such amounts and in numerous distinct series as we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Rights by Holders of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unit agents and any of their agents may treat the registered holder of any unit certificate as an absolute owner of the units evidenced by that certificate for any purpose and as the person entitled to exercise the rights attaching to the units so requested, despite any notice to the contrary. See “Legal Ownership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2"/>
      <w:bookmarkEnd w:id="12"/>
      <w:r>
        <w:rPr>
          <w:rFonts w:ascii="Times New Roman;Times;Serif" w:hAnsi="Times New Roman;Times;Serif"/>
          <w:b/>
          <w:i w:val="false"/>
          <w:caps w:val="false"/>
          <w:smallCaps w:val="false"/>
          <w:sz w:val="20"/>
        </w:rPr>
        <w:t>LEGAL OWNERSHIP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can issue securities in registered form or in the form of one or more global securities. We describe global securities in greater detail below. We refer to those persons who have securities registered in their own names on the books that we or any applicable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Book-Entry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Street Name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securities held in street name, we or any applicable depositary will recognize only the intermediary banks, brokers and other financial institutions in whose names the securities are registered as the holders of those securities, and we or any such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obligations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example, once we make a payment or give a notice to the holder, we have no further responsibility for the payment or notice even if that holder is required, under agreements with its participants or customers or by law, to pass it along to the indirect holders but does not do so. Whether and how the legal holders contact the indirect holders is up to the legal holders.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Considerations for Indirect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securities through a bank, broker or other financial institution, either in book-entry form because the securities are represented by one or more global securities or in street name, you should check with your own institution to find out:</w:t>
      </w:r>
    </w:p>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75"/>
        <w:gridCol w:w="170"/>
        <w:gridCol w:w="38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both"/>
              <w:rPr>
                <w:sz w:val="20"/>
              </w:rPr>
            </w:pPr>
            <w:r>
              <w:rPr>
                <w:sz w:val="20"/>
              </w:rPr>
              <w:t>how it handles securities payments and notices;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whether it imposes fees or charges;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how it would handle a request for the holders’ consent, if ever required;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whether and how you can instruct it to send you securities registered in your own name so you can be a legal holder, if that is permitted in the future;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how it would exercise rights under the securities if there were a default or other event triggering the need for holders to act to protect their interests;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if the securities are in book-entry form, how the depositary’s rules and procedures will affect these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global security is a security that represents one or any other number of individual securities held by a depositary. Generally, all securities represented by the same global securities will have the same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NY, known as DTC, will be the depositary for all securities issued in book-entry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global security may not be transferred to or registered in the name of anyone other than the depositary, its nominee or a successor depositary, unless special termination situations arise. We describe those situations below under “—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Considerations For Global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issued only as global securities, an investor should be aware of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9945" w:type="dxa"/>
            <w:tcBorders/>
            <w:vAlign w:val="center"/>
          </w:tcPr>
          <w:p>
            <w:pPr>
              <w:pStyle w:val="TableContents"/>
              <w:bidi w:val="0"/>
              <w:spacing w:before="0" w:after="283"/>
              <w:jc w:val="both"/>
              <w:rPr>
                <w:sz w:val="20"/>
              </w:rPr>
            </w:pPr>
            <w:r>
              <w:rPr>
                <w:sz w:val="20"/>
              </w:rPr>
              <w:t>an investor cannot cause the securities to be registered in his or her name, and cannot obtain non-global certificates for his or her interest in the securities, except in the special situations we describe below;</w:t>
            </w:r>
          </w:p>
        </w:tc>
      </w:tr>
      <w:tr>
        <w:trPr/>
        <w:tc>
          <w:tcPr>
            <w:tcW w:w="75" w:type="dxa"/>
            <w:tcBorders/>
            <w:vAlign w:val="center"/>
          </w:tcPr>
          <w:p>
            <w:pPr>
              <w:pStyle w:val="TableContents"/>
              <w:bidi w:val="0"/>
              <w:spacing w:before="0" w:after="283"/>
              <w:jc w:val="both"/>
              <w:rPr/>
            </w:pPr>
            <w:r>
              <w:rPr/>
              <w:t> </w:t>
            </w:r>
          </w:p>
        </w:tc>
        <w:tc>
          <w:tcPr>
            <w:tcW w:w="185"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9945" w:type="dxa"/>
            <w:tcBorders/>
            <w:vAlign w:val="center"/>
          </w:tcPr>
          <w:p>
            <w:pPr>
              <w:pStyle w:val="TableContents"/>
              <w:bidi w:val="0"/>
              <w:spacing w:before="0" w:after="283"/>
              <w:jc w:val="both"/>
              <w:rPr>
                <w:sz w:val="20"/>
              </w:rPr>
            </w:pPr>
            <w:r>
              <w:rPr>
                <w:sz w:val="20"/>
              </w:rPr>
              <w:t>an investor will be an indirect holder and must look to his or her own bank or broker for payments on the securities and protection of his or her legal rights relating to the securities, as we describe above;</w:t>
            </w:r>
          </w:p>
        </w:tc>
      </w:tr>
      <w:tr>
        <w:trPr/>
        <w:tc>
          <w:tcPr>
            <w:tcW w:w="75" w:type="dxa"/>
            <w:tcBorders/>
            <w:vAlign w:val="center"/>
          </w:tcPr>
          <w:p>
            <w:pPr>
              <w:pStyle w:val="TableContents"/>
              <w:bidi w:val="0"/>
              <w:spacing w:before="0" w:after="283"/>
              <w:jc w:val="both"/>
              <w:rPr/>
            </w:pPr>
            <w:r>
              <w:rPr/>
              <w:t> </w:t>
            </w:r>
          </w:p>
        </w:tc>
        <w:tc>
          <w:tcPr>
            <w:tcW w:w="185"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9945" w:type="dxa"/>
            <w:tcBorders/>
            <w:vAlign w:val="center"/>
          </w:tcPr>
          <w:p>
            <w:pPr>
              <w:pStyle w:val="TableContents"/>
              <w:bidi w:val="0"/>
              <w:spacing w:before="0" w:after="283"/>
              <w:jc w:val="both"/>
              <w:rPr>
                <w:sz w:val="20"/>
              </w:rPr>
            </w:pPr>
            <w:r>
              <w:rPr>
                <w:sz w:val="20"/>
              </w:rPr>
              <w:t>an investor may not be able to sell interests in the securities to some insurance companies and to other institutions that are required by law to own their securities in non-book-entry form;</w:t>
            </w:r>
          </w:p>
        </w:tc>
      </w:tr>
      <w:tr>
        <w:trPr/>
        <w:tc>
          <w:tcPr>
            <w:tcW w:w="75" w:type="dxa"/>
            <w:tcBorders/>
            <w:vAlign w:val="center"/>
          </w:tcPr>
          <w:p>
            <w:pPr>
              <w:pStyle w:val="TableContents"/>
              <w:bidi w:val="0"/>
              <w:spacing w:before="0" w:after="283"/>
              <w:jc w:val="both"/>
              <w:rPr/>
            </w:pPr>
            <w:r>
              <w:rPr/>
              <w:t> </w:t>
            </w:r>
          </w:p>
        </w:tc>
        <w:tc>
          <w:tcPr>
            <w:tcW w:w="185"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9945" w:type="dxa"/>
            <w:tcBorders/>
            <w:vAlign w:val="center"/>
          </w:tcPr>
          <w:p>
            <w:pPr>
              <w:pStyle w:val="TableContents"/>
              <w:bidi w:val="0"/>
              <w:spacing w:before="0" w:after="283"/>
              <w:jc w:val="both"/>
              <w:rPr>
                <w:sz w:val="20"/>
              </w:rPr>
            </w:pPr>
            <w:r>
              <w:rPr>
                <w:sz w:val="20"/>
              </w:rPr>
              <w:t>an investor may not be able to pledge his or her interest in the global security in circumstances where certificates representing the securities must be delivered to the lender or other beneficiary of the pledge in order for the pledge to be effective;</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 xml:space="preserve">● </w:t>
            </w:r>
          </w:p>
        </w:tc>
        <w:tc>
          <w:tcPr>
            <w:tcW w:w="9945" w:type="dxa"/>
            <w:tcBorders/>
            <w:vAlign w:val="center"/>
          </w:tcPr>
          <w:p>
            <w:pPr>
              <w:pStyle w:val="TableContents"/>
              <w:bidi w:val="0"/>
              <w:spacing w:before="0" w:after="283"/>
              <w:jc w:val="both"/>
              <w:rPr/>
            </w:pPr>
            <w:r>
              <w:rPr>
                <w:rFonts w:ascii="Times New Roman;Times;Serif" w:hAnsi="Times New Roman;Times;Serif"/>
                <w:sz w:val="20"/>
              </w:rPr>
              <w:t>the depositary’s policies, which may change from time to time, will govern payments, transfers, exchanges and other matters relating to an investor’s interest in the global security. We have no responsibility for any aspect of the depositary’s actions or for its records of ownership interests in the global security. We also do not supervise the depositary in any way;</w:t>
            </w:r>
            <w:r>
              <w:rPr/>
              <w:t xml:space="preserve"> </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9945" w:type="dxa"/>
            <w:tcBorders/>
            <w:vAlign w:val="center"/>
          </w:tcPr>
          <w:p>
            <w:pPr>
              <w:pStyle w:val="TableContents"/>
              <w:bidi w:val="0"/>
              <w:spacing w:before="0" w:after="283"/>
              <w:jc w:val="both"/>
              <w:rPr>
                <w:sz w:val="20"/>
              </w:rPr>
            </w:pPr>
            <w:r>
              <w:rPr>
                <w:sz w:val="20"/>
              </w:rPr>
              <w:t>the depositary may, and we understand that DTC will, require that those who purchase and sell interests in the global security within its book-entry system use immediately available funds, and your broker or bank may require you to do so as well; and</w:t>
            </w:r>
          </w:p>
        </w:tc>
      </w:tr>
      <w:tr>
        <w:trPr/>
        <w:tc>
          <w:tcPr>
            <w:tcW w:w="75" w:type="dxa"/>
            <w:tcBorders/>
            <w:vAlign w:val="center"/>
          </w:tcPr>
          <w:p>
            <w:pPr>
              <w:pStyle w:val="TableContents"/>
              <w:bidi w:val="0"/>
              <w:spacing w:before="0" w:after="283"/>
              <w:jc w:val="both"/>
              <w:rPr/>
            </w:pPr>
            <w:r>
              <w:rPr/>
              <w:t> </w:t>
            </w:r>
          </w:p>
        </w:tc>
        <w:tc>
          <w:tcPr>
            <w:tcW w:w="185"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9945" w:type="dxa"/>
            <w:tcBorders/>
            <w:vAlign w:val="center"/>
          </w:tcPr>
          <w:p>
            <w:pPr>
              <w:pStyle w:val="TableContents"/>
              <w:bidi w:val="0"/>
              <w:spacing w:before="0" w:after="283"/>
              <w:jc w:val="both"/>
              <w:rPr>
                <w:sz w:val="20"/>
              </w:rPr>
            </w:pPr>
            <w:r>
              <w:rPr>
                <w:sz w:val="20"/>
              </w:rPr>
              <w:t>financial institutions that participate in the depositary’s book-entry system, and through which an investor holds its interest in the global security, may also have their own policies affecting payments, notices and other matters relating to the securities. There may be more than one financial intermediary in the chain of ownership for an investor. We do not monitor and are not responsible for the actions of any of those intermediaries.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Situations When A Global Security Will Be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global security will terminate when the following special situations occur: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8"/>
        <w:gridCol w:w="203"/>
        <w:gridCol w:w="9894"/>
      </w:tblGrid>
      <w:tr>
        <w:trPr/>
        <w:tc>
          <w:tcPr>
            <w:tcW w:w="108" w:type="dxa"/>
            <w:tcBorders/>
            <w:vAlign w:val="center"/>
          </w:tcPr>
          <w:p>
            <w:pPr>
              <w:pStyle w:val="TableContents"/>
              <w:bidi w:val="0"/>
              <w:spacing w:before="0" w:after="283"/>
              <w:jc w:val="left"/>
              <w:rPr/>
            </w:pPr>
            <w:r>
              <w:rPr/>
              <w:t xml:space="preserve">  </w:t>
            </w:r>
          </w:p>
        </w:tc>
        <w:tc>
          <w:tcPr>
            <w:tcW w:w="203" w:type="dxa"/>
            <w:tcBorders/>
            <w:vAlign w:val="center"/>
          </w:tcPr>
          <w:p>
            <w:pPr>
              <w:pStyle w:val="TableContents"/>
              <w:bidi w:val="0"/>
              <w:spacing w:before="0" w:after="283"/>
              <w:jc w:val="left"/>
              <w:rPr/>
            </w:pPr>
            <w:r>
              <w:rPr/>
              <w:t xml:space="preserve">● </w:t>
            </w:r>
          </w:p>
        </w:tc>
        <w:tc>
          <w:tcPr>
            <w:tcW w:w="9894" w:type="dxa"/>
            <w:tcBorders/>
            <w:vAlign w:val="center"/>
          </w:tcPr>
          <w:p>
            <w:pPr>
              <w:pStyle w:val="TableContents"/>
              <w:bidi w:val="0"/>
              <w:spacing w:before="0" w:after="283"/>
              <w:jc w:val="both"/>
              <w:rPr/>
            </w:pPr>
            <w:r>
              <w:rPr>
                <w:sz w:val="20"/>
              </w:rPr>
              <w:t>if the depositary notifies us that it is unwilling, unable or no longer qualified to continue as depositary for that global security and we do not appoint another institution to act as depositary within 90 days; or</w:t>
            </w:r>
            <w:r>
              <w:rPr/>
              <w:t xml:space="preserve"> </w:t>
            </w:r>
          </w:p>
        </w:tc>
      </w:tr>
      <w:tr>
        <w:trPr/>
        <w:tc>
          <w:tcPr>
            <w:tcW w:w="108"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283"/>
              <w:jc w:val="left"/>
              <w:rPr/>
            </w:pPr>
            <w:r>
              <w:rPr/>
              <w:t> </w:t>
            </w:r>
          </w:p>
        </w:tc>
        <w:tc>
          <w:tcPr>
            <w:tcW w:w="9894" w:type="dxa"/>
            <w:tcBorders/>
            <w:vAlign w:val="center"/>
          </w:tcPr>
          <w:p>
            <w:pPr>
              <w:pStyle w:val="TableContents"/>
              <w:bidi w:val="0"/>
              <w:spacing w:before="0" w:after="283"/>
              <w:jc w:val="both"/>
              <w:rPr/>
            </w:pPr>
            <w:r>
              <w:rPr/>
              <w:t> </w:t>
            </w:r>
          </w:p>
        </w:tc>
      </w:tr>
      <w:tr>
        <w:trPr/>
        <w:tc>
          <w:tcPr>
            <w:tcW w:w="108"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9894" w:type="dxa"/>
            <w:tcBorders/>
            <w:vAlign w:val="center"/>
          </w:tcPr>
          <w:p>
            <w:pPr>
              <w:pStyle w:val="TableContents"/>
              <w:bidi w:val="0"/>
              <w:spacing w:before="0" w:after="283"/>
              <w:jc w:val="both"/>
              <w:rPr>
                <w:sz w:val="20"/>
              </w:rPr>
            </w:pPr>
            <w:r>
              <w:rPr>
                <w:sz w:val="20"/>
              </w:rPr>
              <w:t>if an event of default has occurred with regard to securities represented by that global security and has not been cured or waived.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applicable prospectus supplement may also list additional situations for terminating a global security that would apply only to the particular series of securities covered by the prospectus supplement. When a global security terminates neither the depositary, nor us, is responsible for deciding the names of the institutions that will be the initial direct holders.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3"/>
      <w:bookmarkEnd w:id="13"/>
      <w:r>
        <w:rPr>
          <w:rFonts w:ascii="Times New Roman;Times;Serif" w:hAnsi="Times New Roman;Times;Serif"/>
          <w:b/>
          <w:i w:val="false"/>
          <w:caps w:val="false"/>
          <w:smallCaps w:val="false"/>
          <w:sz w:val="20"/>
        </w:rPr>
        <w:t>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being offered hereby in one or more of the following ways from time to time:</w:t>
      </w:r>
    </w:p>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170"/>
        <w:gridCol w:w="44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sz w:val="20"/>
              </w:rPr>
            </w:pPr>
            <w:r>
              <w:rPr>
                <w:sz w:val="20"/>
              </w:rPr>
              <w:t>through agents to the public or to investors;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sz w:val="20"/>
              </w:rPr>
            </w:pPr>
            <w:r>
              <w:rPr>
                <w:sz w:val="20"/>
              </w:rPr>
              <w:t>to underwriters for resale to the public or to investors;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sz w:val="20"/>
              </w:rPr>
            </w:pPr>
            <w:r>
              <w:rPr>
                <w:sz w:val="20"/>
              </w:rPr>
              <w:t>negotiated transactions;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sz w:val="20"/>
              </w:rPr>
            </w:pPr>
            <w:r>
              <w:rPr>
                <w:sz w:val="20"/>
              </w:rPr>
              <w:t>block trades;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sz w:val="20"/>
              </w:rPr>
            </w:pPr>
            <w:r>
              <w:rPr>
                <w:sz w:val="20"/>
              </w:rPr>
              <w:t>directly to investors; or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sz w:val="20"/>
              </w:rPr>
            </w:pPr>
            <w:r>
              <w:rPr>
                <w:sz w:val="20"/>
              </w:rPr>
              <w:t>through a combination of any of these methods of sale.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set forth in more detail below, the securities may be distributed from time to time in one or more transactions:</w:t>
      </w:r>
    </w:p>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75"/>
        <w:gridCol w:w="170"/>
        <w:gridCol w:w="42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both"/>
              <w:rPr>
                <w:sz w:val="20"/>
              </w:rPr>
            </w:pPr>
            <w:r>
              <w:rPr>
                <w:sz w:val="20"/>
              </w:rPr>
              <w:t>at a fixed price or prices, which may be changed;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both"/>
              <w:rPr>
                <w:sz w:val="20"/>
              </w:rPr>
            </w:pPr>
            <w:r>
              <w:rPr>
                <w:sz w:val="20"/>
              </w:rPr>
              <w:t>at market prices prevailing at the time of sale;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both"/>
              <w:rPr>
                <w:sz w:val="20"/>
              </w:rPr>
            </w:pPr>
            <w:r>
              <w:rPr>
                <w:sz w:val="20"/>
              </w:rPr>
              <w:t>at prices related to such prevailing market prices; or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both"/>
              <w:rPr>
                <w:sz w:val="20"/>
              </w:rPr>
            </w:pPr>
            <w:r>
              <w:rPr>
                <w:sz w:val="20"/>
              </w:rPr>
              <w:t>at negotiated prices.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a prospectus supplement the terms of that particular offering of securities, including:</w:t>
      </w:r>
    </w:p>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75"/>
        <w:gridCol w:w="170"/>
        <w:gridCol w:w="89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75" w:type="dxa"/>
            <w:tcBorders/>
            <w:vAlign w:val="center"/>
          </w:tcPr>
          <w:p>
            <w:pPr>
              <w:pStyle w:val="TableContents"/>
              <w:bidi w:val="0"/>
              <w:spacing w:before="0" w:after="283"/>
              <w:jc w:val="both"/>
              <w:rPr>
                <w:sz w:val="20"/>
              </w:rPr>
            </w:pPr>
            <w:r>
              <w:rPr>
                <w:sz w:val="20"/>
              </w:rPr>
              <w:t>the name or names of any agents or underwriters;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75" w:type="dxa"/>
            <w:tcBorders/>
            <w:vAlign w:val="center"/>
          </w:tcPr>
          <w:p>
            <w:pPr>
              <w:pStyle w:val="TableContents"/>
              <w:bidi w:val="0"/>
              <w:spacing w:before="0" w:after="283"/>
              <w:jc w:val="both"/>
              <w:rPr>
                <w:sz w:val="20"/>
              </w:rPr>
            </w:pPr>
            <w:r>
              <w:rPr>
                <w:sz w:val="20"/>
              </w:rPr>
              <w:t>the purchase price of the securities being offered and the proceeds we will receive from the sale;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75" w:type="dxa"/>
            <w:tcBorders/>
            <w:vAlign w:val="center"/>
          </w:tcPr>
          <w:p>
            <w:pPr>
              <w:pStyle w:val="TableContents"/>
              <w:bidi w:val="0"/>
              <w:spacing w:before="0" w:after="283"/>
              <w:jc w:val="both"/>
              <w:rPr>
                <w:sz w:val="20"/>
              </w:rPr>
            </w:pPr>
            <w:r>
              <w:rPr>
                <w:sz w:val="20"/>
              </w:rPr>
              <w:t>any over-allotment options under which underwriters may purchase additional securities from us;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75" w:type="dxa"/>
            <w:tcBorders/>
            <w:vAlign w:val="center"/>
          </w:tcPr>
          <w:p>
            <w:pPr>
              <w:pStyle w:val="TableContents"/>
              <w:bidi w:val="0"/>
              <w:spacing w:before="0" w:after="283"/>
              <w:jc w:val="both"/>
              <w:rPr>
                <w:sz w:val="20"/>
              </w:rPr>
            </w:pPr>
            <w:r>
              <w:rPr>
                <w:sz w:val="20"/>
              </w:rPr>
              <w:t>any agency fees or underwriting discounts and other items constituting agents’ or underwriters’ compensation;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75" w:type="dxa"/>
            <w:tcBorders/>
            <w:vAlign w:val="center"/>
          </w:tcPr>
          <w:p>
            <w:pPr>
              <w:pStyle w:val="TableContents"/>
              <w:bidi w:val="0"/>
              <w:spacing w:before="0" w:after="283"/>
              <w:jc w:val="both"/>
              <w:rPr>
                <w:sz w:val="20"/>
              </w:rPr>
            </w:pPr>
            <w:r>
              <w:rPr>
                <w:sz w:val="20"/>
              </w:rPr>
              <w:t>any initial public offering price;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75" w:type="dxa"/>
            <w:tcBorders/>
            <w:vAlign w:val="center"/>
          </w:tcPr>
          <w:p>
            <w:pPr>
              <w:pStyle w:val="TableContents"/>
              <w:bidi w:val="0"/>
              <w:spacing w:before="0" w:after="283"/>
              <w:jc w:val="both"/>
              <w:rPr>
                <w:sz w:val="20"/>
              </w:rPr>
            </w:pPr>
            <w:r>
              <w:rPr>
                <w:sz w:val="20"/>
              </w:rPr>
              <w:t>any discounts or concessions allowed or re-allowed or paid to dealers;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75" w:type="dxa"/>
            <w:tcBorders/>
            <w:vAlign w:val="center"/>
          </w:tcPr>
          <w:p>
            <w:pPr>
              <w:pStyle w:val="TableContents"/>
              <w:bidi w:val="0"/>
              <w:spacing w:before="0" w:after="283"/>
              <w:jc w:val="both"/>
              <w:rPr>
                <w:sz w:val="20"/>
              </w:rPr>
            </w:pPr>
            <w:r>
              <w:rPr>
                <w:sz w:val="20"/>
              </w:rPr>
              <w:t>any securities exchanges or markets on which such securities may be listed.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underwriters named in an applicable prospectus supplement are underwriters of the securities offered by that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an offering, we will execute an underwriting agreement with such underwriters and will specify the name of each underwriter and the terms of the transaction (including any underwriting discounts and other terms constituting compensation of the underwriters and any dealers) in a prospectus supplement. The securities may be offered to the public either through underwriting syndicates represented by managing underwriters or directly by one or more investment banking firms or others, as designated. If an underwriting syndicate is used, the managing underwriter(s) will be specified on the cover of the prospectus supplement. If underwriters are used in the sale, the offered securities will be acquired by the underwriters for their own accounts and may be resold from time to time in one or more transactions, including negotiated transactions, at a fixed public offering price or at varying prices determined at the time of sale. Any public offering price and any discounts or concessions allowed or re-allowed or paid to dealers may be changed from time to time. Unless otherwise set forth in the prospectus supplement, the obligations of the underwriters to purchase the offered securities will be subject to conditions precedent and the underwriters will be obligated to purchase all of the offered securities if any are purchased.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grant to the underwriters options to purchase additional securities to cover over-allotments, if any, at the public offering price, with additional underwriting commissions or discounts, as may be set forth in a related prospectus supplement. The terms of any over-allotment option will be set forth in the prospectus supplement for those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use a dealer in the sale of the securities being offered pursuant to this prospectus or any prospectus supplement, we will sell the securities to the dealer, as principal. The dealer may then resell the securities to the public at varying prices to be determined by the dealer at the time of resale. The names of the dealers and the terms of the transaction will be specified in a prospectus supplement.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or through agents we designate from time to time. We will name any agent involved in the offering and sale of securities and we will describe any commissions we will pay the agent in the prospectus supplement. Unless the prospectus supplement states otherwise, any agent will act on a best-efforts basis for the period of its appointment.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authorize agents or underwriters to solicit offers by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underwriters, dealers or agents may receive compensation from us or from purchasers of the common stock for whom they act as agents in the form of discounts, concessions or commissions. Underwriters may sell the securities to or through dealers, and those dealers may receive compensation in the form of discounts, concessions or commissions from the underwriters or commissions from the purchasers for whom they may act as agents. Underwriters, dealers and agents that participate in the distribution of the securities, and any institutional investors or others that purchase common stock directly and then resell the securities, may be deemed to be underwriters, and any discounts or commissions received by them from us and any profit on the resale of the common stock by them may be deemed to be underwriting discounts and commissions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provide agents and underwriters with indemnification against particular civil liabilities, including liabilities under the Securities Act, or contribution with respect to payments that the agents or underwriters may make with respect to such liabilities. Agents and underwriters may engage in transactions with, or perform services for, us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engage in at the market offerings into an existing trading market in accordance with Rule 415(a)(4) under the Securities Act. In addition, we may enter into derivative transactions with third parties (including the writing of options), or sell securities not covered by this prospectus to third parties in privately negotiated transactions. If the applicable prospectus supplement indicates, in connection with such a transaction, the third parties may, pursuant to this prospectus and the applicable prospectus supplement, sell securities covered by this prospectus and the applicable prospectus supplement. If so, the third party may use securities borrowed from us or others to settle such sales and may use securities received from us to close out any related short positions. We may also loan or pledge securities covered by this prospectus and the applicable prospectus supplement to third parties, who may sell the loaned securities or, in an event of default in the case of a pledge, sell the pledged securities pursuant to this prospectus and the applicable prospectus supplement. The third party in such sale transactions will be an underwriter and will be identified in the applicable prospectus supplement or in a post-effective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an offering of a series of securities, persons participating in the offering may engage in transactions that stabilize, maintain, or otherwise affect the market price of the securities. This may include over-allotments or short sales of the securities, which involves the sale by persons participating in the offering of more securities than have been sold to them by us. In those circumstances, such persons would cover such over-allotments or short positions by purchasing in the open market or by exercising the over-allotment option granted to those persons. In addition, those persons may stabilize or maintain the price of the securities by bidding for or purchasing securities in the open market or by imposing penalty bids, whereby selling concessions allowed to underwriters or dealers participating in any such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Such transactions, if commenced, may be discontinued at any time. We make no representation or prediction as to the direction or magnitude of any effect that the transactions described above, if implemented, may have on the price of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each class or series of securities will be a new issue with no established trading market, other than our Class A common stock, which is listed on The Nasdaq Capital Market. We may elect to list any other class or series of securities on any exchange or market,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some U.S. states or territories, if applicable, the securities offered pursuant to this prospectus will be sold in those states only through registered or licensed brokers or dealers. In addition, in some states securities may not be sold unless they have been registered or qualified for sale in the applicable state or an exemption from the registration or qualification requirement is available and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 may engage in overallotment, stabilizing transactions, short 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these activities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underwriters who are qualified market makers on The Nasdaq Capital Market may engage in passive market making transactions in the securities on The Nasdaq Capital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4"/>
      <w:bookmarkEnd w:id="14"/>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issuance of the securities offered hereby will be passed upon for us by Sheppard, Mullin, Richter &amp; Hampton LLP, New York, NY. Additional legal matters may be passed upon for us or any underwriters, dealers or agents, by counsel that we will name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5"/>
      <w:bookmarkEnd w:id="15"/>
      <w:r>
        <w:rPr>
          <w:rFonts w:ascii="Times New Roman;Times;Serif" w:hAnsi="Times New Roman;Times;Serif"/>
          <w:b/>
          <w:i w:val="false"/>
          <w:caps w:val="false"/>
          <w:smallCaps w:val="false"/>
          <w:sz w:val="20"/>
        </w:rPr>
        <w:t>EXPERTS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as of December 31, 2022 and for each of the two years in the period ended December 31, 2022, incorporated by reference in this Prospectus and in the Registration Statement have been so incorporated in reliance on the report of BDO USA, LLP (n/k/a BDO USA, P.A.), an independent registered public accounting firm, incorporated herein by reference, given on the authority of said firm as experts in auditing and accounting.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6"/>
      <w:bookmarkEnd w:id="16"/>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S-3 under the Securities Act with respect to the securities offered by this prospectus. This prospectus, which forms a part of such registration statement, does not contain all of the information included in the registration statement or the exhibits thereto. For further information pertaining to us and our securities, you should refer to the registration statement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file annual, quarterly and current reports, proxy statements and other information with the SEC. Our SEC filings are available to the public over the Internet at the SEC’s website at www.sec.gov and on our website, free of charge, at www.opalfuels.com. The information contained on, or that may be accessed through or that is hyperlinked to, our website is not part of, and is not incorporated into, this prospectus. You may inspect a copy of the registration statement through the SEC’s website, as provided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17"/>
      <w:bookmarkEnd w:id="17"/>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into this prospectus, which means that we can disclose important information about us by referring to another document filed separately with the SEC. The information incorporated by reference is considered to be a part of this prospectus. This prospectus incorporates by reference the documents and reports listed below other than portions of these documents that are furnished under Item 2.02 or Item 7.01 of a current report on Form 8–K:</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annual report on </w:t>
            </w:r>
            <w:hyperlink r:id="rId3">
              <w:r>
                <w:rPr>
                  <w:rStyle w:val="InternetLink"/>
                </w:rPr>
                <w:t>Form 10–K</w:t>
              </w:r>
            </w:hyperlink>
            <w:r>
              <w:rPr/>
              <w:t xml:space="preserve"> for the fiscal year ended December 31, 2022, filed with the SEC on March 29, 2023;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quarterly report on </w:t>
            </w:r>
            <w:hyperlink r:id="rId4">
              <w:r>
                <w:rPr>
                  <w:rStyle w:val="InternetLink"/>
                </w:rPr>
                <w:t>Form 10–Q</w:t>
              </w:r>
            </w:hyperlink>
            <w:r>
              <w:rPr/>
              <w:t xml:space="preserve"> for the three months ended March 31, 2023, filed with the SEC on May 15, 2023;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 xml:space="preserve">● </w:t>
            </w:r>
          </w:p>
        </w:tc>
        <w:tc>
          <w:tcPr>
            <w:tcW w:w="9957" w:type="dxa"/>
            <w:tcBorders/>
            <w:vAlign w:val="center"/>
          </w:tcPr>
          <w:p>
            <w:pPr>
              <w:pStyle w:val="TableContents"/>
              <w:bidi w:val="0"/>
              <w:spacing w:before="0" w:after="283"/>
              <w:jc w:val="both"/>
              <w:rPr/>
            </w:pPr>
            <w:r>
              <w:rPr/>
              <w:t xml:space="preserve">our current reports on Form 8–K filed with the SEC on </w:t>
            </w:r>
            <w:hyperlink r:id="rId5">
              <w:r>
                <w:rPr>
                  <w:rStyle w:val="InternetLink"/>
                </w:rPr>
                <w:t>April 5, 2023</w:t>
              </w:r>
            </w:hyperlink>
            <w:r>
              <w:rPr/>
              <w:t xml:space="preserve">, </w:t>
            </w:r>
            <w:hyperlink r:id="rId6">
              <w:r>
                <w:rPr>
                  <w:rStyle w:val="InternetLink"/>
                </w:rPr>
                <w:t>April 19, 2023</w:t>
              </w:r>
            </w:hyperlink>
            <w:r>
              <w:rPr/>
              <w:t xml:space="preserve">, </w:t>
            </w:r>
            <w:hyperlink r:id="rId7">
              <w:r>
                <w:rPr>
                  <w:rStyle w:val="InternetLink"/>
                </w:rPr>
                <w:t>May 8, 2023</w:t>
              </w:r>
            </w:hyperlink>
            <w:r>
              <w:rPr/>
              <w:t xml:space="preserve">, </w:t>
            </w:r>
            <w:hyperlink r:id="rId8">
              <w:r>
                <w:rPr>
                  <w:rStyle w:val="InternetLink"/>
                </w:rPr>
                <w:t>June 2, 2023</w:t>
              </w:r>
            </w:hyperlink>
            <w:r>
              <w:rPr/>
              <w:t xml:space="preserve">, </w:t>
            </w:r>
            <w:hyperlink r:id="rId9">
              <w:r>
                <w:rPr>
                  <w:rStyle w:val="InternetLink"/>
                </w:rPr>
                <w:t>June 23, 2023</w:t>
              </w:r>
            </w:hyperlink>
            <w:r>
              <w:rPr/>
              <w:t xml:space="preserve"> and </w:t>
            </w:r>
            <w:hyperlink r:id="rId10">
              <w:r>
                <w:rPr>
                  <w:rStyle w:val="InternetLink"/>
                </w:rPr>
                <w:t>June 29, 2023</w:t>
              </w:r>
            </w:hyperlink>
            <w:r>
              <w:rPr/>
              <w:t xml:space="preserve">; and </w:t>
            </w:r>
          </w:p>
        </w:tc>
      </w:tr>
    </w:tbl>
    <w:p>
      <w:pPr>
        <w:pStyle w:val="TextBody"/>
        <w:bidi w:val="0"/>
        <w:spacing w:before="0" w:after="0"/>
        <w:ind w:left="0" w:right="0" w:hanging="0"/>
        <w:jc w:val="both"/>
        <w:rPr>
          <w:caps w:val="false"/>
          <w:smallCaps w:val="false"/>
        </w:rPr>
      </w:pPr>
      <w:r>
        <w:rPr>
          <w:caps w:val="false"/>
          <w:smallCaps w:val="false"/>
        </w:rPr>
        <w:t> </w:t>
      </w:r>
    </w:p>
    <w:tbl>
      <w:tblPr>
        <w:tblW w:w="5688" w:type="dxa"/>
        <w:jc w:val="left"/>
        <w:tblInd w:w="0" w:type="dxa"/>
        <w:tblLayout w:type="fixed"/>
        <w:tblCellMar>
          <w:top w:w="0" w:type="dxa"/>
          <w:left w:w="0" w:type="dxa"/>
          <w:bottom w:w="0" w:type="dxa"/>
          <w:right w:w="0" w:type="dxa"/>
        </w:tblCellMar>
      </w:tblPr>
      <w:tblGrid>
        <w:gridCol w:w="38"/>
        <w:gridCol w:w="230"/>
        <w:gridCol w:w="54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 xml:space="preserve">● </w:t>
            </w:r>
          </w:p>
        </w:tc>
        <w:tc>
          <w:tcPr>
            <w:tcW w:w="5420" w:type="dxa"/>
            <w:tcBorders/>
            <w:vAlign w:val="center"/>
          </w:tcPr>
          <w:p>
            <w:pPr>
              <w:pStyle w:val="TableContents"/>
              <w:bidi w:val="0"/>
              <w:spacing w:before="0" w:after="283"/>
              <w:jc w:val="both"/>
              <w:rPr/>
            </w:pPr>
            <w:r>
              <w:rPr/>
              <w:t xml:space="preserve">our definitive proxy filed with the SEC on </w:t>
            </w:r>
            <w:hyperlink r:id="rId11">
              <w:r>
                <w:rPr>
                  <w:rStyle w:val="InternetLink"/>
                </w:rPr>
                <w:t>May 9, 2023</w:t>
              </w:r>
            </w:hyperlink>
            <w:r>
              <w:rPr/>
              <w:t xml:space="preserve">. </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all documents subsequently filed by us pursuant to Sections 13(a), 13(c), 14 and 15(d) of the Exchange Act, shall be deemed to be incorporated by reference in this prospectus and to be a part hereof from the date of filing of such documents. In addition, all reports and other documents filed by us pursuant to the Exchange Act after the date of the initial registration statement and prior to effectiveness of the registration statement shall be deemed to be incorporated by reference into this prospectus. Any statement contained in a document incorporated or deemed to be incorporated by reference herein shall be deemed to be modified or superseded for purposes of this prospectus to the extent that a statement contained herein or in any subsequently filed document that also is or is deemed to be incorporated by reference herein, as the case may be, modifies or supersedes such statement. Any such statement so modified or superseded shall not be deemed, except as so modified or superseded, to constitute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documents incorporated herein by reference may be obtained on our website at www.opalfuels.com. The information on our website is not incorporated by reference into this prospectus. These documents are also available on the SEC’s website at http://www.sec.gov.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any person, including any beneficial owner, to whom a copy of this prospectus is delivered, upon oral or written request of such person, a copy of any or all of the documents that have been incorporated by reference in this prospectus but not delivered with the prospectus, including any exhibits to such documents that are specifically incorporated by reference in those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make your request by writing or telephoning us at the following address or telephone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OPAL Fuels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North Lexington Avenue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1450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 Plains, New York 10601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(914) 705-4000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pBdr>
          <w:top w:val="single" w:sz="12" w:space="1" w:color="000000"/>
        </w:pBd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514600" cy="590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2"/>
                    <a:stretch>
                      <a:fillRect/>
                    </a:stretch>
                  </pic:blipFill>
                  <pic:spPr bwMode="auto">
                    <a:xfrm>
                      <a:off x="0" y="0"/>
                      <a:ext cx="2514600" cy="5905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OPAL FUELS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pBdr>
          <w:bottom w:val="single" w:sz="12"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or incorporated by reference in this prospectus. We have not authorized anyone to provide you with different information. You should not assume that the information contained or incorporated by reference in this prospectus is accurate as of any date other than the date of this prospectus. We are not making an offer of these securities in any state where the offer is not permitted.</w:t>
      </w:r>
    </w:p>
    <w:p>
      <w:pPr>
        <w:pStyle w:val="TextBody"/>
        <w:pBdr>
          <w:bottom w:val="single" w:sz="12"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estimated expenses to be borne by us in connection with the issuance and distribution of the shares of common stock being registered hereby. All amounts shown are estimates except for the SEC registration fee.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bear all costs, expenses and fees in connection with the registration of the securities. Selling Holders, however, will bear all underwriting commissions and discounts, if any, attributable to their respective sales sale of the securities.</w:t>
      </w:r>
    </w:p>
    <w:p>
      <w:pPr>
        <w:pStyle w:val="TextBody"/>
        <w:bidi w:val="0"/>
        <w:spacing w:before="0" w:after="0"/>
        <w:ind w:left="0" w:right="0" w:hanging="0"/>
        <w:jc w:val="left"/>
        <w:rPr>
          <w:caps w:val="false"/>
          <w:smallCaps w:val="false"/>
        </w:rPr>
      </w:pPr>
      <w:r>
        <w:rPr>
          <w:caps w:val="false"/>
          <w:smallCaps w:val="false"/>
        </w:rPr>
        <w:t> </w:t>
      </w:r>
    </w:p>
    <w:tbl>
      <w:tblPr>
        <w:tblW w:w="4785" w:type="dxa"/>
        <w:jc w:val="left"/>
        <w:tblInd w:w="0" w:type="dxa"/>
        <w:tblLayout w:type="fixed"/>
        <w:tblCellMar>
          <w:top w:w="0" w:type="dxa"/>
          <w:left w:w="0" w:type="dxa"/>
          <w:bottom w:w="0" w:type="dxa"/>
          <w:right w:w="0" w:type="dxa"/>
        </w:tblCellMar>
      </w:tblPr>
      <w:tblGrid>
        <w:gridCol w:w="3200"/>
        <w:gridCol w:w="120"/>
        <w:gridCol w:w="200"/>
        <w:gridCol w:w="1130"/>
        <w:gridCol w:w="135"/>
      </w:tblGrid>
      <w:tr>
        <w:trPr/>
        <w:tc>
          <w:tcPr>
            <w:tcW w:w="3200" w:type="dxa"/>
            <w:tcBorders/>
            <w:shd w:fill="CCEEFF" w:val="clear"/>
            <w:vAlign w:val="center"/>
          </w:tcPr>
          <w:p>
            <w:pPr>
              <w:pStyle w:val="TableContents"/>
              <w:bidi w:val="0"/>
              <w:spacing w:before="0" w:after="283"/>
              <w:jc w:val="left"/>
              <w:rPr/>
            </w:pPr>
            <w:r>
              <w:rPr/>
              <w:t xml:space="preserve">SEC registration fee* </w:t>
            </w:r>
          </w:p>
        </w:tc>
        <w:tc>
          <w:tcPr>
            <w:tcW w:w="120" w:type="dxa"/>
            <w:tcBorders/>
            <w:shd w:fill="CCEEFF" w:val="clear"/>
            <w:vAlign w:val="center"/>
          </w:tcPr>
          <w:p>
            <w:pPr>
              <w:pStyle w:val="TableContents"/>
              <w:bidi w:val="0"/>
              <w:spacing w:before="0" w:after="283"/>
              <w:jc w:val="left"/>
              <w:rPr/>
            </w:pPr>
            <w:r>
              <w:rPr/>
              <w:t xml:space="preserve">  </w:t>
            </w:r>
          </w:p>
        </w:tc>
        <w:tc>
          <w:tcPr>
            <w:tcW w:w="200" w:type="dxa"/>
            <w:tcBorders/>
            <w:shd w:fill="CCEEFF" w:val="clear"/>
            <w:vAlign w:val="center"/>
          </w:tcPr>
          <w:p>
            <w:pPr>
              <w:pStyle w:val="TableContents"/>
              <w:bidi w:val="0"/>
              <w:spacing w:before="0" w:after="283"/>
              <w:jc w:val="left"/>
              <w:rPr/>
            </w:pPr>
            <w:r>
              <w:rPr/>
              <w:t xml:space="preserve">$ </w:t>
            </w:r>
          </w:p>
        </w:tc>
        <w:tc>
          <w:tcPr>
            <w:tcW w:w="1130"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22,040 </w:t>
            </w:r>
          </w:p>
        </w:tc>
        <w:tc>
          <w:tcPr>
            <w:tcW w:w="135" w:type="dxa"/>
            <w:tcBorders/>
            <w:shd w:fill="CCEEFF" w:val="clear"/>
            <w:vAlign w:val="center"/>
          </w:tcPr>
          <w:p>
            <w:pPr>
              <w:pStyle w:val="TableContents"/>
              <w:bidi w:val="0"/>
              <w:spacing w:before="0" w:after="283"/>
              <w:jc w:val="left"/>
              <w:rPr/>
            </w:pPr>
            <w:r>
              <w:rPr/>
              <w:t xml:space="preserve">  </w:t>
            </w:r>
          </w:p>
        </w:tc>
      </w:tr>
      <w:tr>
        <w:trPr/>
        <w:tc>
          <w:tcPr>
            <w:tcW w:w="3200" w:type="dxa"/>
            <w:tcBorders/>
            <w:shd w:fill="FFFFFF" w:val="clear"/>
            <w:vAlign w:val="center"/>
          </w:tcPr>
          <w:p>
            <w:pPr>
              <w:pStyle w:val="TableContents"/>
              <w:bidi w:val="0"/>
              <w:spacing w:before="0" w:after="283"/>
              <w:jc w:val="left"/>
              <w:rPr/>
            </w:pPr>
            <w:r>
              <w:rPr/>
              <w:t xml:space="preserve">Accounting fees and expenses </w:t>
            </w:r>
          </w:p>
        </w:tc>
        <w:tc>
          <w:tcPr>
            <w:tcW w:w="120" w:type="dxa"/>
            <w:tcBorders/>
            <w:shd w:fill="FFFFFF" w:val="clear"/>
            <w:vAlign w:val="center"/>
          </w:tcPr>
          <w:p>
            <w:pPr>
              <w:pStyle w:val="TableContents"/>
              <w:bidi w:val="0"/>
              <w:spacing w:before="0" w:after="283"/>
              <w:jc w:val="left"/>
              <w:rPr/>
            </w:pPr>
            <w:r>
              <w:rPr/>
              <w:t xml:space="preserve">  </w:t>
            </w:r>
          </w:p>
        </w:tc>
        <w:tc>
          <w:tcPr>
            <w:tcW w:w="200" w:type="dxa"/>
            <w:tcBorders/>
            <w:shd w:fill="FFFFFF" w:val="clear"/>
            <w:vAlign w:val="center"/>
          </w:tcPr>
          <w:p>
            <w:pPr>
              <w:pStyle w:val="TableContents"/>
              <w:bidi w:val="0"/>
              <w:spacing w:before="0" w:after="283"/>
              <w:jc w:val="left"/>
              <w:rPr/>
            </w:pPr>
            <w:r>
              <w:rPr/>
              <w:t xml:space="preserve">  </w:t>
            </w:r>
          </w:p>
        </w:tc>
        <w:tc>
          <w:tcPr>
            <w:tcW w:w="1130" w:type="dxa"/>
            <w:tcBorders/>
            <w:shd w:fill="FFFFFF" w:val="clear"/>
            <w:vAlign w:val="center"/>
          </w:tcPr>
          <w:p>
            <w:pPr>
              <w:pStyle w:val="TableContents"/>
              <w:bidi w:val="0"/>
              <w:spacing w:before="0" w:after="283"/>
              <w:jc w:val="right"/>
              <w:rPr/>
            </w:pPr>
            <w:r>
              <w:rPr>
                <w:rFonts w:ascii="Times New Roman;Times;Serif" w:hAnsi="Times New Roman;Times;Serif"/>
                <w:sz w:val="20"/>
              </w:rPr>
              <w:t>**</w:t>
            </w:r>
            <w:r>
              <w:rPr/>
              <w:t xml:space="preserve"> </w:t>
            </w:r>
          </w:p>
        </w:tc>
        <w:tc>
          <w:tcPr>
            <w:tcW w:w="135" w:type="dxa"/>
            <w:tcBorders/>
            <w:shd w:fill="FFFFFF" w:val="clear"/>
            <w:vAlign w:val="center"/>
          </w:tcPr>
          <w:p>
            <w:pPr>
              <w:pStyle w:val="TableContents"/>
              <w:bidi w:val="0"/>
              <w:spacing w:before="0" w:after="283"/>
              <w:jc w:val="left"/>
              <w:rPr/>
            </w:pPr>
            <w:r>
              <w:rPr/>
              <w:t xml:space="preserve">  </w:t>
            </w:r>
          </w:p>
        </w:tc>
      </w:tr>
      <w:tr>
        <w:trPr/>
        <w:tc>
          <w:tcPr>
            <w:tcW w:w="3200" w:type="dxa"/>
            <w:tcBorders/>
            <w:shd w:fill="CCEEFF" w:val="clear"/>
            <w:vAlign w:val="center"/>
          </w:tcPr>
          <w:p>
            <w:pPr>
              <w:pStyle w:val="TableContents"/>
              <w:bidi w:val="0"/>
              <w:spacing w:before="0" w:after="283"/>
              <w:jc w:val="left"/>
              <w:rPr/>
            </w:pPr>
            <w:r>
              <w:rPr/>
              <w:t xml:space="preserve">Legal fees and expenses </w:t>
            </w:r>
          </w:p>
        </w:tc>
        <w:tc>
          <w:tcPr>
            <w:tcW w:w="120" w:type="dxa"/>
            <w:tcBorders/>
            <w:shd w:fill="CCEEFF" w:val="clear"/>
            <w:vAlign w:val="center"/>
          </w:tcPr>
          <w:p>
            <w:pPr>
              <w:pStyle w:val="TableContents"/>
              <w:bidi w:val="0"/>
              <w:spacing w:before="0" w:after="283"/>
              <w:jc w:val="left"/>
              <w:rPr/>
            </w:pPr>
            <w:r>
              <w:rPr/>
              <w:t xml:space="preserve">  </w:t>
            </w:r>
          </w:p>
        </w:tc>
        <w:tc>
          <w:tcPr>
            <w:tcW w:w="200" w:type="dxa"/>
            <w:tcBorders/>
            <w:shd w:fill="CCEEFF" w:val="clear"/>
            <w:vAlign w:val="center"/>
          </w:tcPr>
          <w:p>
            <w:pPr>
              <w:pStyle w:val="TableContents"/>
              <w:bidi w:val="0"/>
              <w:spacing w:before="0" w:after="283"/>
              <w:jc w:val="left"/>
              <w:rPr/>
            </w:pPr>
            <w:r>
              <w:rPr/>
              <w:t xml:space="preserve">  </w:t>
            </w:r>
          </w:p>
        </w:tc>
        <w:tc>
          <w:tcPr>
            <w:tcW w:w="1130" w:type="dxa"/>
            <w:tcBorders/>
            <w:shd w:fill="CCEEFF" w:val="clear"/>
            <w:vAlign w:val="center"/>
          </w:tcPr>
          <w:p>
            <w:pPr>
              <w:pStyle w:val="TableContents"/>
              <w:bidi w:val="0"/>
              <w:spacing w:before="0" w:after="283"/>
              <w:jc w:val="right"/>
              <w:rPr/>
            </w:pPr>
            <w:r>
              <w:rPr>
                <w:rFonts w:ascii="Times New Roman;Times;Serif" w:hAnsi="Times New Roman;Times;Serif"/>
                <w:sz w:val="20"/>
              </w:rPr>
              <w:t>**</w:t>
            </w:r>
            <w:r>
              <w:rPr/>
              <w:t xml:space="preserve"> </w:t>
            </w:r>
          </w:p>
        </w:tc>
        <w:tc>
          <w:tcPr>
            <w:tcW w:w="135" w:type="dxa"/>
            <w:tcBorders/>
            <w:shd w:fill="CCEEFF" w:val="clear"/>
            <w:vAlign w:val="center"/>
          </w:tcPr>
          <w:p>
            <w:pPr>
              <w:pStyle w:val="TableContents"/>
              <w:bidi w:val="0"/>
              <w:spacing w:before="0" w:after="283"/>
              <w:jc w:val="left"/>
              <w:rPr/>
            </w:pPr>
            <w:r>
              <w:rPr/>
              <w:t xml:space="preserve">  </w:t>
            </w:r>
          </w:p>
        </w:tc>
      </w:tr>
      <w:tr>
        <w:trPr/>
        <w:tc>
          <w:tcPr>
            <w:tcW w:w="3200" w:type="dxa"/>
            <w:tcBorders/>
            <w:shd w:fill="FFFFFF" w:val="clear"/>
            <w:vAlign w:val="center"/>
          </w:tcPr>
          <w:p>
            <w:pPr>
              <w:pStyle w:val="TableContents"/>
              <w:bidi w:val="0"/>
              <w:spacing w:before="0" w:after="283"/>
              <w:jc w:val="left"/>
              <w:rPr/>
            </w:pPr>
            <w:r>
              <w:rPr/>
              <w:t xml:space="preserve">Miscellaneous fees and expenses </w:t>
            </w:r>
          </w:p>
        </w:tc>
        <w:tc>
          <w:tcPr>
            <w:tcW w:w="120" w:type="dxa"/>
            <w:tcBorders/>
            <w:shd w:fill="FFFFFF" w:val="clear"/>
            <w:vAlign w:val="center"/>
          </w:tcPr>
          <w:p>
            <w:pPr>
              <w:pStyle w:val="TableContents"/>
              <w:bidi w:val="0"/>
              <w:spacing w:before="0" w:after="283"/>
              <w:jc w:val="left"/>
              <w:rPr/>
            </w:pPr>
            <w:r>
              <w:rPr/>
              <w:t xml:space="preserve">  </w:t>
            </w:r>
          </w:p>
        </w:tc>
        <w:tc>
          <w:tcPr>
            <w:tcW w:w="200"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rFonts w:ascii="Times New Roman;Times;Serif" w:hAnsi="Times New Roman;Times;Serif"/>
                <w:sz w:val="20"/>
              </w:rPr>
              <w:t>**</w:t>
            </w:r>
            <w:r>
              <w:rPr/>
              <w:t xml:space="preserve"> </w:t>
            </w:r>
          </w:p>
        </w:tc>
        <w:tc>
          <w:tcPr>
            <w:tcW w:w="135" w:type="dxa"/>
            <w:tcBorders/>
            <w:shd w:fill="FFFFFF" w:val="clear"/>
            <w:vAlign w:val="center"/>
          </w:tcPr>
          <w:p>
            <w:pPr>
              <w:pStyle w:val="TableContents"/>
              <w:bidi w:val="0"/>
              <w:spacing w:before="0" w:after="283"/>
              <w:jc w:val="left"/>
              <w:rPr/>
            </w:pPr>
            <w:r>
              <w:rPr/>
              <w:t xml:space="preserve">  </w:t>
            </w:r>
          </w:p>
        </w:tc>
      </w:tr>
      <w:tr>
        <w:trPr/>
        <w:tc>
          <w:tcPr>
            <w:tcW w:w="3200" w:type="dxa"/>
            <w:tcBorders/>
            <w:shd w:fill="CCEEFF" w:val="clear"/>
            <w:vAlign w:val="center"/>
          </w:tcPr>
          <w:p>
            <w:pPr>
              <w:pStyle w:val="TableContents"/>
              <w:bidi w:val="0"/>
              <w:spacing w:before="0" w:after="283"/>
              <w:jc w:val="left"/>
              <w:rPr/>
            </w:pPr>
            <w:r>
              <w:rPr/>
              <w:t xml:space="preserve">Total expenses </w:t>
            </w:r>
          </w:p>
        </w:tc>
        <w:tc>
          <w:tcPr>
            <w:tcW w:w="120" w:type="dxa"/>
            <w:tcBorders/>
            <w:shd w:fill="CCEEFF" w:val="clear"/>
            <w:vAlign w:val="center"/>
          </w:tcPr>
          <w:p>
            <w:pPr>
              <w:pStyle w:val="TableContents"/>
              <w:bidi w:val="0"/>
              <w:spacing w:before="0" w:after="283"/>
              <w:jc w:val="left"/>
              <w:rPr/>
            </w:pPr>
            <w:r>
              <w:rPr/>
              <w:t xml:space="preserve">  </w:t>
            </w:r>
          </w:p>
        </w:tc>
        <w:tc>
          <w:tcPr>
            <w:tcW w:w="200"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r>
              <w:rPr>
                <w:rFonts w:ascii="Times New Roman;Times;Serif" w:hAnsi="Times New Roman;Times;Serif"/>
                <w:sz w:val="20"/>
              </w:rPr>
              <w:t>**</w:t>
            </w:r>
            <w:r>
              <w:rPr/>
              <w:t xml:space="preserve"> </w:t>
            </w:r>
          </w:p>
        </w:tc>
        <w:tc>
          <w:tcPr>
            <w:tcW w:w="135" w:type="dxa"/>
            <w:tcBorders/>
            <w:shd w:fill="CCEEFF" w:val="clear"/>
            <w:vAlign w:val="center"/>
          </w:tcPr>
          <w:p>
            <w:pPr>
              <w:pStyle w:val="TableContents"/>
              <w:bidi w:val="0"/>
              <w:spacing w:before="0" w:after="283"/>
              <w:jc w:val="left"/>
              <w:rPr/>
            </w:pPr>
            <w:r>
              <w:rPr/>
              <w:t xml:space="preserve">  </w:t>
            </w:r>
          </w:p>
        </w:tc>
      </w:tr>
    </w:tbl>
    <w:p>
      <w:pPr>
        <w:pStyle w:val="TextBody"/>
        <w:bidi w:val="0"/>
        <w:spacing w:before="0" w:after="0"/>
        <w:ind w:left="0" w:right="0" w:hanging="0"/>
        <w:jc w:val="left"/>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38"/>
        <w:gridCol w:w="185"/>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rFonts w:ascii="Times New Roman;Times;Serif" w:hAnsi="Times New Roman;Times;Serif"/>
                <w:sz w:val="20"/>
              </w:rPr>
              <w:t>*</w:t>
            </w:r>
            <w:r>
              <w:rPr/>
              <w:t xml:space="preserve"> </w:t>
            </w:r>
          </w:p>
        </w:tc>
        <w:tc>
          <w:tcPr>
            <w:tcW w:w="7235" w:type="dxa"/>
            <w:tcBorders/>
            <w:vAlign w:val="center"/>
          </w:tcPr>
          <w:p>
            <w:pPr>
              <w:pStyle w:val="TableContents"/>
              <w:bidi w:val="0"/>
              <w:spacing w:before="0" w:after="283"/>
              <w:jc w:val="both"/>
              <w:rPr/>
            </w:pPr>
            <w:r>
              <w:rPr/>
              <w:t xml:space="preserve">Includes $11,020 in SEC registration fees previously paid by the Company. </w:t>
            </w:r>
          </w:p>
        </w:tc>
      </w:tr>
    </w:tbl>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rFonts w:ascii="Times New Roman;Times;Serif" w:hAnsi="Times New Roman;Times;Serif"/>
                <w:b/>
                <w:sz w:val="20"/>
              </w:rPr>
              <w:t>**</w:t>
            </w:r>
            <w:r>
              <w:rPr/>
              <w:t xml:space="preserve"> </w:t>
            </w:r>
          </w:p>
        </w:tc>
        <w:tc>
          <w:tcPr>
            <w:tcW w:w="9896" w:type="dxa"/>
            <w:tcBorders/>
            <w:vAlign w:val="center"/>
          </w:tcPr>
          <w:p>
            <w:pPr>
              <w:pStyle w:val="TableContents"/>
              <w:bidi w:val="0"/>
              <w:spacing w:before="0" w:after="283"/>
              <w:jc w:val="both"/>
              <w:rPr/>
            </w:pPr>
            <w:r>
              <w:rPr>
                <w:rFonts w:ascii="Times New Roman;Times;Serif" w:hAnsi="Times New Roman;Times;Serif"/>
                <w:sz w:val="20"/>
              </w:rPr>
              <w:t>These fees and expenses depend on the securities offered and the number of issuances and accordingly cannot be estimated at this time.</w:t>
            </w:r>
            <w:r>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OPAL is governed by the DGCL, as the same exists or may hereafter be amended. Section 145 of the DGCL (“Section 145”)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or enterprise. The indemnification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Section 145 also provides that a Delaware corporation may indemnify any person who was or is a party or is threatened to be made a party to any threatened, pending or completed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such person’s status as such, whether or not the corporation would otherwise have the power to indemnify such person against such liability under Section 145.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and Bylaws provide that we shall indemnify, to the fullest extent permitted by law, any person made or threatened to be made a party to an action or proceeding, whether criminal, civil, administrative or investigative, by reason of the fact that he or she is or was our director or executive officer (as defined in the Bylaws) or serves or served at any other corporation, partnership, joint venture, trust or other enterprise as a director or executive officer at our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eliminates the liability of a director to the fullest extent permitted by the DGCL. Pursuant to Section 102(b)(7) of the DGCL, a corporation may eliminate the personal liability of a director to the corporation or its stockholders for monetary damages for breach of fiduciary duty as a director, except for liabilities arising (i) from any breach of the director’s duty of loyalty to the corporation or its stockholders, (ii) from acts or omissions not in good faith or which involve intentional misconduct or a knowing violation of law, (iii) under Section 174 of the DGCL, or (iv) from any transaction from which the director derived an improper personal benefit.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be held not to be enforceable for certain violations of the federal securities laws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on July 21, 2022, we entered into the Indemnification Agreements with each of our directors and executive officers which provide that we shall indemnify such directors and executive officers under the circumstances and to the extent provided for therein, from and against all losses, claims, damages, liabilities, joint or several, expenses (including legal fees and expenses), judgments, fines, penalties, interest, settlements or other amounts arising from any and all threatened, pending or completed claim, demand, action, suit or proceeding, whether civil, criminal, administrative or investigative, and whether formal or informal, and including appeals, in which he or she may be involved, or is threatened to be involved, as a party or otherwise, to the fullest extent permitted under Delaware law and our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the Company pursuant to the foregoing provisions, the Company has been informed that in the opinion of the Securities and Exchange Commission such indemnification is against public policy as expressed in the Securities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 and Financial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Exhibits</w:t>
      </w:r>
      <w:r>
        <w:rPr>
          <w:rFonts w:ascii="Times New Roman;Times;Serif" w:hAnsi="Times New Roman;Times;Serif"/>
          <w:b w:val="false"/>
          <w:i w:val="false"/>
          <w:caps w:val="false"/>
          <w:smallCaps w:val="false"/>
          <w:sz w:val="20"/>
        </w:rPr>
        <w:t>. The following exhibits are being followed herewith: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68"/>
        <w:gridCol w:w="86"/>
        <w:gridCol w:w="9251"/>
      </w:tblGrid>
      <w:tr>
        <w:trPr/>
        <w:tc>
          <w:tcPr>
            <w:tcW w:w="868"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Exhibit</w:t>
              <w:br/>
              <w:t>Number</w:t>
            </w:r>
            <w:r>
              <w:rPr>
                <w:rFonts w:ascii="Times New Roman;Times;Serif" w:hAnsi="Times New Roman;Times;Serif"/>
                <w:b w:val="false"/>
                <w:i w:val="false"/>
                <w:caps w:val="false"/>
                <w:smallCaps w:val="false"/>
                <w:sz w:val="20"/>
              </w:rPr>
              <w:t xml:space="preserve"> </w:t>
            </w:r>
          </w:p>
        </w:tc>
        <w:tc>
          <w:tcPr>
            <w:tcW w:w="86" w:type="dxa"/>
            <w:tcBorders/>
            <w:tcMar>
              <w:bottom w:w="0" w:type="dxa"/>
            </w:tcMar>
            <w:vAlign w:val="center"/>
          </w:tcPr>
          <w:p>
            <w:pPr>
              <w:pStyle w:val="TableContents"/>
              <w:bidi w:val="0"/>
              <w:spacing w:before="0" w:after="283"/>
              <w:jc w:val="left"/>
              <w:rPr/>
            </w:pPr>
            <w:r>
              <w:rPr/>
              <w:t xml:space="preserve">  </w:t>
            </w:r>
          </w:p>
        </w:tc>
        <w:tc>
          <w:tcPr>
            <w:tcW w:w="9251" w:type="dxa"/>
            <w:tcBorders>
              <w:bottom w:val="single" w:sz="12" w:space="0" w:color="000000"/>
            </w:tcBorders>
            <w:vAlign w:val="center"/>
          </w:tcPr>
          <w:p>
            <w:pPr>
              <w:pStyle w:val="TableContents"/>
              <w:bidi w:val="0"/>
              <w:spacing w:before="0" w:after="283"/>
              <w:jc w:val="both"/>
              <w:rPr/>
            </w:pPr>
            <w:r>
              <w:rPr>
                <w:rFonts w:ascii="Times New Roman;Times;Serif" w:hAnsi="Times New Roman;Times;Serif"/>
                <w:b/>
                <w:sz w:val="20"/>
              </w:rPr>
              <w:t>Description</w:t>
            </w:r>
            <w:r>
              <w:rPr>
                <w:rFonts w:ascii="Times New Roman;Times;Serif" w:hAnsi="Times New Roman;Times;Serif"/>
                <w:sz w:val="20"/>
              </w:rPr>
              <w:t> </w:t>
            </w:r>
            <w:r>
              <w:rPr/>
              <w:t xml:space="preserve"> </w:t>
            </w:r>
          </w:p>
        </w:tc>
      </w:tr>
      <w:tr>
        <w:trPr/>
        <w:tc>
          <w:tcPr>
            <w:tcW w:w="868" w:type="dxa"/>
            <w:tcBorders/>
            <w:shd w:fill="CCEEFF" w:val="clear"/>
            <w:tcMar>
              <w:bottom w:w="0" w:type="dxa"/>
            </w:tcMar>
            <w:vAlign w:val="center"/>
          </w:tcPr>
          <w:p>
            <w:pPr>
              <w:pStyle w:val="TableContents"/>
              <w:bidi w:val="0"/>
              <w:spacing w:before="0" w:after="283"/>
              <w:jc w:val="center"/>
              <w:rPr/>
            </w:pPr>
            <w:r>
              <w:rPr>
                <w:rFonts w:ascii="Times New Roman;Times;Serif" w:hAnsi="Times New Roman;Times;Serif"/>
                <w:sz w:val="20"/>
              </w:rPr>
              <w:t>2.1*†</w:t>
            </w:r>
            <w:r>
              <w:rPr/>
              <w:t xml:space="preserve"> </w:t>
            </w:r>
          </w:p>
        </w:tc>
        <w:tc>
          <w:tcPr>
            <w:tcW w:w="86" w:type="dxa"/>
            <w:tcBorders/>
            <w:shd w:fill="CCEEFF" w:val="clear"/>
            <w:tcMar>
              <w:bottom w:w="0" w:type="dxa"/>
            </w:tcMar>
            <w:vAlign w:val="center"/>
          </w:tcPr>
          <w:p>
            <w:pPr>
              <w:pStyle w:val="TableContents"/>
              <w:bidi w:val="0"/>
              <w:spacing w:before="0" w:after="283"/>
              <w:jc w:val="left"/>
              <w:rPr/>
            </w:pPr>
            <w:r>
              <w:rPr/>
              <w:t xml:space="preserve">  </w:t>
            </w:r>
          </w:p>
        </w:tc>
        <w:tc>
          <w:tcPr>
            <w:tcW w:w="9251" w:type="dxa"/>
            <w:tcBorders/>
            <w:shd w:fill="CCEEFF" w:val="clear"/>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sz w:val="20"/>
                </w:rPr>
                <w:t>Business Combination Agreement, dated as of December 2, 2021, by and among ArcLight, OPAL Fuels and OPAL Holdco (incorporated by reference to Exhibit 2.1 to the Current Report on Form 8-K, filed on December 3, 2021).</w:t>
              </w:r>
            </w:hyperlink>
            <w:r>
              <w:rPr/>
              <w:t xml:space="preserve"> </w:t>
            </w:r>
          </w:p>
        </w:tc>
      </w:tr>
      <w:tr>
        <w:trPr/>
        <w:tc>
          <w:tcPr>
            <w:tcW w:w="868" w:type="dxa"/>
            <w:tcBorders/>
            <w:shd w:fill="FFFFFF" w:val="clear"/>
            <w:tcMar>
              <w:bottom w:w="0" w:type="dxa"/>
            </w:tcMar>
            <w:vAlign w:val="center"/>
          </w:tcPr>
          <w:p>
            <w:pPr>
              <w:pStyle w:val="TableContents"/>
              <w:bidi w:val="0"/>
              <w:spacing w:before="0" w:after="283"/>
              <w:jc w:val="center"/>
              <w:rPr/>
            </w:pPr>
            <w:r>
              <w:rPr>
                <w:rFonts w:ascii="Times New Roman;Times;Serif" w:hAnsi="Times New Roman;Times;Serif"/>
                <w:sz w:val="20"/>
              </w:rPr>
              <w:t>3.1*</w:t>
            </w:r>
            <w:r>
              <w:rPr/>
              <w:t xml:space="preserve"> </w:t>
            </w:r>
          </w:p>
        </w:tc>
        <w:tc>
          <w:tcPr>
            <w:tcW w:w="86" w:type="dxa"/>
            <w:tcBorders/>
            <w:shd w:fill="FFFFFF" w:val="clear"/>
            <w:tcMar>
              <w:bottom w:w="0" w:type="dxa"/>
            </w:tcMar>
            <w:vAlign w:val="center"/>
          </w:tcPr>
          <w:p>
            <w:pPr>
              <w:pStyle w:val="TableContents"/>
              <w:bidi w:val="0"/>
              <w:spacing w:before="0" w:after="283"/>
              <w:jc w:val="left"/>
              <w:rPr/>
            </w:pPr>
            <w:r>
              <w:rPr/>
              <w:t xml:space="preserve">  </w:t>
            </w:r>
          </w:p>
        </w:tc>
        <w:tc>
          <w:tcPr>
            <w:tcW w:w="9251" w:type="dxa"/>
            <w:tcBorders/>
            <w:shd w:fill="FFFFFF" w:val="clear"/>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sz w:val="20"/>
                </w:rPr>
                <w:t>Restated Certificate of Incorporation of OPAL Fuels Inc. (incorporated by reference to Exhibit 3.1 to the Current Report on Form 8-K/A filed by the Company on August 10, 2022)</w:t>
              </w:r>
            </w:hyperlink>
            <w:r>
              <w:rPr/>
              <w:t xml:space="preserve"> </w:t>
            </w:r>
          </w:p>
        </w:tc>
      </w:tr>
      <w:tr>
        <w:trPr/>
        <w:tc>
          <w:tcPr>
            <w:tcW w:w="868" w:type="dxa"/>
            <w:tcBorders/>
            <w:shd w:fill="CCEEFF" w:val="clear"/>
            <w:tcMar>
              <w:bottom w:w="0" w:type="dxa"/>
            </w:tcMar>
            <w:vAlign w:val="center"/>
          </w:tcPr>
          <w:p>
            <w:pPr>
              <w:pStyle w:val="TableContents"/>
              <w:bidi w:val="0"/>
              <w:spacing w:before="0" w:after="283"/>
              <w:jc w:val="center"/>
              <w:rPr/>
            </w:pPr>
            <w:r>
              <w:rPr>
                <w:rFonts w:ascii="Times New Roman;Times;Serif" w:hAnsi="Times New Roman;Times;Serif"/>
                <w:sz w:val="20"/>
              </w:rPr>
              <w:t>3.2</w:t>
            </w:r>
            <w:r>
              <w:rPr/>
              <w:t xml:space="preserve">* </w:t>
            </w:r>
          </w:p>
        </w:tc>
        <w:tc>
          <w:tcPr>
            <w:tcW w:w="86" w:type="dxa"/>
            <w:tcBorders/>
            <w:shd w:fill="CCEEFF" w:val="clear"/>
            <w:tcMar>
              <w:bottom w:w="0" w:type="dxa"/>
            </w:tcMar>
            <w:vAlign w:val="center"/>
          </w:tcPr>
          <w:p>
            <w:pPr>
              <w:pStyle w:val="TableContents"/>
              <w:bidi w:val="0"/>
              <w:spacing w:before="0" w:after="283"/>
              <w:jc w:val="center"/>
              <w:rPr/>
            </w:pPr>
            <w:r>
              <w:rPr/>
              <w:t xml:space="preserve">  </w:t>
            </w:r>
          </w:p>
        </w:tc>
        <w:tc>
          <w:tcPr>
            <w:tcW w:w="9251" w:type="dxa"/>
            <w:tcBorders/>
            <w:shd w:fill="CCEEFF" w:val="clear"/>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sz w:val="20"/>
                </w:rPr>
                <w:t>Bylaws of OPAL Fuels Inc. (incorporated by reference to Exhibit 3.2 to the Current Report on Form 8-K filed on July 27, 2022)</w:t>
              </w:r>
            </w:hyperlink>
            <w:r>
              <w:rPr/>
              <w:t xml:space="preserve"> </w:t>
            </w:r>
          </w:p>
        </w:tc>
      </w:tr>
      <w:tr>
        <w:trPr/>
        <w:tc>
          <w:tcPr>
            <w:tcW w:w="868" w:type="dxa"/>
            <w:tcBorders/>
            <w:shd w:fill="FFFFFF" w:val="clear"/>
            <w:tcMar>
              <w:bottom w:w="0" w:type="dxa"/>
            </w:tcMar>
            <w:vAlign w:val="center"/>
          </w:tcPr>
          <w:p>
            <w:pPr>
              <w:pStyle w:val="TableContents"/>
              <w:bidi w:val="0"/>
              <w:spacing w:before="0" w:after="283"/>
              <w:jc w:val="center"/>
              <w:rPr/>
            </w:pPr>
            <w:r>
              <w:rPr>
                <w:rFonts w:ascii="Times New Roman;Times;Serif" w:hAnsi="Times New Roman;Times;Serif"/>
                <w:sz w:val="20"/>
              </w:rPr>
              <w:t>4.1</w:t>
            </w:r>
            <w:r>
              <w:rPr/>
              <w:t xml:space="preserve">* </w:t>
            </w:r>
          </w:p>
        </w:tc>
        <w:tc>
          <w:tcPr>
            <w:tcW w:w="86" w:type="dxa"/>
            <w:tcBorders/>
            <w:shd w:fill="FFFFFF" w:val="clear"/>
            <w:tcMar>
              <w:bottom w:w="0" w:type="dxa"/>
            </w:tcMar>
            <w:vAlign w:val="center"/>
          </w:tcPr>
          <w:p>
            <w:pPr>
              <w:pStyle w:val="TableContents"/>
              <w:bidi w:val="0"/>
              <w:spacing w:before="0" w:after="283"/>
              <w:jc w:val="center"/>
              <w:rPr/>
            </w:pPr>
            <w:r>
              <w:rPr/>
              <w:t xml:space="preserve">  </w:t>
            </w:r>
          </w:p>
        </w:tc>
        <w:tc>
          <w:tcPr>
            <w:tcW w:w="9251" w:type="dxa"/>
            <w:tcBorders/>
            <w:shd w:fill="FFFFFF" w:val="clear"/>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sz w:val="20"/>
                </w:rPr>
                <w:t>Specimen Warrant Certificate (incorporated by reference to Exhibit 4.3 to the Registration Statement on Form S-1 (File No. 333-252730) filed on March 8, 2021).</w:t>
              </w:r>
            </w:hyperlink>
            <w:r>
              <w:rPr/>
              <w:t xml:space="preserve"> </w:t>
            </w:r>
          </w:p>
        </w:tc>
      </w:tr>
      <w:tr>
        <w:trPr/>
        <w:tc>
          <w:tcPr>
            <w:tcW w:w="868" w:type="dxa"/>
            <w:tcBorders/>
            <w:shd w:fill="CCEEFF" w:val="clear"/>
            <w:tcMar>
              <w:bottom w:w="0" w:type="dxa"/>
            </w:tcMar>
            <w:vAlign w:val="center"/>
          </w:tcPr>
          <w:p>
            <w:pPr>
              <w:pStyle w:val="TableContents"/>
              <w:bidi w:val="0"/>
              <w:spacing w:before="0" w:after="283"/>
              <w:jc w:val="center"/>
              <w:rPr/>
            </w:pPr>
            <w:r>
              <w:rPr>
                <w:rFonts w:ascii="Times New Roman;Times;Serif" w:hAnsi="Times New Roman;Times;Serif"/>
                <w:sz w:val="20"/>
              </w:rPr>
              <w:t>4.2</w:t>
            </w:r>
            <w:r>
              <w:rPr/>
              <w:t xml:space="preserve">* </w:t>
            </w:r>
          </w:p>
        </w:tc>
        <w:tc>
          <w:tcPr>
            <w:tcW w:w="86" w:type="dxa"/>
            <w:tcBorders/>
            <w:shd w:fill="CCEEFF" w:val="clear"/>
            <w:tcMar>
              <w:bottom w:w="0" w:type="dxa"/>
            </w:tcMar>
            <w:vAlign w:val="center"/>
          </w:tcPr>
          <w:p>
            <w:pPr>
              <w:pStyle w:val="TableContents"/>
              <w:bidi w:val="0"/>
              <w:spacing w:before="0" w:after="283"/>
              <w:jc w:val="center"/>
              <w:rPr/>
            </w:pPr>
            <w:r>
              <w:rPr/>
              <w:t xml:space="preserve">  </w:t>
            </w:r>
          </w:p>
        </w:tc>
        <w:tc>
          <w:tcPr>
            <w:tcW w:w="9251" w:type="dxa"/>
            <w:tcBorders/>
            <w:shd w:fill="CCEEFF" w:val="clear"/>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sz w:val="20"/>
                </w:rPr>
                <w:t>Warrant Agreement between Continental Stock Transfer &amp; Trust Company and ArcLight Clean Transition Corp. II, dated March 22, 2021 (incorporated by reference to Exhibit 4.1 to the Current Report on Form 8-K filed on March 26, 2021).</w:t>
              </w:r>
            </w:hyperlink>
            <w:r>
              <w:rPr/>
              <w:t xml:space="preserve"> </w:t>
            </w:r>
          </w:p>
        </w:tc>
      </w:tr>
      <w:tr>
        <w:trPr/>
        <w:tc>
          <w:tcPr>
            <w:tcW w:w="868" w:type="dxa"/>
            <w:tcBorders/>
            <w:shd w:fill="FFFFFF" w:val="clear"/>
            <w:tcMar>
              <w:bottom w:w="0" w:type="dxa"/>
            </w:tcMar>
            <w:vAlign w:val="center"/>
          </w:tcPr>
          <w:p>
            <w:pPr>
              <w:pStyle w:val="TableContents"/>
              <w:bidi w:val="0"/>
              <w:spacing w:before="0" w:after="283"/>
              <w:jc w:val="center"/>
              <w:rPr/>
            </w:pPr>
            <w:r>
              <w:rPr>
                <w:rFonts w:ascii="Times New Roman;Times;Serif" w:hAnsi="Times New Roman;Times;Serif"/>
                <w:sz w:val="20"/>
              </w:rPr>
              <w:t>4.3</w:t>
            </w:r>
            <w:r>
              <w:rPr/>
              <w:t xml:space="preserve">* </w:t>
            </w:r>
          </w:p>
        </w:tc>
        <w:tc>
          <w:tcPr>
            <w:tcW w:w="86" w:type="dxa"/>
            <w:tcBorders/>
            <w:shd w:fill="FFFFFF" w:val="clear"/>
            <w:tcMar>
              <w:bottom w:w="0" w:type="dxa"/>
            </w:tcMar>
            <w:vAlign w:val="center"/>
          </w:tcPr>
          <w:p>
            <w:pPr>
              <w:pStyle w:val="TableContents"/>
              <w:bidi w:val="0"/>
              <w:spacing w:before="0" w:after="283"/>
              <w:jc w:val="left"/>
              <w:rPr/>
            </w:pPr>
            <w:r>
              <w:rPr/>
              <w:t xml:space="preserve">  </w:t>
            </w:r>
          </w:p>
        </w:tc>
        <w:tc>
          <w:tcPr>
            <w:tcW w:w="9251" w:type="dxa"/>
            <w:tcBorders/>
            <w:shd w:fill="FFFFFF" w:val="clear"/>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sz w:val="20"/>
                </w:rPr>
                <w:t>OPAL Fuels Inc. Short-Term Incentive Plan (incorporated by reference to Exhibit 4.4 to the Annual Report on Form 10-K filed on March 29, 2023).</w:t>
              </w:r>
            </w:hyperlink>
            <w:r>
              <w:rPr/>
              <w:t xml:space="preserve"> </w:t>
            </w:r>
          </w:p>
        </w:tc>
      </w:tr>
      <w:tr>
        <w:trPr/>
        <w:tc>
          <w:tcPr>
            <w:tcW w:w="868" w:type="dxa"/>
            <w:tcBorders/>
            <w:shd w:fill="CCEEFF" w:val="clear"/>
            <w:tcMar>
              <w:bottom w:w="0" w:type="dxa"/>
            </w:tcMar>
            <w:vAlign w:val="center"/>
          </w:tcPr>
          <w:p>
            <w:pPr>
              <w:pStyle w:val="TableContents"/>
              <w:bidi w:val="0"/>
              <w:spacing w:before="0" w:after="283"/>
              <w:jc w:val="center"/>
              <w:rPr/>
            </w:pPr>
            <w:r>
              <w:rPr>
                <w:rFonts w:ascii="Times New Roman;Times;Serif" w:hAnsi="Times New Roman;Times;Serif"/>
                <w:sz w:val="20"/>
              </w:rPr>
              <w:t>4.4</w:t>
            </w:r>
            <w:r>
              <w:rPr/>
              <w:t xml:space="preserve">* </w:t>
            </w:r>
          </w:p>
        </w:tc>
        <w:tc>
          <w:tcPr>
            <w:tcW w:w="86" w:type="dxa"/>
            <w:tcBorders/>
            <w:shd w:fill="CCEEFF" w:val="clear"/>
            <w:tcMar>
              <w:bottom w:w="0" w:type="dxa"/>
            </w:tcMar>
            <w:vAlign w:val="center"/>
          </w:tcPr>
          <w:p>
            <w:pPr>
              <w:pStyle w:val="TableContents"/>
              <w:bidi w:val="0"/>
              <w:spacing w:before="0" w:after="283"/>
              <w:jc w:val="left"/>
              <w:rPr/>
            </w:pPr>
            <w:r>
              <w:rPr/>
              <w:t xml:space="preserve">  </w:t>
            </w:r>
          </w:p>
        </w:tc>
        <w:tc>
          <w:tcPr>
            <w:tcW w:w="9251" w:type="dxa"/>
            <w:tcBorders/>
            <w:shd w:fill="CCEEFF" w:val="clear"/>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sz w:val="20"/>
                </w:rPr>
                <w:t>Form of Stock Option Grant Notice and Option Agreement (incorporated by reference to the Annual Report on Form 10-K filed on March 28, 2023).</w:t>
              </w:r>
            </w:hyperlink>
            <w:r>
              <w:rPr/>
              <w:t xml:space="preserve"> </w:t>
            </w:r>
          </w:p>
        </w:tc>
      </w:tr>
      <w:tr>
        <w:trPr/>
        <w:tc>
          <w:tcPr>
            <w:tcW w:w="868" w:type="dxa"/>
            <w:tcBorders/>
            <w:shd w:fill="FFFFFF" w:val="clear"/>
            <w:tcMar>
              <w:bottom w:w="0" w:type="dxa"/>
            </w:tcMar>
            <w:vAlign w:val="center"/>
          </w:tcPr>
          <w:p>
            <w:pPr>
              <w:pStyle w:val="TableContents"/>
              <w:bidi w:val="0"/>
              <w:spacing w:before="0" w:after="283"/>
              <w:jc w:val="center"/>
              <w:rPr/>
            </w:pPr>
            <w:r>
              <w:rPr>
                <w:rFonts w:ascii="Times New Roman;Times;Serif" w:hAnsi="Times New Roman;Times;Serif"/>
                <w:sz w:val="20"/>
              </w:rPr>
              <w:t>4.5</w:t>
            </w:r>
            <w:r>
              <w:rPr/>
              <w:t xml:space="preserve">* </w:t>
            </w:r>
          </w:p>
        </w:tc>
        <w:tc>
          <w:tcPr>
            <w:tcW w:w="86" w:type="dxa"/>
            <w:tcBorders/>
            <w:shd w:fill="FFFFFF" w:val="clear"/>
            <w:tcMar>
              <w:bottom w:w="0" w:type="dxa"/>
            </w:tcMar>
            <w:vAlign w:val="center"/>
          </w:tcPr>
          <w:p>
            <w:pPr>
              <w:pStyle w:val="TableContents"/>
              <w:bidi w:val="0"/>
              <w:spacing w:before="0" w:after="283"/>
              <w:jc w:val="left"/>
              <w:rPr/>
            </w:pPr>
            <w:r>
              <w:rPr/>
              <w:t xml:space="preserve">  </w:t>
            </w:r>
          </w:p>
        </w:tc>
        <w:tc>
          <w:tcPr>
            <w:tcW w:w="9251" w:type="dxa"/>
            <w:tcBorders/>
            <w:shd w:fill="FFFFFF" w:val="clear"/>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sz w:val="20"/>
                </w:rPr>
                <w:t>Form of Performance Restricted Stock Unit Award Grant Notice and Award Agreement (incorporated by reference to the Annual Report on Form 10-K filed on March 28, 2023).</w:t>
              </w:r>
            </w:hyperlink>
            <w:r>
              <w:rPr/>
              <w:t xml:space="preserve"> </w:t>
            </w:r>
          </w:p>
        </w:tc>
      </w:tr>
      <w:tr>
        <w:trPr/>
        <w:tc>
          <w:tcPr>
            <w:tcW w:w="868" w:type="dxa"/>
            <w:tcBorders/>
            <w:shd w:fill="CCEEFF" w:val="clear"/>
            <w:tcMar>
              <w:bottom w:w="0" w:type="dxa"/>
            </w:tcMar>
            <w:vAlign w:val="center"/>
          </w:tcPr>
          <w:p>
            <w:pPr>
              <w:pStyle w:val="TableContents"/>
              <w:bidi w:val="0"/>
              <w:spacing w:before="0" w:after="283"/>
              <w:jc w:val="center"/>
              <w:rPr/>
            </w:pPr>
            <w:r>
              <w:rPr>
                <w:rFonts w:ascii="Times New Roman;Times;Serif" w:hAnsi="Times New Roman;Times;Serif"/>
                <w:sz w:val="20"/>
              </w:rPr>
              <w:t>4.6***</w:t>
            </w:r>
            <w:r>
              <w:rPr/>
              <w:t xml:space="preserve"> </w:t>
            </w:r>
          </w:p>
        </w:tc>
        <w:tc>
          <w:tcPr>
            <w:tcW w:w="86" w:type="dxa"/>
            <w:tcBorders/>
            <w:shd w:fill="CCEEFF" w:val="clear"/>
            <w:tcMar>
              <w:bottom w:w="0" w:type="dxa"/>
            </w:tcMar>
            <w:vAlign w:val="center"/>
          </w:tcPr>
          <w:p>
            <w:pPr>
              <w:pStyle w:val="TableContents"/>
              <w:bidi w:val="0"/>
              <w:spacing w:before="0" w:after="283"/>
              <w:jc w:val="left"/>
              <w:rPr/>
            </w:pPr>
            <w:r>
              <w:rPr/>
              <w:t xml:space="preserve">  </w:t>
            </w:r>
          </w:p>
        </w:tc>
        <w:tc>
          <w:tcPr>
            <w:tcW w:w="9251" w:type="dxa"/>
            <w:tcBorders/>
            <w:shd w:fill="CCEEFF" w:val="clear"/>
            <w:tcMar>
              <w:bottom w:w="0" w:type="dxa"/>
            </w:tcMar>
            <w:vAlign w:val="center"/>
          </w:tcPr>
          <w:p>
            <w:pPr>
              <w:pStyle w:val="TableContents"/>
              <w:bidi w:val="0"/>
              <w:spacing w:before="0" w:after="283"/>
              <w:jc w:val="both"/>
              <w:rPr/>
            </w:pPr>
            <w:r>
              <w:rPr>
                <w:rFonts w:ascii="Times New Roman;Times;Serif" w:hAnsi="Times New Roman;Times;Serif"/>
                <w:sz w:val="20"/>
              </w:rPr>
              <w:t>Form of Certificate of Designation with respect to Preferred Stock</w:t>
            </w:r>
            <w:r>
              <w:rPr/>
              <w:t xml:space="preserve"> </w:t>
            </w:r>
          </w:p>
        </w:tc>
      </w:tr>
      <w:tr>
        <w:trPr/>
        <w:tc>
          <w:tcPr>
            <w:tcW w:w="868" w:type="dxa"/>
            <w:tcBorders/>
            <w:shd w:fill="FFFFFF" w:val="clear"/>
            <w:tcMar>
              <w:bottom w:w="0" w:type="dxa"/>
            </w:tcMar>
            <w:vAlign w:val="center"/>
          </w:tcPr>
          <w:p>
            <w:pPr>
              <w:pStyle w:val="TableContents"/>
              <w:bidi w:val="0"/>
              <w:spacing w:before="0" w:after="283"/>
              <w:jc w:val="center"/>
              <w:rPr/>
            </w:pPr>
            <w:r>
              <w:rPr>
                <w:rFonts w:ascii="Times New Roman;Times;Serif" w:hAnsi="Times New Roman;Times;Serif"/>
                <w:sz w:val="20"/>
              </w:rPr>
              <w:t>4.7***</w:t>
            </w:r>
            <w:r>
              <w:rPr/>
              <w:t xml:space="preserve"> </w:t>
            </w:r>
          </w:p>
        </w:tc>
        <w:tc>
          <w:tcPr>
            <w:tcW w:w="86" w:type="dxa"/>
            <w:tcBorders/>
            <w:shd w:fill="FFFFFF" w:val="clear"/>
            <w:tcMar>
              <w:bottom w:w="0" w:type="dxa"/>
            </w:tcMar>
            <w:vAlign w:val="center"/>
          </w:tcPr>
          <w:p>
            <w:pPr>
              <w:pStyle w:val="TableContents"/>
              <w:bidi w:val="0"/>
              <w:spacing w:before="0" w:after="283"/>
              <w:jc w:val="left"/>
              <w:rPr/>
            </w:pPr>
            <w:r>
              <w:rPr/>
              <w:t xml:space="preserve">  </w:t>
            </w:r>
          </w:p>
        </w:tc>
        <w:tc>
          <w:tcPr>
            <w:tcW w:w="9251" w:type="dxa"/>
            <w:tcBorders/>
            <w:shd w:fill="FFFFFF" w:val="clear"/>
            <w:tcMar>
              <w:bottom w:w="0" w:type="dxa"/>
            </w:tcMar>
            <w:vAlign w:val="center"/>
          </w:tcPr>
          <w:p>
            <w:pPr>
              <w:pStyle w:val="TableContents"/>
              <w:bidi w:val="0"/>
              <w:spacing w:before="0" w:after="283"/>
              <w:jc w:val="both"/>
              <w:rPr/>
            </w:pPr>
            <w:r>
              <w:rPr>
                <w:rFonts w:ascii="Times New Roman;Times;Serif" w:hAnsi="Times New Roman;Times;Serif"/>
                <w:sz w:val="20"/>
              </w:rPr>
              <w:t>Form of Warrant</w:t>
            </w:r>
            <w:r>
              <w:rPr/>
              <w:t xml:space="preserve"> </w:t>
            </w:r>
          </w:p>
        </w:tc>
      </w:tr>
      <w:tr>
        <w:trPr/>
        <w:tc>
          <w:tcPr>
            <w:tcW w:w="868" w:type="dxa"/>
            <w:tcBorders/>
            <w:shd w:fill="CCEEFF" w:val="clear"/>
            <w:tcMar>
              <w:bottom w:w="0" w:type="dxa"/>
            </w:tcMar>
            <w:vAlign w:val="center"/>
          </w:tcPr>
          <w:p>
            <w:pPr>
              <w:pStyle w:val="TableContents"/>
              <w:bidi w:val="0"/>
              <w:spacing w:before="0" w:after="283"/>
              <w:jc w:val="center"/>
              <w:rPr/>
            </w:pPr>
            <w:r>
              <w:rPr>
                <w:rFonts w:ascii="Times New Roman;Times;Serif" w:hAnsi="Times New Roman;Times;Serif"/>
                <w:sz w:val="20"/>
              </w:rPr>
              <w:t>4.8***</w:t>
            </w:r>
            <w:r>
              <w:rPr/>
              <w:t xml:space="preserve"> </w:t>
            </w:r>
          </w:p>
        </w:tc>
        <w:tc>
          <w:tcPr>
            <w:tcW w:w="86" w:type="dxa"/>
            <w:tcBorders/>
            <w:shd w:fill="CCEEFF" w:val="clear"/>
            <w:tcMar>
              <w:bottom w:w="0" w:type="dxa"/>
            </w:tcMar>
            <w:vAlign w:val="center"/>
          </w:tcPr>
          <w:p>
            <w:pPr>
              <w:pStyle w:val="TableContents"/>
              <w:bidi w:val="0"/>
              <w:spacing w:before="0" w:after="283"/>
              <w:jc w:val="left"/>
              <w:rPr/>
            </w:pPr>
            <w:r>
              <w:rPr/>
              <w:t xml:space="preserve">  </w:t>
            </w:r>
          </w:p>
        </w:tc>
        <w:tc>
          <w:tcPr>
            <w:tcW w:w="9251" w:type="dxa"/>
            <w:tcBorders/>
            <w:shd w:fill="CCEEFF" w:val="clear"/>
            <w:tcMar>
              <w:bottom w:w="0" w:type="dxa"/>
            </w:tcMar>
            <w:vAlign w:val="center"/>
          </w:tcPr>
          <w:p>
            <w:pPr>
              <w:pStyle w:val="TableContents"/>
              <w:bidi w:val="0"/>
              <w:spacing w:before="0" w:after="283"/>
              <w:jc w:val="both"/>
              <w:rPr/>
            </w:pPr>
            <w:r>
              <w:rPr>
                <w:rFonts w:ascii="Times New Roman;Times;Serif" w:hAnsi="Times New Roman;Times;Serif"/>
                <w:sz w:val="20"/>
              </w:rPr>
              <w:t>Form of Warrant Agreement</w:t>
            </w:r>
            <w:r>
              <w:rPr/>
              <w:t xml:space="preserve"> </w:t>
            </w:r>
          </w:p>
        </w:tc>
      </w:tr>
      <w:tr>
        <w:trPr/>
        <w:tc>
          <w:tcPr>
            <w:tcW w:w="868" w:type="dxa"/>
            <w:tcBorders/>
            <w:shd w:fill="FFFFFF" w:val="clear"/>
            <w:tcMar>
              <w:bottom w:w="0" w:type="dxa"/>
            </w:tcMar>
            <w:vAlign w:val="center"/>
          </w:tcPr>
          <w:p>
            <w:pPr>
              <w:pStyle w:val="TableContents"/>
              <w:bidi w:val="0"/>
              <w:spacing w:before="0" w:after="283"/>
              <w:jc w:val="center"/>
              <w:rPr/>
            </w:pPr>
            <w:r>
              <w:rPr>
                <w:rFonts w:ascii="Times New Roman;Times;Serif" w:hAnsi="Times New Roman;Times;Serif"/>
                <w:sz w:val="20"/>
              </w:rPr>
              <w:t>4.9***</w:t>
            </w:r>
            <w:r>
              <w:rPr/>
              <w:t xml:space="preserve"> </w:t>
            </w:r>
          </w:p>
        </w:tc>
        <w:tc>
          <w:tcPr>
            <w:tcW w:w="86" w:type="dxa"/>
            <w:tcBorders/>
            <w:shd w:fill="FFFFFF" w:val="clear"/>
            <w:tcMar>
              <w:bottom w:w="0" w:type="dxa"/>
            </w:tcMar>
            <w:vAlign w:val="center"/>
          </w:tcPr>
          <w:p>
            <w:pPr>
              <w:pStyle w:val="TableContents"/>
              <w:bidi w:val="0"/>
              <w:spacing w:before="0" w:after="283"/>
              <w:jc w:val="left"/>
              <w:rPr/>
            </w:pPr>
            <w:r>
              <w:rPr/>
              <w:t xml:space="preserve">  </w:t>
            </w:r>
          </w:p>
        </w:tc>
        <w:tc>
          <w:tcPr>
            <w:tcW w:w="9251" w:type="dxa"/>
            <w:tcBorders/>
            <w:shd w:fill="FFFFFF" w:val="clear"/>
            <w:tcMar>
              <w:bottom w:w="0" w:type="dxa"/>
            </w:tcMar>
            <w:vAlign w:val="center"/>
          </w:tcPr>
          <w:p>
            <w:pPr>
              <w:pStyle w:val="TableContents"/>
              <w:bidi w:val="0"/>
              <w:spacing w:before="0" w:after="283"/>
              <w:jc w:val="both"/>
              <w:rPr/>
            </w:pPr>
            <w:r>
              <w:rPr>
                <w:rFonts w:ascii="Times New Roman;Times;Serif" w:hAnsi="Times New Roman;Times;Serif"/>
                <w:sz w:val="20"/>
              </w:rPr>
              <w:t>Form of Unit Agreement</w:t>
            </w:r>
            <w:r>
              <w:rPr/>
              <w:t xml:space="preserve"> </w:t>
            </w:r>
          </w:p>
        </w:tc>
      </w:tr>
      <w:tr>
        <w:trPr/>
        <w:tc>
          <w:tcPr>
            <w:tcW w:w="868" w:type="dxa"/>
            <w:tcBorders/>
            <w:shd w:fill="CCEEFF" w:val="clear"/>
            <w:tcMar>
              <w:bottom w:w="0" w:type="dxa"/>
            </w:tcMar>
            <w:vAlign w:val="center"/>
          </w:tcPr>
          <w:p>
            <w:pPr>
              <w:pStyle w:val="TableContents"/>
              <w:bidi w:val="0"/>
              <w:spacing w:before="0" w:after="283"/>
              <w:jc w:val="center"/>
              <w:rPr/>
            </w:pPr>
            <w:r>
              <w:rPr>
                <w:rFonts w:ascii="Times New Roman;Times;Serif" w:hAnsi="Times New Roman;Times;Serif"/>
                <w:sz w:val="20"/>
              </w:rPr>
              <w:t>5.1**</w:t>
            </w:r>
            <w:r>
              <w:rPr/>
              <w:t xml:space="preserve"> </w:t>
            </w:r>
          </w:p>
        </w:tc>
        <w:tc>
          <w:tcPr>
            <w:tcW w:w="86" w:type="dxa"/>
            <w:tcBorders/>
            <w:shd w:fill="CCEEFF" w:val="clear"/>
            <w:tcMar>
              <w:bottom w:w="0" w:type="dxa"/>
            </w:tcMar>
            <w:vAlign w:val="center"/>
          </w:tcPr>
          <w:p>
            <w:pPr>
              <w:pStyle w:val="TableContents"/>
              <w:bidi w:val="0"/>
              <w:spacing w:before="0" w:after="283"/>
              <w:jc w:val="center"/>
              <w:rPr/>
            </w:pPr>
            <w:r>
              <w:rPr/>
              <w:t xml:space="preserve">  </w:t>
            </w:r>
          </w:p>
        </w:tc>
        <w:tc>
          <w:tcPr>
            <w:tcW w:w="9251" w:type="dxa"/>
            <w:tcBorders/>
            <w:shd w:fill="CCEEFF" w:val="clear"/>
            <w:tcMar>
              <w:bottom w:w="0" w:type="dxa"/>
            </w:tcMar>
            <w:vAlign w:val="center"/>
          </w:tcPr>
          <w:p>
            <w:pPr>
              <w:pStyle w:val="TableContents"/>
              <w:bidi w:val="0"/>
              <w:spacing w:before="0" w:after="283"/>
              <w:jc w:val="both"/>
              <w:rPr/>
            </w:pPr>
            <w:hyperlink w:anchor="ea183305ex5-1_opalfuels.htm">
              <w:r>
                <w:rPr>
                  <w:rStyle w:val="InternetLink"/>
                  <w:rFonts w:ascii="Times New Roman;Times;Serif" w:hAnsi="Times New Roman;Times;Serif"/>
                  <w:sz w:val="20"/>
                </w:rPr>
                <w:t>Opinion of Sheppard, Mullin, Richter &amp; Hampton LLP</w:t>
              </w:r>
            </w:hyperlink>
            <w:r>
              <w:rPr/>
              <w:t xml:space="preserve"> </w:t>
            </w:r>
          </w:p>
        </w:tc>
      </w:tr>
      <w:tr>
        <w:trPr/>
        <w:tc>
          <w:tcPr>
            <w:tcW w:w="868" w:type="dxa"/>
            <w:tcBorders/>
            <w:shd w:fill="FFFFFF" w:val="clear"/>
            <w:tcMar>
              <w:bottom w:w="0" w:type="dxa"/>
            </w:tcMar>
            <w:vAlign w:val="center"/>
          </w:tcPr>
          <w:p>
            <w:pPr>
              <w:pStyle w:val="TableContents"/>
              <w:bidi w:val="0"/>
              <w:spacing w:before="0" w:after="283"/>
              <w:jc w:val="center"/>
              <w:rPr/>
            </w:pPr>
            <w:r>
              <w:rPr>
                <w:rFonts w:ascii="Times New Roman;Times;Serif" w:hAnsi="Times New Roman;Times;Serif"/>
                <w:sz w:val="20"/>
              </w:rPr>
              <w:t>23.1**</w:t>
            </w:r>
            <w:r>
              <w:rPr/>
              <w:t xml:space="preserve"> </w:t>
            </w:r>
          </w:p>
        </w:tc>
        <w:tc>
          <w:tcPr>
            <w:tcW w:w="86" w:type="dxa"/>
            <w:tcBorders/>
            <w:shd w:fill="FFFFFF" w:val="clear"/>
            <w:tcMar>
              <w:bottom w:w="0" w:type="dxa"/>
            </w:tcMar>
            <w:vAlign w:val="center"/>
          </w:tcPr>
          <w:p>
            <w:pPr>
              <w:pStyle w:val="TableContents"/>
              <w:bidi w:val="0"/>
              <w:spacing w:before="0" w:after="283"/>
              <w:jc w:val="center"/>
              <w:rPr/>
            </w:pPr>
            <w:r>
              <w:rPr/>
              <w:t xml:space="preserve">  </w:t>
            </w:r>
          </w:p>
        </w:tc>
        <w:tc>
          <w:tcPr>
            <w:tcW w:w="9251" w:type="dxa"/>
            <w:tcBorders/>
            <w:shd w:fill="FFFFFF" w:val="clear"/>
            <w:tcMar>
              <w:bottom w:w="0" w:type="dxa"/>
            </w:tcMar>
            <w:vAlign w:val="center"/>
          </w:tcPr>
          <w:p>
            <w:pPr>
              <w:pStyle w:val="TableContents"/>
              <w:bidi w:val="0"/>
              <w:spacing w:before="0" w:after="283"/>
              <w:jc w:val="both"/>
              <w:rPr/>
            </w:pPr>
            <w:hyperlink w:anchor="ea183305ex23-1_opalfuels.htm">
              <w:r>
                <w:rPr>
                  <w:rStyle w:val="InternetLink"/>
                  <w:rFonts w:ascii="Times New Roman;Times;Serif" w:hAnsi="Times New Roman;Times;Serif"/>
                  <w:sz w:val="20"/>
                </w:rPr>
                <w:t>Consent of BDO USA, P.A., independent registered accounting firm for OPAL Fuels Inc.</w:t>
              </w:r>
            </w:hyperlink>
            <w:r>
              <w:rPr/>
              <w:t xml:space="preserve"> </w:t>
            </w:r>
          </w:p>
        </w:tc>
      </w:tr>
      <w:tr>
        <w:trPr/>
        <w:tc>
          <w:tcPr>
            <w:tcW w:w="868" w:type="dxa"/>
            <w:tcBorders/>
            <w:shd w:fill="CCEEFF" w:val="clear"/>
            <w:tcMar>
              <w:bottom w:w="0" w:type="dxa"/>
            </w:tcMar>
            <w:vAlign w:val="center"/>
          </w:tcPr>
          <w:p>
            <w:pPr>
              <w:pStyle w:val="TableContents"/>
              <w:bidi w:val="0"/>
              <w:spacing w:before="0" w:after="283"/>
              <w:jc w:val="center"/>
              <w:rPr/>
            </w:pPr>
            <w:r>
              <w:rPr>
                <w:rFonts w:ascii="Times New Roman;Times;Serif" w:hAnsi="Times New Roman;Times;Serif"/>
                <w:sz w:val="20"/>
              </w:rPr>
              <w:t>23.2**</w:t>
            </w:r>
            <w:r>
              <w:rPr/>
              <w:t xml:space="preserve"> </w:t>
            </w:r>
          </w:p>
        </w:tc>
        <w:tc>
          <w:tcPr>
            <w:tcW w:w="86" w:type="dxa"/>
            <w:tcBorders/>
            <w:shd w:fill="CCEEFF" w:val="clear"/>
            <w:tcMar>
              <w:bottom w:w="0" w:type="dxa"/>
            </w:tcMar>
            <w:vAlign w:val="center"/>
          </w:tcPr>
          <w:p>
            <w:pPr>
              <w:pStyle w:val="TableContents"/>
              <w:bidi w:val="0"/>
              <w:spacing w:before="0" w:after="283"/>
              <w:jc w:val="center"/>
              <w:rPr/>
            </w:pPr>
            <w:r>
              <w:rPr/>
              <w:t xml:space="preserve">  </w:t>
            </w:r>
          </w:p>
        </w:tc>
        <w:tc>
          <w:tcPr>
            <w:tcW w:w="9251" w:type="dxa"/>
            <w:tcBorders/>
            <w:shd w:fill="CCEEFF" w:val="clear"/>
            <w:tcMar>
              <w:bottom w:w="0" w:type="dxa"/>
            </w:tcMar>
            <w:vAlign w:val="center"/>
          </w:tcPr>
          <w:p>
            <w:pPr>
              <w:pStyle w:val="TableContents"/>
              <w:bidi w:val="0"/>
              <w:spacing w:before="0" w:after="283"/>
              <w:jc w:val="both"/>
              <w:rPr/>
            </w:pPr>
            <w:hyperlink w:anchor="ea183305ex5-1_opalfuels.htm">
              <w:r>
                <w:rPr>
                  <w:rStyle w:val="InternetLink"/>
                  <w:rFonts w:ascii="Times New Roman;Times;Serif" w:hAnsi="Times New Roman;Times;Serif"/>
                  <w:sz w:val="20"/>
                </w:rPr>
                <w:t>Consent of Sheppard, Mullin, Richter &amp; Hampton LLP (included as part of Exhibit 5.1).</w:t>
              </w:r>
            </w:hyperlink>
            <w:r>
              <w:rPr/>
              <w:t xml:space="preserve"> </w:t>
            </w:r>
          </w:p>
        </w:tc>
      </w:tr>
      <w:tr>
        <w:trPr/>
        <w:tc>
          <w:tcPr>
            <w:tcW w:w="868" w:type="dxa"/>
            <w:tcBorders/>
            <w:shd w:fill="FFFFFF" w:val="clear"/>
            <w:tcMar>
              <w:bottom w:w="0" w:type="dxa"/>
            </w:tcMar>
            <w:vAlign w:val="center"/>
          </w:tcPr>
          <w:p>
            <w:pPr>
              <w:pStyle w:val="TableContents"/>
              <w:bidi w:val="0"/>
              <w:spacing w:before="0" w:after="283"/>
              <w:jc w:val="center"/>
              <w:rPr/>
            </w:pPr>
            <w:r>
              <w:rPr>
                <w:rFonts w:ascii="Times New Roman;Times;Serif" w:hAnsi="Times New Roman;Times;Serif"/>
                <w:sz w:val="20"/>
              </w:rPr>
              <w:t>24.1*</w:t>
            </w:r>
            <w:r>
              <w:rPr/>
              <w:t xml:space="preserve"> </w:t>
            </w:r>
          </w:p>
        </w:tc>
        <w:tc>
          <w:tcPr>
            <w:tcW w:w="86" w:type="dxa"/>
            <w:tcBorders/>
            <w:shd w:fill="FFFFFF" w:val="clear"/>
            <w:tcMar>
              <w:bottom w:w="0" w:type="dxa"/>
            </w:tcMar>
            <w:vAlign w:val="center"/>
          </w:tcPr>
          <w:p>
            <w:pPr>
              <w:pStyle w:val="TableContents"/>
              <w:bidi w:val="0"/>
              <w:spacing w:before="0" w:after="283"/>
              <w:jc w:val="left"/>
              <w:rPr/>
            </w:pPr>
            <w:r>
              <w:rPr/>
              <w:t xml:space="preserve">  </w:t>
            </w:r>
          </w:p>
        </w:tc>
        <w:tc>
          <w:tcPr>
            <w:tcW w:w="9251" w:type="dxa"/>
            <w:tcBorders/>
            <w:shd w:fill="FFFFFF" w:val="clear"/>
            <w:tcMar>
              <w:bottom w:w="0" w:type="dxa"/>
            </w:tcMar>
            <w:vAlign w:val="center"/>
          </w:tcPr>
          <w:p>
            <w:pPr>
              <w:pStyle w:val="TableContents"/>
              <w:bidi w:val="0"/>
              <w:spacing w:before="0" w:after="283"/>
              <w:jc w:val="left"/>
              <w:rPr/>
            </w:pPr>
            <w:hyperlink w:anchor="a_018">
              <w:r>
                <w:rPr>
                  <w:rStyle w:val="InternetLink"/>
                  <w:rFonts w:ascii="Times New Roman;Times;Serif" w:hAnsi="Times New Roman;Times;Serif"/>
                  <w:sz w:val="20"/>
                </w:rPr>
                <w:t>Power of Attorney</w:t>
              </w:r>
            </w:hyperlink>
            <w:r>
              <w:rPr/>
              <w:t xml:space="preserve"> </w:t>
            </w:r>
          </w:p>
        </w:tc>
      </w:tr>
      <w:tr>
        <w:trPr/>
        <w:tc>
          <w:tcPr>
            <w:tcW w:w="868" w:type="dxa"/>
            <w:tcBorders/>
            <w:shd w:fill="CCEEFF" w:val="clear"/>
            <w:tcMar>
              <w:bottom w:w="0" w:type="dxa"/>
            </w:tcMar>
            <w:vAlign w:val="center"/>
          </w:tcPr>
          <w:p>
            <w:pPr>
              <w:pStyle w:val="TableContents"/>
              <w:bidi w:val="0"/>
              <w:spacing w:before="0" w:after="283"/>
              <w:jc w:val="center"/>
              <w:rPr/>
            </w:pPr>
            <w:r>
              <w:rPr>
                <w:rFonts w:ascii="Times New Roman;Times;Serif" w:hAnsi="Times New Roman;Times;Serif"/>
                <w:sz w:val="20"/>
              </w:rPr>
              <w:t>101.INS**</w:t>
            </w:r>
            <w:r>
              <w:rPr/>
              <w:t xml:space="preserve"> </w:t>
            </w:r>
          </w:p>
        </w:tc>
        <w:tc>
          <w:tcPr>
            <w:tcW w:w="86" w:type="dxa"/>
            <w:tcBorders/>
            <w:shd w:fill="CCEEFF" w:val="clear"/>
            <w:tcMar>
              <w:bottom w:w="0" w:type="dxa"/>
            </w:tcMar>
            <w:vAlign w:val="center"/>
          </w:tcPr>
          <w:p>
            <w:pPr>
              <w:pStyle w:val="TableContents"/>
              <w:bidi w:val="0"/>
              <w:spacing w:before="0" w:after="283"/>
              <w:jc w:val="left"/>
              <w:rPr/>
            </w:pPr>
            <w:r>
              <w:rPr/>
              <w:t xml:space="preserve">  </w:t>
            </w:r>
          </w:p>
        </w:tc>
        <w:tc>
          <w:tcPr>
            <w:tcW w:w="9251"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Inline XBRL Instance Document.</w:t>
            </w:r>
            <w:r>
              <w:rPr/>
              <w:t xml:space="preserve"> </w:t>
            </w:r>
          </w:p>
        </w:tc>
      </w:tr>
      <w:tr>
        <w:trPr/>
        <w:tc>
          <w:tcPr>
            <w:tcW w:w="868" w:type="dxa"/>
            <w:tcBorders/>
            <w:shd w:fill="FFFFFF" w:val="clear"/>
            <w:tcMar>
              <w:bottom w:w="0" w:type="dxa"/>
            </w:tcMar>
            <w:vAlign w:val="center"/>
          </w:tcPr>
          <w:p>
            <w:pPr>
              <w:pStyle w:val="TableContents"/>
              <w:bidi w:val="0"/>
              <w:spacing w:before="0" w:after="283"/>
              <w:jc w:val="center"/>
              <w:rPr/>
            </w:pPr>
            <w:r>
              <w:rPr>
                <w:rFonts w:ascii="Times New Roman;Times;Serif" w:hAnsi="Times New Roman;Times;Serif"/>
                <w:sz w:val="20"/>
              </w:rPr>
              <w:t>101.SCH**</w:t>
            </w:r>
            <w:r>
              <w:rPr/>
              <w:t xml:space="preserve"> </w:t>
            </w:r>
          </w:p>
        </w:tc>
        <w:tc>
          <w:tcPr>
            <w:tcW w:w="86" w:type="dxa"/>
            <w:tcBorders/>
            <w:shd w:fill="FFFFFF" w:val="clear"/>
            <w:tcMar>
              <w:bottom w:w="0" w:type="dxa"/>
            </w:tcMar>
            <w:vAlign w:val="center"/>
          </w:tcPr>
          <w:p>
            <w:pPr>
              <w:pStyle w:val="TableContents"/>
              <w:bidi w:val="0"/>
              <w:spacing w:before="0" w:after="283"/>
              <w:jc w:val="left"/>
              <w:rPr/>
            </w:pPr>
            <w:r>
              <w:rPr/>
              <w:t xml:space="preserve">  </w:t>
            </w:r>
          </w:p>
        </w:tc>
        <w:tc>
          <w:tcPr>
            <w:tcW w:w="9251"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Inline XBRL Taxonomy Extension Schema Document.</w:t>
            </w:r>
            <w:r>
              <w:rPr/>
              <w:t xml:space="preserve"> </w:t>
            </w:r>
          </w:p>
        </w:tc>
      </w:tr>
      <w:tr>
        <w:trPr/>
        <w:tc>
          <w:tcPr>
            <w:tcW w:w="868" w:type="dxa"/>
            <w:tcBorders/>
            <w:shd w:fill="CCEEFF" w:val="clear"/>
            <w:tcMar>
              <w:bottom w:w="0" w:type="dxa"/>
            </w:tcMar>
            <w:vAlign w:val="center"/>
          </w:tcPr>
          <w:p>
            <w:pPr>
              <w:pStyle w:val="TableContents"/>
              <w:bidi w:val="0"/>
              <w:spacing w:before="0" w:after="283"/>
              <w:jc w:val="center"/>
              <w:rPr/>
            </w:pPr>
            <w:r>
              <w:rPr>
                <w:rFonts w:ascii="Times New Roman;Times;Serif" w:hAnsi="Times New Roman;Times;Serif"/>
                <w:sz w:val="20"/>
              </w:rPr>
              <w:t>101.CAL**</w:t>
            </w:r>
            <w:r>
              <w:rPr/>
              <w:t xml:space="preserve"> </w:t>
            </w:r>
          </w:p>
        </w:tc>
        <w:tc>
          <w:tcPr>
            <w:tcW w:w="86" w:type="dxa"/>
            <w:tcBorders/>
            <w:shd w:fill="CCEEFF" w:val="clear"/>
            <w:tcMar>
              <w:bottom w:w="0" w:type="dxa"/>
            </w:tcMar>
            <w:vAlign w:val="center"/>
          </w:tcPr>
          <w:p>
            <w:pPr>
              <w:pStyle w:val="TableContents"/>
              <w:bidi w:val="0"/>
              <w:spacing w:before="0" w:after="283"/>
              <w:jc w:val="left"/>
              <w:rPr/>
            </w:pPr>
            <w:r>
              <w:rPr/>
              <w:t xml:space="preserve">  </w:t>
            </w:r>
          </w:p>
        </w:tc>
        <w:tc>
          <w:tcPr>
            <w:tcW w:w="9251"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Inline XBRL Taxonomy Extension Calculation Linkbase Document.</w:t>
            </w:r>
            <w:r>
              <w:rPr/>
              <w:t xml:space="preserve"> </w:t>
            </w:r>
          </w:p>
        </w:tc>
      </w:tr>
      <w:tr>
        <w:trPr/>
        <w:tc>
          <w:tcPr>
            <w:tcW w:w="868" w:type="dxa"/>
            <w:tcBorders/>
            <w:shd w:fill="FFFFFF" w:val="clear"/>
            <w:tcMar>
              <w:bottom w:w="0" w:type="dxa"/>
            </w:tcMar>
            <w:vAlign w:val="center"/>
          </w:tcPr>
          <w:p>
            <w:pPr>
              <w:pStyle w:val="TableContents"/>
              <w:bidi w:val="0"/>
              <w:spacing w:before="0" w:after="283"/>
              <w:jc w:val="center"/>
              <w:rPr/>
            </w:pPr>
            <w:r>
              <w:rPr>
                <w:rFonts w:ascii="Times New Roman;Times;Serif" w:hAnsi="Times New Roman;Times;Serif"/>
                <w:sz w:val="20"/>
              </w:rPr>
              <w:t>101.DEF**</w:t>
            </w:r>
            <w:r>
              <w:rPr/>
              <w:t xml:space="preserve"> </w:t>
            </w:r>
          </w:p>
        </w:tc>
        <w:tc>
          <w:tcPr>
            <w:tcW w:w="86" w:type="dxa"/>
            <w:tcBorders/>
            <w:shd w:fill="FFFFFF" w:val="clear"/>
            <w:tcMar>
              <w:bottom w:w="0" w:type="dxa"/>
            </w:tcMar>
            <w:vAlign w:val="center"/>
          </w:tcPr>
          <w:p>
            <w:pPr>
              <w:pStyle w:val="TableContents"/>
              <w:bidi w:val="0"/>
              <w:spacing w:before="0" w:after="283"/>
              <w:jc w:val="left"/>
              <w:rPr/>
            </w:pPr>
            <w:r>
              <w:rPr/>
              <w:t xml:space="preserve">  </w:t>
            </w:r>
          </w:p>
        </w:tc>
        <w:tc>
          <w:tcPr>
            <w:tcW w:w="9251"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Inline XBRL Taxonomy Extension Definition Linkbase Document.</w:t>
            </w:r>
            <w:r>
              <w:rPr/>
              <w:t xml:space="preserve"> </w:t>
            </w:r>
          </w:p>
        </w:tc>
      </w:tr>
      <w:tr>
        <w:trPr/>
        <w:tc>
          <w:tcPr>
            <w:tcW w:w="868" w:type="dxa"/>
            <w:tcBorders/>
            <w:shd w:fill="CCEEFF" w:val="clear"/>
            <w:tcMar>
              <w:bottom w:w="0" w:type="dxa"/>
            </w:tcMar>
            <w:vAlign w:val="center"/>
          </w:tcPr>
          <w:p>
            <w:pPr>
              <w:pStyle w:val="TableContents"/>
              <w:bidi w:val="0"/>
              <w:spacing w:before="0" w:after="283"/>
              <w:jc w:val="center"/>
              <w:rPr/>
            </w:pPr>
            <w:r>
              <w:rPr>
                <w:rFonts w:ascii="Times New Roman;Times;Serif" w:hAnsi="Times New Roman;Times;Serif"/>
                <w:sz w:val="20"/>
              </w:rPr>
              <w:t>101.LAB**</w:t>
            </w:r>
            <w:r>
              <w:rPr/>
              <w:t xml:space="preserve"> </w:t>
            </w:r>
          </w:p>
        </w:tc>
        <w:tc>
          <w:tcPr>
            <w:tcW w:w="86" w:type="dxa"/>
            <w:tcBorders/>
            <w:shd w:fill="CCEEFF" w:val="clear"/>
            <w:tcMar>
              <w:bottom w:w="0" w:type="dxa"/>
            </w:tcMar>
            <w:vAlign w:val="center"/>
          </w:tcPr>
          <w:p>
            <w:pPr>
              <w:pStyle w:val="TableContents"/>
              <w:bidi w:val="0"/>
              <w:spacing w:before="0" w:after="283"/>
              <w:jc w:val="left"/>
              <w:rPr/>
            </w:pPr>
            <w:r>
              <w:rPr/>
              <w:t xml:space="preserve">  </w:t>
            </w:r>
          </w:p>
        </w:tc>
        <w:tc>
          <w:tcPr>
            <w:tcW w:w="9251"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Inline XBRL Taxonomy Extension Label Linkbase Document.</w:t>
            </w:r>
            <w:r>
              <w:rPr/>
              <w:t xml:space="preserve"> </w:t>
            </w:r>
          </w:p>
        </w:tc>
      </w:tr>
      <w:tr>
        <w:trPr/>
        <w:tc>
          <w:tcPr>
            <w:tcW w:w="868" w:type="dxa"/>
            <w:tcBorders/>
            <w:shd w:fill="FFFFFF" w:val="clear"/>
            <w:tcMar>
              <w:bottom w:w="0" w:type="dxa"/>
            </w:tcMar>
            <w:vAlign w:val="center"/>
          </w:tcPr>
          <w:p>
            <w:pPr>
              <w:pStyle w:val="TableContents"/>
              <w:bidi w:val="0"/>
              <w:spacing w:before="0" w:after="283"/>
              <w:jc w:val="center"/>
              <w:rPr/>
            </w:pPr>
            <w:r>
              <w:rPr>
                <w:rFonts w:ascii="Times New Roman;Times;Serif" w:hAnsi="Times New Roman;Times;Serif"/>
                <w:sz w:val="20"/>
              </w:rPr>
              <w:t>101.PRE**</w:t>
            </w:r>
            <w:r>
              <w:rPr/>
              <w:t xml:space="preserve"> </w:t>
            </w:r>
          </w:p>
        </w:tc>
        <w:tc>
          <w:tcPr>
            <w:tcW w:w="86" w:type="dxa"/>
            <w:tcBorders/>
            <w:shd w:fill="FFFFFF" w:val="clear"/>
            <w:tcMar>
              <w:bottom w:w="0" w:type="dxa"/>
            </w:tcMar>
            <w:vAlign w:val="center"/>
          </w:tcPr>
          <w:p>
            <w:pPr>
              <w:pStyle w:val="TableContents"/>
              <w:bidi w:val="0"/>
              <w:spacing w:before="0" w:after="283"/>
              <w:jc w:val="left"/>
              <w:rPr/>
            </w:pPr>
            <w:r>
              <w:rPr/>
              <w:t xml:space="preserve">  </w:t>
            </w:r>
          </w:p>
        </w:tc>
        <w:tc>
          <w:tcPr>
            <w:tcW w:w="9251"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Inline XBRL Taxonomy Extension Presentation Linkbase Document.</w:t>
            </w:r>
            <w:r>
              <w:rPr/>
              <w:t xml:space="preserve"> </w:t>
            </w:r>
          </w:p>
        </w:tc>
      </w:tr>
      <w:tr>
        <w:trPr/>
        <w:tc>
          <w:tcPr>
            <w:tcW w:w="868" w:type="dxa"/>
            <w:tcBorders/>
            <w:shd w:fill="CCEEFF" w:val="clear"/>
            <w:tcMar>
              <w:bottom w:w="0" w:type="dxa"/>
            </w:tcMar>
            <w:vAlign w:val="center"/>
          </w:tcPr>
          <w:p>
            <w:pPr>
              <w:pStyle w:val="TableContents"/>
              <w:bidi w:val="0"/>
              <w:spacing w:before="0" w:after="283"/>
              <w:jc w:val="center"/>
              <w:rPr/>
            </w:pPr>
            <w:r>
              <w:rPr>
                <w:rFonts w:ascii="Times New Roman;Times;Serif" w:hAnsi="Times New Roman;Times;Serif"/>
                <w:sz w:val="20"/>
              </w:rPr>
              <w:t>107**</w:t>
            </w:r>
            <w:r>
              <w:rPr/>
              <w:t xml:space="preserve"> </w:t>
            </w:r>
          </w:p>
        </w:tc>
        <w:tc>
          <w:tcPr>
            <w:tcW w:w="86" w:type="dxa"/>
            <w:tcBorders/>
            <w:shd w:fill="CCEEFF" w:val="clear"/>
            <w:tcMar>
              <w:bottom w:w="0" w:type="dxa"/>
            </w:tcMar>
            <w:vAlign w:val="center"/>
          </w:tcPr>
          <w:p>
            <w:pPr>
              <w:pStyle w:val="TableContents"/>
              <w:bidi w:val="0"/>
              <w:spacing w:before="0" w:after="283"/>
              <w:jc w:val="left"/>
              <w:rPr/>
            </w:pPr>
            <w:r>
              <w:rPr/>
              <w:t xml:space="preserve">  </w:t>
            </w:r>
          </w:p>
        </w:tc>
        <w:tc>
          <w:tcPr>
            <w:tcW w:w="9251" w:type="dxa"/>
            <w:tcBorders/>
            <w:shd w:fill="CCEEFF" w:val="clear"/>
            <w:tcMar>
              <w:bottom w:w="0" w:type="dxa"/>
            </w:tcMar>
            <w:vAlign w:val="center"/>
          </w:tcPr>
          <w:p>
            <w:pPr>
              <w:pStyle w:val="TableContents"/>
              <w:bidi w:val="0"/>
              <w:spacing w:before="0" w:after="283"/>
              <w:jc w:val="both"/>
              <w:rPr/>
            </w:pPr>
            <w:hyperlink w:anchor="ea183305ex-fee_opalfuels.htm">
              <w:r>
                <w:rPr>
                  <w:rStyle w:val="InternetLink"/>
                  <w:rFonts w:ascii="Times New Roman;Times;Serif" w:hAnsi="Times New Roman;Times;Serif"/>
                  <w:sz w:val="20"/>
                </w:rPr>
                <w:t>Filing Fee Table</w:t>
              </w:r>
            </w:hyperlink>
            <w:r>
              <w:rPr/>
              <w:t xml:space="preserve"> </w:t>
            </w:r>
          </w:p>
        </w:tc>
      </w:tr>
    </w:tbl>
    <w:p>
      <w:pPr>
        <w:pStyle w:val="TextBody"/>
        <w:bidi w:val="0"/>
        <w:spacing w:before="0" w:after="0"/>
        <w:ind w:left="0" w:right="0" w:hanging="0"/>
        <w:jc w:val="left"/>
        <w:rPr>
          <w:caps w:val="false"/>
          <w:smallCaps w:val="false"/>
        </w:rPr>
      </w:pPr>
      <w:r>
        <w:rPr>
          <w:caps w:val="false"/>
          <w:smallCaps w:val="false"/>
        </w:rPr>
        <w:t> </w:t>
      </w:r>
    </w:p>
    <w:tbl>
      <w:tblPr>
        <w:tblW w:w="1653" w:type="dxa"/>
        <w:jc w:val="left"/>
        <w:tblInd w:w="0" w:type="dxa"/>
        <w:tblLayout w:type="fixed"/>
        <w:tblCellMar>
          <w:top w:w="0" w:type="dxa"/>
          <w:left w:w="0" w:type="dxa"/>
          <w:bottom w:w="0" w:type="dxa"/>
          <w:right w:w="0" w:type="dxa"/>
        </w:tblCellMar>
      </w:tblPr>
      <w:tblGrid>
        <w:gridCol w:w="38"/>
        <w:gridCol w:w="185"/>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rFonts w:ascii="Times New Roman;Times;Serif" w:hAnsi="Times New Roman;Times;Serif"/>
                <w:sz w:val="20"/>
              </w:rPr>
              <w:t>*</w:t>
            </w:r>
            <w:r>
              <w:rPr/>
              <w:t xml:space="preserve"> </w:t>
            </w:r>
          </w:p>
        </w:tc>
        <w:tc>
          <w:tcPr>
            <w:tcW w:w="1430" w:type="dxa"/>
            <w:tcBorders/>
            <w:vAlign w:val="center"/>
          </w:tcPr>
          <w:p>
            <w:pPr>
              <w:pStyle w:val="TableContents"/>
              <w:bidi w:val="0"/>
              <w:spacing w:before="0" w:after="283"/>
              <w:jc w:val="both"/>
              <w:rPr/>
            </w:pPr>
            <w:r>
              <w:rPr>
                <w:rFonts w:ascii="Times New Roman;Times;Serif" w:hAnsi="Times New Roman;Times;Serif"/>
                <w:sz w:val="20"/>
              </w:rPr>
              <w:t>Previously filed.</w:t>
            </w:r>
            <w:r>
              <w:rPr/>
              <w:t xml:space="preserve"> </w:t>
            </w:r>
          </w:p>
        </w:tc>
      </w:tr>
    </w:tbl>
    <w:tbl>
      <w:tblPr>
        <w:tblW w:w="1638" w:type="dxa"/>
        <w:jc w:val="left"/>
        <w:tblInd w:w="0" w:type="dxa"/>
        <w:tblLayout w:type="fixed"/>
        <w:tblCellMar>
          <w:top w:w="0" w:type="dxa"/>
          <w:left w:w="0" w:type="dxa"/>
          <w:bottom w:w="0" w:type="dxa"/>
          <w:right w:w="0" w:type="dxa"/>
        </w:tblCellMar>
      </w:tblPr>
      <w:tblGrid>
        <w:gridCol w:w="38"/>
        <w:gridCol w:w="290"/>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rFonts w:ascii="Times New Roman;Times;Serif" w:hAnsi="Times New Roman;Times;Serif"/>
                <w:sz w:val="20"/>
              </w:rPr>
              <w:t>**</w:t>
            </w:r>
            <w:r>
              <w:rPr/>
              <w:t xml:space="preserve"> </w:t>
            </w:r>
          </w:p>
        </w:tc>
        <w:tc>
          <w:tcPr>
            <w:tcW w:w="1310" w:type="dxa"/>
            <w:tcBorders/>
            <w:vAlign w:val="center"/>
          </w:tcPr>
          <w:p>
            <w:pPr>
              <w:pStyle w:val="TableContents"/>
              <w:bidi w:val="0"/>
              <w:spacing w:before="0" w:after="283"/>
              <w:jc w:val="both"/>
              <w:rPr/>
            </w:pPr>
            <w:r>
              <w:rPr>
                <w:rFonts w:ascii="Times New Roman;Times;Serif" w:hAnsi="Times New Roman;Times;Serif"/>
                <w:sz w:val="20"/>
              </w:rPr>
              <w:t>Filed herewith.</w:t>
            </w:r>
            <w:r>
              <w:rPr/>
              <w:t xml:space="preserve"> </w:t>
            </w:r>
          </w:p>
        </w:tc>
      </w:tr>
    </w:tbl>
    <w:tbl>
      <w:tblPr>
        <w:tblW w:w="7578" w:type="dxa"/>
        <w:jc w:val="left"/>
        <w:tblInd w:w="0" w:type="dxa"/>
        <w:tblLayout w:type="fixed"/>
        <w:tblCellMar>
          <w:top w:w="0" w:type="dxa"/>
          <w:left w:w="0" w:type="dxa"/>
          <w:bottom w:w="0" w:type="dxa"/>
          <w:right w:w="0" w:type="dxa"/>
        </w:tblCellMar>
      </w:tblPr>
      <w:tblGrid>
        <w:gridCol w:w="38"/>
        <w:gridCol w:w="395"/>
        <w:gridCol w:w="7145"/>
      </w:tblGrid>
      <w:tr>
        <w:trPr/>
        <w:tc>
          <w:tcPr>
            <w:tcW w:w="3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pPr>
            <w:r>
              <w:rPr>
                <w:rFonts w:ascii="Times New Roman;Times;Serif" w:hAnsi="Times New Roman;Times;Serif"/>
                <w:sz w:val="20"/>
              </w:rPr>
              <w:t>***</w:t>
            </w:r>
            <w:r>
              <w:rPr/>
              <w:t xml:space="preserve"> </w:t>
            </w:r>
          </w:p>
        </w:tc>
        <w:tc>
          <w:tcPr>
            <w:tcW w:w="7145" w:type="dxa"/>
            <w:tcBorders/>
            <w:vAlign w:val="center"/>
          </w:tcPr>
          <w:p>
            <w:pPr>
              <w:pStyle w:val="TableContents"/>
              <w:bidi w:val="0"/>
              <w:spacing w:before="0" w:after="283"/>
              <w:jc w:val="both"/>
              <w:rPr/>
            </w:pPr>
            <w:r>
              <w:rPr>
                <w:rFonts w:ascii="Times New Roman;Times;Serif" w:hAnsi="Times New Roman;Times;Serif"/>
                <w:sz w:val="20"/>
              </w:rPr>
              <w:t>If required, to be filed by amendment or under subsequent Current Report on Form 8-K.</w:t>
            </w:r>
            <w:r>
              <w:rPr/>
              <w:t xml:space="preserv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sz w:val="20"/>
              </w:rPr>
            </w:pPr>
            <w:r>
              <w:rPr>
                <w:sz w:val="20"/>
              </w:rPr>
              <w:t>Schedules and exhibits to this exhibit omitted pursuant to Regulation S-K Item 601(b)(2). The Company agrees to furnish supplementally a copy of any omitted schedule or exhibit to the SEC upon request.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Financial Statements</w:t>
      </w:r>
      <w:r>
        <w:rPr>
          <w:rFonts w:ascii="Times New Roman;Times;Serif" w:hAnsi="Times New Roman;Times;Serif"/>
          <w:b w:val="false"/>
          <w:i w:val="false"/>
          <w:caps w:val="false"/>
          <w:smallCaps w:val="false"/>
          <w:sz w:val="20"/>
        </w:rPr>
        <w:t>. The financial statements filed as part of this registration statement are listed in the index to the financial statements immediately preceding such financial statements, which index to the financial statements is incorporated herein by reference.</w:t>
      </w:r>
    </w:p>
    <w:p>
      <w:pPr>
        <w:pStyle w:val="TextBody"/>
        <w:bidi w:val="0"/>
        <w:spacing w:before="0" w:after="0"/>
        <w:ind w:left="489" w:right="0" w:firstLine="720"/>
        <w:jc w:val="left"/>
        <w:rPr>
          <w:caps w:val="false"/>
          <w:smallCaps w:val="false"/>
        </w:rPr>
      </w:pPr>
      <w:r>
        <w:rPr>
          <w:caps w:val="false"/>
          <w:smallCaps w:val="false"/>
        </w:rPr>
        <w:t> </w:t>
      </w:r>
    </w:p>
    <w:p>
      <w:pPr>
        <w:pStyle w:val="TextBody"/>
        <w:bidi w:val="0"/>
        <w:spacing w:before="0" w:after="0"/>
        <w:ind w:left="489"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489"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firstLine="110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file, during any period in which offers or sales are being made, a post-effective amendment to this registration statement: (i) to include any prospectus required by Section 10(a)(3) of the Securities Act of 1933;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 provided, however, that paragraphs (1)(i), (1)(ii), and (1)(iii) of this section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tc>
      </w:tr>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91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1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91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91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remove from registration by means of a post-effective amendment any of the securities being registered which remain unsold at the termination of the offering.</w:t>
            </w:r>
          </w:p>
        </w:tc>
      </w:tr>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91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1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That, for the purpose of determining liability under the Securities Act to any purchaser: (i) each prospectus filed by the registrant pursuant to Rule 424(b)(3) shall be deemed to be part of the registration statement as of the date the filed prospectus was deemed part of and included in the registration statement; and (ii) e</w:t>
            </w:r>
            <w:r>
              <w:rPr>
                <w:rFonts w:ascii="Times New Roman;Times;Serif" w:hAnsi="Times New Roman;Times;Serif"/>
                <w:shd w:fill="FFFFFF" w:val="clear"/>
              </w:rPr>
              <w:t>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Times;Serif" w:hAnsi="Times New Roman;Times;Serif"/>
                <w:i/>
                <w:shd w:fill="FFFFFF" w:val="clear"/>
              </w:rPr>
              <w:t>bona fide</w:t>
            </w:r>
            <w:r>
              <w:rPr>
                <w:rFonts w:ascii="Times New Roman;Times;Serif" w:hAnsi="Times New Roman;Times;Serif"/>
                <w:shd w:fill="FFFFFF" w:val="clear"/>
              </w:rPr>
              <w:t> offering thereof. </w:t>
            </w:r>
            <w:r>
              <w:rPr>
                <w:rFonts w:ascii="Times New Roman;Times;Serif" w:hAnsi="Times New Roman;Times;Serif"/>
                <w:i/>
                <w:shd w:fill="FFFFFF" w:val="clear"/>
              </w:rPr>
              <w:t>Provided, however,</w:t>
            </w:r>
            <w:r>
              <w:rPr>
                <w:rFonts w:ascii="Times New Roman;Times;Serif" w:hAnsi="Times New Roman;Times;Serif"/>
                <w:shd w:fill="FFFFFF" w:val="clear"/>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91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91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91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1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18"/>
      <w:bookmarkEnd w:id="18"/>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White Plains, State of New York, on August 11, 2023. </w:t>
      </w:r>
    </w:p>
    <w:p>
      <w:pPr>
        <w:pStyle w:val="TextBody"/>
        <w:bidi w:val="0"/>
        <w:spacing w:before="0" w:after="0"/>
        <w:ind w:left="0" w:right="0" w:firstLine="720"/>
        <w:jc w:val="both"/>
        <w:rPr>
          <w:caps w:val="false"/>
          <w:smallCaps w:val="false"/>
        </w:rPr>
      </w:pPr>
      <w:r>
        <w:rPr>
          <w:caps w:val="false"/>
          <w:smallCaps w:val="false"/>
        </w:rPr>
        <w:t> </w:t>
      </w:r>
    </w:p>
    <w:tbl>
      <w:tblPr>
        <w:tblW w:w="3240" w:type="dxa"/>
        <w:jc w:val="left"/>
        <w:tblInd w:w="0" w:type="dxa"/>
        <w:tblLayout w:type="fixed"/>
        <w:tblCellMar>
          <w:top w:w="0" w:type="dxa"/>
          <w:left w:w="0" w:type="dxa"/>
          <w:bottom w:w="0" w:type="dxa"/>
          <w:right w:w="0" w:type="dxa"/>
        </w:tblCellMar>
      </w:tblPr>
      <w:tblGrid>
        <w:gridCol w:w="75"/>
        <w:gridCol w:w="320"/>
        <w:gridCol w:w="590"/>
        <w:gridCol w:w="2255"/>
      </w:tblGrid>
      <w:tr>
        <w:trPr/>
        <w:tc>
          <w:tcPr>
            <w:tcW w:w="75" w:type="dxa"/>
            <w:tcBorders/>
            <w:vAlign w:val="center"/>
          </w:tcPr>
          <w:p>
            <w:pPr>
              <w:pStyle w:val="TableContents"/>
              <w:bidi w:val="0"/>
              <w:spacing w:before="0" w:after="283"/>
              <w:jc w:val="left"/>
              <w:rPr/>
            </w:pPr>
            <w:r>
              <w:rPr/>
              <w:t> </w:t>
            </w:r>
          </w:p>
        </w:tc>
        <w:tc>
          <w:tcPr>
            <w:tcW w:w="3165" w:type="dxa"/>
            <w:gridSpan w:val="3"/>
            <w:tcBorders/>
            <w:vAlign w:val="center"/>
          </w:tcPr>
          <w:p>
            <w:pPr>
              <w:pStyle w:val="TableContents"/>
              <w:bidi w:val="0"/>
              <w:spacing w:before="0" w:after="283"/>
              <w:jc w:val="left"/>
              <w:rPr>
                <w:b/>
                <w:sz w:val="20"/>
              </w:rPr>
            </w:pPr>
            <w:r>
              <w:rPr>
                <w:b/>
                <w:sz w:val="20"/>
              </w:rPr>
              <w:t>OPAL FUELS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8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845"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Jonathan Maurer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2255" w:type="dxa"/>
            <w:tcBorders/>
            <w:vAlign w:val="center"/>
          </w:tcPr>
          <w:p>
            <w:pPr>
              <w:pStyle w:val="TableContents"/>
              <w:bidi w:val="0"/>
              <w:spacing w:before="0" w:after="283"/>
              <w:jc w:val="left"/>
              <w:rPr>
                <w:sz w:val="20"/>
              </w:rPr>
            </w:pPr>
            <w:r>
              <w:rPr>
                <w:sz w:val="20"/>
              </w:rPr>
              <w:t>Jonathan Maurer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Title: </w:t>
            </w:r>
          </w:p>
        </w:tc>
        <w:tc>
          <w:tcPr>
            <w:tcW w:w="2255" w:type="dxa"/>
            <w:tcBorders/>
            <w:vAlign w:val="center"/>
          </w:tcPr>
          <w:p>
            <w:pPr>
              <w:pStyle w:val="TableContents"/>
              <w:bidi w:val="0"/>
              <w:spacing w:before="0" w:after="283"/>
              <w:jc w:val="left"/>
              <w:rPr>
                <w:sz w:val="20"/>
              </w:rPr>
            </w:pPr>
            <w:r>
              <w:rPr>
                <w:sz w:val="20"/>
              </w:rPr>
              <w:t>Co-Chief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firstLine="720"/>
        <w:jc w:val="both"/>
        <w:rPr>
          <w:caps w:val="false"/>
          <w:smallCaps w:val="false"/>
        </w:rPr>
      </w:pPr>
      <w:r>
        <w:rPr>
          <w:caps w:val="false"/>
          <w:smallCaps w:val="false"/>
        </w:rPr>
        <w:t> </w:t>
      </w:r>
    </w:p>
    <w:tbl>
      <w:tblPr>
        <w:tblW w:w="8460" w:type="dxa"/>
        <w:jc w:val="left"/>
        <w:tblInd w:w="0" w:type="dxa"/>
        <w:tblLayout w:type="fixed"/>
        <w:tblCellMar>
          <w:top w:w="0" w:type="dxa"/>
          <w:left w:w="0" w:type="dxa"/>
          <w:bottom w:w="28" w:type="dxa"/>
          <w:right w:w="0" w:type="dxa"/>
        </w:tblCellMar>
      </w:tblPr>
      <w:tblGrid>
        <w:gridCol w:w="1700"/>
        <w:gridCol w:w="120"/>
        <w:gridCol w:w="5075"/>
        <w:gridCol w:w="120"/>
        <w:gridCol w:w="1445"/>
      </w:tblGrid>
      <w:tr>
        <w:trPr/>
        <w:tc>
          <w:tcPr>
            <w:tcW w:w="1700"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b/>
                <w:sz w:val="20"/>
              </w:rPr>
              <w:t>Signature</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075"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b/>
                <w:sz w:val="20"/>
              </w:rPr>
              <w:t>Title</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b/>
                <w:sz w:val="20"/>
              </w:rPr>
              <w:t>Date</w:t>
            </w:r>
            <w:r>
              <w:rPr/>
              <w:t xml:space="preserve"> </w:t>
            </w:r>
          </w:p>
        </w:tc>
      </w:tr>
      <w:tr>
        <w:trPr/>
        <w:tc>
          <w:tcPr>
            <w:tcW w:w="170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07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left"/>
              <w:rPr/>
            </w:pPr>
            <w:r>
              <w:rPr/>
              <w:t xml:space="preserve">  </w:t>
            </w:r>
          </w:p>
        </w:tc>
      </w:tr>
      <w:tr>
        <w:trPr/>
        <w:tc>
          <w:tcPr>
            <w:tcW w:w="1700"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sz w:val="20"/>
              </w:rPr>
              <w:t>/s/ Jonathan Maurer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075" w:type="dxa"/>
            <w:tcBorders/>
            <w:tcMar>
              <w:bottom w:w="0" w:type="dxa"/>
            </w:tcMar>
            <w:vAlign w:val="center"/>
          </w:tcPr>
          <w:p>
            <w:pPr>
              <w:pStyle w:val="TableContents"/>
              <w:bidi w:val="0"/>
              <w:spacing w:before="0" w:after="283"/>
              <w:jc w:val="both"/>
              <w:rPr/>
            </w:pPr>
            <w:r>
              <w:rPr>
                <w:rFonts w:ascii="Times New Roman;Times;Serif" w:hAnsi="Times New Roman;Times;Serif"/>
                <w:sz w:val="20"/>
              </w:rPr>
              <w:t>Co-Chief Executive Officer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center"/>
              <w:rPr/>
            </w:pPr>
            <w:r>
              <w:rPr>
                <w:rFonts w:ascii="Times New Roman;Times;Serif" w:hAnsi="Times New Roman;Times;Serif"/>
                <w:sz w:val="20"/>
              </w:rPr>
              <w:t>August 11, 2023</w:t>
            </w:r>
            <w:r>
              <w:rPr/>
              <w:t xml:space="preserve"> </w:t>
            </w:r>
          </w:p>
        </w:tc>
      </w:tr>
      <w:tr>
        <w:trPr/>
        <w:tc>
          <w:tcPr>
            <w:tcW w:w="1700" w:type="dxa"/>
            <w:tcBorders/>
            <w:tcMar>
              <w:bottom w:w="0" w:type="dxa"/>
            </w:tcMar>
            <w:vAlign w:val="center"/>
          </w:tcPr>
          <w:p>
            <w:pPr>
              <w:pStyle w:val="TableContents"/>
              <w:bidi w:val="0"/>
              <w:spacing w:before="0" w:after="283"/>
              <w:jc w:val="left"/>
              <w:rPr/>
            </w:pPr>
            <w:r>
              <w:rPr>
                <w:rFonts w:ascii="Times New Roman;Times;Serif" w:hAnsi="Times New Roman;Times;Serif"/>
                <w:sz w:val="20"/>
              </w:rPr>
              <w:t>Jonathan Maurer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075" w:type="dxa"/>
            <w:tcBorders/>
            <w:tcMar>
              <w:bottom w:w="0" w:type="dxa"/>
            </w:tcMar>
            <w:vAlign w:val="center"/>
          </w:tcPr>
          <w:p>
            <w:pPr>
              <w:pStyle w:val="TableContents"/>
              <w:bidi w:val="0"/>
              <w:spacing w:before="0" w:after="283"/>
              <w:jc w:val="left"/>
              <w:rPr/>
            </w:pPr>
            <w:r>
              <w:rPr>
                <w:rFonts w:ascii="Times New Roman;Times;Serif" w:hAnsi="Times New Roman;Times;Serif"/>
                <w:sz w:val="20"/>
              </w:rPr>
              <w:t>(Principal Executive Officer)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left"/>
              <w:rPr/>
            </w:pPr>
            <w:r>
              <w:rPr/>
              <w:t xml:space="preserve">  </w:t>
            </w:r>
          </w:p>
        </w:tc>
      </w:tr>
      <w:tr>
        <w:trPr/>
        <w:tc>
          <w:tcPr>
            <w:tcW w:w="170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07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left"/>
              <w:rPr/>
            </w:pPr>
            <w:r>
              <w:rPr/>
              <w:t xml:space="preserve">  </w:t>
            </w:r>
          </w:p>
        </w:tc>
      </w:tr>
      <w:tr>
        <w:trPr/>
        <w:tc>
          <w:tcPr>
            <w:tcW w:w="1700"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sz w:val="20"/>
              </w:rPr>
              <w:t>*</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075" w:type="dxa"/>
            <w:tcBorders/>
            <w:tcMar>
              <w:bottom w:w="0" w:type="dxa"/>
            </w:tcMar>
            <w:vAlign w:val="center"/>
          </w:tcPr>
          <w:p>
            <w:pPr>
              <w:pStyle w:val="TableContents"/>
              <w:bidi w:val="0"/>
              <w:spacing w:before="0" w:after="283"/>
              <w:jc w:val="both"/>
              <w:rPr/>
            </w:pPr>
            <w:r>
              <w:rPr>
                <w:rFonts w:ascii="Times New Roman;Times;Serif" w:hAnsi="Times New Roman;Times;Serif"/>
                <w:sz w:val="20"/>
              </w:rPr>
              <w:t>Co-Chief Executive Officer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center"/>
              <w:rPr/>
            </w:pPr>
            <w:r>
              <w:rPr>
                <w:rFonts w:ascii="Times New Roman;Times;Serif" w:hAnsi="Times New Roman;Times;Serif"/>
                <w:sz w:val="20"/>
              </w:rPr>
              <w:t>August 11, 2023</w:t>
            </w:r>
            <w:r>
              <w:rPr/>
              <w:t xml:space="preserve"> </w:t>
            </w:r>
          </w:p>
        </w:tc>
      </w:tr>
      <w:tr>
        <w:trPr/>
        <w:tc>
          <w:tcPr>
            <w:tcW w:w="1700" w:type="dxa"/>
            <w:tcBorders/>
            <w:tcMar>
              <w:bottom w:w="0" w:type="dxa"/>
            </w:tcMar>
            <w:vAlign w:val="center"/>
          </w:tcPr>
          <w:p>
            <w:pPr>
              <w:pStyle w:val="TableContents"/>
              <w:bidi w:val="0"/>
              <w:spacing w:before="0" w:after="283"/>
              <w:jc w:val="left"/>
              <w:rPr/>
            </w:pPr>
            <w:r>
              <w:rPr>
                <w:rFonts w:ascii="Times New Roman;Times;Serif" w:hAnsi="Times New Roman;Times;Serif"/>
                <w:sz w:val="20"/>
              </w:rPr>
              <w:t>Adam Comora</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075" w:type="dxa"/>
            <w:tcBorders/>
            <w:tcMar>
              <w:bottom w:w="0" w:type="dxa"/>
            </w:tcMar>
            <w:vAlign w:val="center"/>
          </w:tcPr>
          <w:p>
            <w:pPr>
              <w:pStyle w:val="TableContents"/>
              <w:bidi w:val="0"/>
              <w:spacing w:before="0" w:after="283"/>
              <w:jc w:val="left"/>
              <w:rPr/>
            </w:pPr>
            <w:r>
              <w:rPr>
                <w:rFonts w:ascii="Times New Roman;Times;Serif" w:hAnsi="Times New Roman;Times;Serif"/>
                <w:sz w:val="20"/>
              </w:rPr>
              <w:t>(Principal Executive Officer)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left"/>
              <w:rPr/>
            </w:pPr>
            <w:r>
              <w:rPr/>
              <w:t xml:space="preserve">  </w:t>
            </w:r>
          </w:p>
        </w:tc>
      </w:tr>
      <w:tr>
        <w:trPr/>
        <w:tc>
          <w:tcPr>
            <w:tcW w:w="170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07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left"/>
              <w:rPr/>
            </w:pPr>
            <w:r>
              <w:rPr/>
              <w:t xml:space="preserve">  </w:t>
            </w:r>
          </w:p>
        </w:tc>
      </w:tr>
      <w:tr>
        <w:trPr/>
        <w:tc>
          <w:tcPr>
            <w:tcW w:w="1700"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sz w:val="20"/>
              </w:rPr>
              <w:t>*</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075" w:type="dxa"/>
            <w:tcBorders/>
            <w:tcMar>
              <w:bottom w:w="0" w:type="dxa"/>
            </w:tcMar>
            <w:vAlign w:val="center"/>
          </w:tcPr>
          <w:p>
            <w:pPr>
              <w:pStyle w:val="TableContents"/>
              <w:bidi w:val="0"/>
              <w:spacing w:before="0" w:after="283"/>
              <w:jc w:val="both"/>
              <w:rPr/>
            </w:pPr>
            <w:r>
              <w:rPr>
                <w:rFonts w:ascii="Times New Roman;Times;Serif" w:hAnsi="Times New Roman;Times;Serif"/>
                <w:sz w:val="20"/>
              </w:rPr>
              <w:t>Chief Financial Officer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center"/>
              <w:rPr/>
            </w:pPr>
            <w:r>
              <w:rPr>
                <w:rFonts w:ascii="Times New Roman;Times;Serif" w:hAnsi="Times New Roman;Times;Serif"/>
                <w:sz w:val="20"/>
              </w:rPr>
              <w:t>August 11, 2023</w:t>
            </w:r>
            <w:r>
              <w:rPr/>
              <w:t xml:space="preserve"> </w:t>
            </w:r>
          </w:p>
        </w:tc>
      </w:tr>
      <w:tr>
        <w:trPr/>
        <w:tc>
          <w:tcPr>
            <w:tcW w:w="1700" w:type="dxa"/>
            <w:tcBorders/>
            <w:tcMar>
              <w:bottom w:w="0" w:type="dxa"/>
            </w:tcMar>
            <w:vAlign w:val="center"/>
          </w:tcPr>
          <w:p>
            <w:pPr>
              <w:pStyle w:val="TableContents"/>
              <w:bidi w:val="0"/>
              <w:spacing w:before="0" w:after="283"/>
              <w:jc w:val="left"/>
              <w:rPr/>
            </w:pPr>
            <w:r>
              <w:rPr>
                <w:rFonts w:ascii="Times New Roman;Times;Serif" w:hAnsi="Times New Roman;Times;Serif"/>
                <w:sz w:val="20"/>
              </w:rPr>
              <w:t>Ann Anthony</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075" w:type="dxa"/>
            <w:tcBorders/>
            <w:tcMar>
              <w:bottom w:w="0" w:type="dxa"/>
            </w:tcMar>
            <w:vAlign w:val="center"/>
          </w:tcPr>
          <w:p>
            <w:pPr>
              <w:pStyle w:val="TableContents"/>
              <w:bidi w:val="0"/>
              <w:spacing w:before="0" w:after="283"/>
              <w:jc w:val="left"/>
              <w:rPr/>
            </w:pPr>
            <w:r>
              <w:rPr>
                <w:rFonts w:ascii="Times New Roman;Times;Serif" w:hAnsi="Times New Roman;Times;Serif"/>
                <w:sz w:val="20"/>
              </w:rPr>
              <w:t>(Principal Financial Officer and Principal Accounting Officer)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left"/>
              <w:rPr/>
            </w:pPr>
            <w:r>
              <w:rPr/>
              <w:t xml:space="preserve">  </w:t>
            </w:r>
          </w:p>
        </w:tc>
      </w:tr>
      <w:tr>
        <w:trPr/>
        <w:tc>
          <w:tcPr>
            <w:tcW w:w="170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07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left"/>
              <w:rPr/>
            </w:pPr>
            <w:r>
              <w:rPr/>
              <w:t xml:space="preserve">  </w:t>
            </w:r>
          </w:p>
        </w:tc>
      </w:tr>
      <w:tr>
        <w:trPr/>
        <w:tc>
          <w:tcPr>
            <w:tcW w:w="1700"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sz w:val="20"/>
              </w:rPr>
              <w:t>*</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075" w:type="dxa"/>
            <w:tcBorders/>
            <w:tcMar>
              <w:bottom w:w="0" w:type="dxa"/>
            </w:tcMar>
            <w:vAlign w:val="center"/>
          </w:tcPr>
          <w:p>
            <w:pPr>
              <w:pStyle w:val="TableContents"/>
              <w:bidi w:val="0"/>
              <w:spacing w:before="0" w:after="283"/>
              <w:jc w:val="left"/>
              <w:rPr/>
            </w:pPr>
            <w:r>
              <w:rPr>
                <w:rFonts w:ascii="Times New Roman;Times;Serif" w:hAnsi="Times New Roman;Times;Serif"/>
                <w:sz w:val="20"/>
              </w:rPr>
              <w:t>Chairman</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center"/>
              <w:rPr/>
            </w:pPr>
            <w:r>
              <w:rPr>
                <w:rFonts w:ascii="Times New Roman;Times;Serif" w:hAnsi="Times New Roman;Times;Serif"/>
                <w:sz w:val="20"/>
              </w:rPr>
              <w:t>August 11, 2023</w:t>
            </w:r>
            <w:r>
              <w:rPr/>
              <w:t xml:space="preserve"> </w:t>
            </w:r>
          </w:p>
        </w:tc>
      </w:tr>
      <w:tr>
        <w:trPr/>
        <w:tc>
          <w:tcPr>
            <w:tcW w:w="1700" w:type="dxa"/>
            <w:tcBorders/>
            <w:tcMar>
              <w:bottom w:w="0" w:type="dxa"/>
            </w:tcMar>
            <w:vAlign w:val="center"/>
          </w:tcPr>
          <w:p>
            <w:pPr>
              <w:pStyle w:val="TableContents"/>
              <w:bidi w:val="0"/>
              <w:spacing w:before="0" w:after="283"/>
              <w:jc w:val="left"/>
              <w:rPr/>
            </w:pPr>
            <w:r>
              <w:rPr>
                <w:rFonts w:ascii="Times New Roman;Times;Serif" w:hAnsi="Times New Roman;Times;Serif"/>
                <w:sz w:val="20"/>
              </w:rPr>
              <w:t>Mark Comora</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07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left"/>
              <w:rPr/>
            </w:pPr>
            <w:r>
              <w:rPr/>
              <w:t xml:space="preserve">  </w:t>
            </w:r>
          </w:p>
        </w:tc>
      </w:tr>
      <w:tr>
        <w:trPr/>
        <w:tc>
          <w:tcPr>
            <w:tcW w:w="170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07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left"/>
              <w:rPr/>
            </w:pPr>
            <w:r>
              <w:rPr/>
              <w:t xml:space="preserve">  </w:t>
            </w:r>
          </w:p>
        </w:tc>
      </w:tr>
      <w:tr>
        <w:trPr/>
        <w:tc>
          <w:tcPr>
            <w:tcW w:w="1700"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sz w:val="20"/>
              </w:rPr>
              <w:t>*</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075" w:type="dxa"/>
            <w:tcBorders/>
            <w:tcMar>
              <w:bottom w:w="0" w:type="dxa"/>
            </w:tcMar>
            <w:vAlign w:val="center"/>
          </w:tcPr>
          <w:p>
            <w:pPr>
              <w:pStyle w:val="TableContents"/>
              <w:bidi w:val="0"/>
              <w:spacing w:before="0" w:after="283"/>
              <w:jc w:val="left"/>
              <w:rPr/>
            </w:pPr>
            <w:r>
              <w:rPr>
                <w:rFonts w:ascii="Times New Roman;Times;Serif" w:hAnsi="Times New Roman;Times;Serif"/>
                <w:sz w:val="20"/>
              </w:rPr>
              <w:t>Director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center"/>
              <w:rPr/>
            </w:pPr>
            <w:r>
              <w:rPr>
                <w:rFonts w:ascii="Times New Roman;Times;Serif" w:hAnsi="Times New Roman;Times;Serif"/>
                <w:sz w:val="20"/>
              </w:rPr>
              <w:t>August 11, 2023</w:t>
            </w:r>
            <w:r>
              <w:rPr/>
              <w:t xml:space="preserve"> </w:t>
            </w:r>
          </w:p>
        </w:tc>
      </w:tr>
      <w:tr>
        <w:trPr/>
        <w:tc>
          <w:tcPr>
            <w:tcW w:w="1700" w:type="dxa"/>
            <w:tcBorders/>
            <w:tcMar>
              <w:bottom w:w="0" w:type="dxa"/>
            </w:tcMar>
            <w:vAlign w:val="center"/>
          </w:tcPr>
          <w:p>
            <w:pPr>
              <w:pStyle w:val="TableContents"/>
              <w:bidi w:val="0"/>
              <w:spacing w:before="0" w:after="283"/>
              <w:jc w:val="left"/>
              <w:rPr/>
            </w:pPr>
            <w:r>
              <w:rPr>
                <w:rFonts w:ascii="Times New Roman;Times;Serif" w:hAnsi="Times New Roman;Times;Serif"/>
                <w:sz w:val="20"/>
              </w:rPr>
              <w:t>Betsy L. Battle</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07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left"/>
              <w:rPr/>
            </w:pPr>
            <w:r>
              <w:rPr/>
              <w:t xml:space="preserve">  </w:t>
            </w:r>
          </w:p>
        </w:tc>
      </w:tr>
      <w:tr>
        <w:trPr/>
        <w:tc>
          <w:tcPr>
            <w:tcW w:w="170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07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left"/>
              <w:rPr/>
            </w:pPr>
            <w:r>
              <w:rPr/>
              <w:t xml:space="preserve">  </w:t>
            </w:r>
          </w:p>
        </w:tc>
      </w:tr>
      <w:tr>
        <w:trPr/>
        <w:tc>
          <w:tcPr>
            <w:tcW w:w="1700"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sz w:val="20"/>
              </w:rPr>
              <w:t>*</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075" w:type="dxa"/>
            <w:tcBorders/>
            <w:tcMar>
              <w:bottom w:w="0" w:type="dxa"/>
            </w:tcMar>
            <w:vAlign w:val="center"/>
          </w:tcPr>
          <w:p>
            <w:pPr>
              <w:pStyle w:val="TableContents"/>
              <w:bidi w:val="0"/>
              <w:spacing w:before="0" w:after="283"/>
              <w:jc w:val="left"/>
              <w:rPr/>
            </w:pPr>
            <w:r>
              <w:rPr>
                <w:rFonts w:ascii="Times New Roman;Times;Serif" w:hAnsi="Times New Roman;Times;Serif"/>
                <w:sz w:val="20"/>
              </w:rPr>
              <w:t>Director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center"/>
              <w:rPr/>
            </w:pPr>
            <w:r>
              <w:rPr>
                <w:rFonts w:ascii="Times New Roman;Times;Serif" w:hAnsi="Times New Roman;Times;Serif"/>
                <w:sz w:val="20"/>
              </w:rPr>
              <w:t>August 11, 2023</w:t>
            </w:r>
            <w:r>
              <w:rPr/>
              <w:t xml:space="preserve"> </w:t>
            </w:r>
          </w:p>
        </w:tc>
      </w:tr>
      <w:tr>
        <w:trPr/>
        <w:tc>
          <w:tcPr>
            <w:tcW w:w="1700" w:type="dxa"/>
            <w:tcBorders/>
            <w:tcMar>
              <w:bottom w:w="0" w:type="dxa"/>
            </w:tcMar>
            <w:vAlign w:val="center"/>
          </w:tcPr>
          <w:p>
            <w:pPr>
              <w:pStyle w:val="TableContents"/>
              <w:bidi w:val="0"/>
              <w:spacing w:before="0" w:after="283"/>
              <w:jc w:val="left"/>
              <w:rPr/>
            </w:pPr>
            <w:r>
              <w:rPr>
                <w:rFonts w:ascii="Times New Roman;Times;Serif" w:hAnsi="Times New Roman;Times;Serif"/>
                <w:sz w:val="20"/>
              </w:rPr>
              <w:t>Scott Dols</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07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left"/>
              <w:rPr/>
            </w:pPr>
            <w:r>
              <w:rPr/>
              <w:t xml:space="preserve">  </w:t>
            </w:r>
          </w:p>
        </w:tc>
      </w:tr>
      <w:tr>
        <w:trPr/>
        <w:tc>
          <w:tcPr>
            <w:tcW w:w="170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07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left"/>
              <w:rPr/>
            </w:pPr>
            <w:r>
              <w:rPr/>
              <w:t xml:space="preserve">  </w:t>
            </w:r>
          </w:p>
        </w:tc>
      </w:tr>
      <w:tr>
        <w:trPr/>
        <w:tc>
          <w:tcPr>
            <w:tcW w:w="1700"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sz w:val="20"/>
              </w:rPr>
              <w:t>*</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075" w:type="dxa"/>
            <w:tcBorders/>
            <w:tcMar>
              <w:bottom w:w="0" w:type="dxa"/>
            </w:tcMar>
            <w:vAlign w:val="center"/>
          </w:tcPr>
          <w:p>
            <w:pPr>
              <w:pStyle w:val="TableContents"/>
              <w:bidi w:val="0"/>
              <w:spacing w:before="0" w:after="283"/>
              <w:jc w:val="left"/>
              <w:rPr/>
            </w:pPr>
            <w:r>
              <w:rPr>
                <w:rFonts w:ascii="Times New Roman;Times;Serif" w:hAnsi="Times New Roman;Times;Serif"/>
                <w:sz w:val="20"/>
              </w:rPr>
              <w:t>Director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center"/>
              <w:rPr/>
            </w:pPr>
            <w:r>
              <w:rPr>
                <w:rFonts w:ascii="Times New Roman;Times;Serif" w:hAnsi="Times New Roman;Times;Serif"/>
                <w:sz w:val="20"/>
              </w:rPr>
              <w:t>August 11, 2023</w:t>
            </w:r>
            <w:r>
              <w:rPr/>
              <w:t xml:space="preserve"> </w:t>
            </w:r>
          </w:p>
        </w:tc>
      </w:tr>
      <w:tr>
        <w:trPr/>
        <w:tc>
          <w:tcPr>
            <w:tcW w:w="1700" w:type="dxa"/>
            <w:tcBorders/>
            <w:tcMar>
              <w:bottom w:w="0" w:type="dxa"/>
            </w:tcMar>
            <w:vAlign w:val="center"/>
          </w:tcPr>
          <w:p>
            <w:pPr>
              <w:pStyle w:val="TableContents"/>
              <w:bidi w:val="0"/>
              <w:spacing w:before="0" w:after="283"/>
              <w:jc w:val="left"/>
              <w:rPr/>
            </w:pPr>
            <w:r>
              <w:rPr>
                <w:rFonts w:ascii="Times New Roman;Times;Serif" w:hAnsi="Times New Roman;Times;Serif"/>
                <w:sz w:val="20"/>
              </w:rPr>
              <w:t>Kevin M. Fogarty</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07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left"/>
              <w:rPr/>
            </w:pPr>
            <w:r>
              <w:rPr/>
              <w:t xml:space="preserve">  </w:t>
            </w:r>
          </w:p>
        </w:tc>
      </w:tr>
      <w:tr>
        <w:trPr/>
        <w:tc>
          <w:tcPr>
            <w:tcW w:w="170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07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left"/>
              <w:rPr/>
            </w:pPr>
            <w:r>
              <w:rPr/>
              <w:t xml:space="preserve">  </w:t>
            </w:r>
          </w:p>
        </w:tc>
      </w:tr>
      <w:tr>
        <w:trPr/>
        <w:tc>
          <w:tcPr>
            <w:tcW w:w="1700"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sz w:val="20"/>
              </w:rPr>
              <w:t>*</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075" w:type="dxa"/>
            <w:tcBorders/>
            <w:tcMar>
              <w:bottom w:w="0" w:type="dxa"/>
            </w:tcMar>
            <w:vAlign w:val="center"/>
          </w:tcPr>
          <w:p>
            <w:pPr>
              <w:pStyle w:val="TableContents"/>
              <w:bidi w:val="0"/>
              <w:spacing w:before="0" w:after="283"/>
              <w:jc w:val="left"/>
              <w:rPr/>
            </w:pPr>
            <w:r>
              <w:rPr>
                <w:rFonts w:ascii="Times New Roman;Times;Serif" w:hAnsi="Times New Roman;Times;Serif"/>
                <w:sz w:val="20"/>
              </w:rPr>
              <w:t>Director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center"/>
              <w:rPr/>
            </w:pPr>
            <w:r>
              <w:rPr>
                <w:rFonts w:ascii="Times New Roman;Times;Serif" w:hAnsi="Times New Roman;Times;Serif"/>
                <w:sz w:val="20"/>
              </w:rPr>
              <w:t>August 11, 2023</w:t>
            </w:r>
            <w:r>
              <w:rPr/>
              <w:t xml:space="preserve"> </w:t>
            </w:r>
          </w:p>
        </w:tc>
      </w:tr>
      <w:tr>
        <w:trPr/>
        <w:tc>
          <w:tcPr>
            <w:tcW w:w="1700" w:type="dxa"/>
            <w:tcBorders/>
            <w:tcMar>
              <w:bottom w:w="0" w:type="dxa"/>
            </w:tcMar>
            <w:vAlign w:val="center"/>
          </w:tcPr>
          <w:p>
            <w:pPr>
              <w:pStyle w:val="TableContents"/>
              <w:bidi w:val="0"/>
              <w:spacing w:before="0" w:after="283"/>
              <w:jc w:val="left"/>
              <w:rPr/>
            </w:pPr>
            <w:r>
              <w:rPr>
                <w:rFonts w:ascii="Times New Roman;Times;Serif" w:hAnsi="Times New Roman;Times;Serif"/>
                <w:sz w:val="20"/>
              </w:rPr>
              <w:t>James Martell</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07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left"/>
              <w:rPr/>
            </w:pPr>
            <w:r>
              <w:rPr/>
              <w:t xml:space="preserve">  </w:t>
            </w:r>
          </w:p>
        </w:tc>
      </w:tr>
      <w:tr>
        <w:trPr/>
        <w:tc>
          <w:tcPr>
            <w:tcW w:w="170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07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left"/>
              <w:rPr/>
            </w:pPr>
            <w:r>
              <w:rPr/>
              <w:t xml:space="preserve">  </w:t>
            </w:r>
          </w:p>
        </w:tc>
      </w:tr>
      <w:tr>
        <w:trPr/>
        <w:tc>
          <w:tcPr>
            <w:tcW w:w="1700"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sz w:val="20"/>
              </w:rPr>
              <w:t>*</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075" w:type="dxa"/>
            <w:tcBorders/>
            <w:tcMar>
              <w:bottom w:w="0" w:type="dxa"/>
            </w:tcMar>
            <w:vAlign w:val="center"/>
          </w:tcPr>
          <w:p>
            <w:pPr>
              <w:pStyle w:val="TableContents"/>
              <w:bidi w:val="0"/>
              <w:spacing w:before="0" w:after="283"/>
              <w:jc w:val="left"/>
              <w:rPr/>
            </w:pPr>
            <w:r>
              <w:rPr>
                <w:rFonts w:ascii="Times New Roman;Times;Serif" w:hAnsi="Times New Roman;Times;Serif"/>
                <w:sz w:val="20"/>
              </w:rPr>
              <w:t>Director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center"/>
              <w:rPr/>
            </w:pPr>
            <w:r>
              <w:rPr>
                <w:rFonts w:ascii="Times New Roman;Times;Serif" w:hAnsi="Times New Roman;Times;Serif"/>
                <w:sz w:val="20"/>
              </w:rPr>
              <w:t>August 11, 2023</w:t>
            </w:r>
            <w:r>
              <w:rPr/>
              <w:t xml:space="preserve"> </w:t>
            </w:r>
          </w:p>
        </w:tc>
      </w:tr>
      <w:tr>
        <w:trPr/>
        <w:tc>
          <w:tcPr>
            <w:tcW w:w="1700" w:type="dxa"/>
            <w:tcBorders/>
            <w:tcMar>
              <w:bottom w:w="0" w:type="dxa"/>
            </w:tcMar>
            <w:vAlign w:val="center"/>
          </w:tcPr>
          <w:p>
            <w:pPr>
              <w:pStyle w:val="TableContents"/>
              <w:bidi w:val="0"/>
              <w:spacing w:before="0" w:after="283"/>
              <w:jc w:val="left"/>
              <w:rPr/>
            </w:pPr>
            <w:r>
              <w:rPr>
                <w:rFonts w:ascii="Times New Roman;Times;Serif" w:hAnsi="Times New Roman;Times;Serif"/>
                <w:sz w:val="20"/>
              </w:rPr>
              <w:t>Nadeem Nisar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07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left"/>
              <w:rPr/>
            </w:pPr>
            <w:r>
              <w:rPr/>
              <w:t xml:space="preserve">  </w:t>
            </w:r>
          </w:p>
        </w:tc>
      </w:tr>
      <w:tr>
        <w:trPr/>
        <w:tc>
          <w:tcPr>
            <w:tcW w:w="170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07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left"/>
              <w:rPr/>
            </w:pPr>
            <w:r>
              <w:rPr/>
              <w:t xml:space="preserve">  </w:t>
            </w:r>
          </w:p>
        </w:tc>
      </w:tr>
      <w:tr>
        <w:trPr/>
        <w:tc>
          <w:tcPr>
            <w:tcW w:w="1700"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sz w:val="20"/>
              </w:rPr>
              <w:t>*</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075" w:type="dxa"/>
            <w:tcBorders/>
            <w:tcMar>
              <w:bottom w:w="0" w:type="dxa"/>
            </w:tcMar>
            <w:vAlign w:val="center"/>
          </w:tcPr>
          <w:p>
            <w:pPr>
              <w:pStyle w:val="TableContents"/>
              <w:bidi w:val="0"/>
              <w:spacing w:before="0" w:after="283"/>
              <w:jc w:val="left"/>
              <w:rPr/>
            </w:pPr>
            <w:r>
              <w:rPr>
                <w:rFonts w:ascii="Times New Roman;Times;Serif" w:hAnsi="Times New Roman;Times;Serif"/>
                <w:sz w:val="20"/>
              </w:rPr>
              <w:t>Director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center"/>
              <w:rPr/>
            </w:pPr>
            <w:r>
              <w:rPr>
                <w:rFonts w:ascii="Times New Roman;Times;Serif" w:hAnsi="Times New Roman;Times;Serif"/>
                <w:sz w:val="20"/>
              </w:rPr>
              <w:t>August 11, 2023</w:t>
            </w:r>
            <w:r>
              <w:rPr/>
              <w:t xml:space="preserve"> </w:t>
            </w:r>
          </w:p>
        </w:tc>
      </w:tr>
      <w:tr>
        <w:trPr/>
        <w:tc>
          <w:tcPr>
            <w:tcW w:w="1700" w:type="dxa"/>
            <w:tcBorders/>
            <w:tcMar>
              <w:bottom w:w="0" w:type="dxa"/>
            </w:tcMar>
            <w:vAlign w:val="center"/>
          </w:tcPr>
          <w:p>
            <w:pPr>
              <w:pStyle w:val="TableContents"/>
              <w:bidi w:val="0"/>
              <w:spacing w:before="0" w:after="283"/>
              <w:jc w:val="left"/>
              <w:rPr/>
            </w:pPr>
            <w:r>
              <w:rPr>
                <w:rFonts w:ascii="Times New Roman;Times;Serif" w:hAnsi="Times New Roman;Times;Serif"/>
                <w:sz w:val="20"/>
              </w:rPr>
              <w:t>Ashok Vemuri</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07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445" w:type="dxa"/>
            <w:tcBorders/>
            <w:tcMar>
              <w:bottom w:w="0" w:type="dxa"/>
            </w:tcMar>
            <w:vAlign w:val="center"/>
          </w:tcPr>
          <w:p>
            <w:pPr>
              <w:pStyle w:val="TableContents"/>
              <w:bidi w:val="0"/>
              <w:spacing w:before="0" w:after="283"/>
              <w:jc w:val="left"/>
              <w:rPr/>
            </w:pPr>
            <w:r>
              <w:rPr/>
              <w:t xml:space="preserve">  </w:t>
            </w:r>
          </w:p>
        </w:tc>
      </w:tr>
    </w:tbl>
    <w:p>
      <w:pPr>
        <w:pStyle w:val="TextBody"/>
        <w:bidi w:val="0"/>
        <w:spacing w:before="0" w:after="0"/>
        <w:ind w:left="0" w:right="0" w:firstLine="72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710"/>
        <w:gridCol w:w="1685"/>
        <w:gridCol w:w="135"/>
      </w:tblGrid>
      <w:tr>
        <w:trPr/>
        <w:tc>
          <w:tcPr>
            <w:tcW w:w="710" w:type="dxa"/>
            <w:tcBorders/>
            <w:vAlign w:val="center"/>
          </w:tcPr>
          <w:p>
            <w:pPr>
              <w:pStyle w:val="TableContents"/>
              <w:bidi w:val="0"/>
              <w:spacing w:before="0" w:after="283"/>
              <w:jc w:val="left"/>
              <w:rPr/>
            </w:pPr>
            <w:r>
              <w:rPr>
                <w:rFonts w:ascii="Times New Roman;Times;Serif" w:hAnsi="Times New Roman;Times;Serif"/>
                <w:sz w:val="20"/>
              </w:rPr>
              <w:t>* By:</w:t>
            </w:r>
            <w:r>
              <w:rPr/>
              <w:t xml:space="preserve"> </w:t>
            </w:r>
          </w:p>
        </w:tc>
        <w:tc>
          <w:tcPr>
            <w:tcW w:w="1685" w:type="dxa"/>
            <w:tcBorders>
              <w:bottom w:val="single" w:sz="12" w:space="0" w:color="000000"/>
            </w:tcBorders>
            <w:tcMar>
              <w:bottom w:w="28" w:type="dxa"/>
            </w:tcMar>
            <w:vAlign w:val="center"/>
          </w:tcPr>
          <w:p>
            <w:pPr>
              <w:pStyle w:val="TableContents"/>
              <w:bidi w:val="0"/>
              <w:spacing w:before="0" w:after="283"/>
              <w:jc w:val="left"/>
              <w:rPr/>
            </w:pPr>
            <w:r>
              <w:rPr>
                <w:rFonts w:ascii="Times New Roman;Times;Serif" w:hAnsi="Times New Roman;Times;Serif"/>
                <w:sz w:val="20"/>
              </w:rPr>
              <w:t>/s/ Jonathan Maurer</w:t>
            </w:r>
            <w:r>
              <w:rPr/>
              <w:t xml:space="preserve"> </w:t>
            </w:r>
          </w:p>
        </w:tc>
        <w:tc>
          <w:tcPr>
            <w:tcW w:w="135" w:type="dxa"/>
            <w:tcBorders/>
            <w:vAlign w:val="center"/>
          </w:tcPr>
          <w:p>
            <w:pPr>
              <w:pStyle w:val="TableContents"/>
              <w:bidi w:val="0"/>
              <w:spacing w:before="0" w:after="283"/>
              <w:jc w:val="left"/>
              <w:rPr/>
            </w:pPr>
            <w:r>
              <w:rPr/>
              <w:t xml:space="preserve">  </w:t>
            </w:r>
          </w:p>
        </w:tc>
      </w:tr>
      <w:tr>
        <w:trPr/>
        <w:tc>
          <w:tcPr>
            <w:tcW w:w="710" w:type="dxa"/>
            <w:tcBorders/>
            <w:vAlign w:val="center"/>
          </w:tcPr>
          <w:p>
            <w:pPr>
              <w:pStyle w:val="TableContents"/>
              <w:bidi w:val="0"/>
              <w:spacing w:before="0" w:after="283"/>
              <w:jc w:val="left"/>
              <w:rPr/>
            </w:pPr>
            <w:r>
              <w:rPr>
                <w:rFonts w:ascii="Times New Roman;Times;Serif" w:hAnsi="Times New Roman;Times;Serif"/>
                <w:sz w:val="20"/>
              </w:rPr>
              <w:t>Name:  </w:t>
            </w:r>
            <w:r>
              <w:rPr/>
              <w:t xml:space="preserve"> </w:t>
            </w:r>
          </w:p>
        </w:tc>
        <w:tc>
          <w:tcPr>
            <w:tcW w:w="1685" w:type="dxa"/>
            <w:tcBorders/>
            <w:vAlign w:val="center"/>
          </w:tcPr>
          <w:p>
            <w:pPr>
              <w:pStyle w:val="TableContents"/>
              <w:bidi w:val="0"/>
              <w:spacing w:before="0" w:after="283"/>
              <w:jc w:val="left"/>
              <w:rPr/>
            </w:pPr>
            <w:r>
              <w:rPr>
                <w:rFonts w:ascii="Times New Roman;Times;Serif" w:hAnsi="Times New Roman;Times;Serif"/>
                <w:sz w:val="20"/>
              </w:rPr>
              <w:t>Jonathan Maurer</w:t>
            </w:r>
            <w:r>
              <w:rPr/>
              <w:t xml:space="preserve"> </w:t>
            </w:r>
          </w:p>
        </w:tc>
        <w:tc>
          <w:tcPr>
            <w:tcW w:w="135" w:type="dxa"/>
            <w:tcBorders/>
            <w:vAlign w:val="center"/>
          </w:tcPr>
          <w:p>
            <w:pPr>
              <w:pStyle w:val="TableContents"/>
              <w:bidi w:val="0"/>
              <w:spacing w:before="0" w:after="283"/>
              <w:jc w:val="left"/>
              <w:rPr/>
            </w:pPr>
            <w:r>
              <w:rPr/>
              <w:t xml:space="preserve">  </w:t>
            </w:r>
          </w:p>
        </w:tc>
      </w:tr>
      <w:tr>
        <w:trPr/>
        <w:tc>
          <w:tcPr>
            <w:tcW w:w="710" w:type="dxa"/>
            <w:tcBorders/>
            <w:vAlign w:val="center"/>
          </w:tcPr>
          <w:p>
            <w:pPr>
              <w:pStyle w:val="TableContents"/>
              <w:bidi w:val="0"/>
              <w:spacing w:before="0" w:after="283"/>
              <w:jc w:val="left"/>
              <w:rPr/>
            </w:pPr>
            <w:r>
              <w:rPr/>
              <w:t xml:space="preserve">  </w:t>
            </w:r>
          </w:p>
        </w:tc>
        <w:tc>
          <w:tcPr>
            <w:tcW w:w="1685" w:type="dxa"/>
            <w:tcBorders/>
            <w:vAlign w:val="center"/>
          </w:tcPr>
          <w:p>
            <w:pPr>
              <w:pStyle w:val="TableContents"/>
              <w:bidi w:val="0"/>
              <w:spacing w:before="0" w:after="283"/>
              <w:jc w:val="left"/>
              <w:rPr/>
            </w:pPr>
            <w:r>
              <w:rPr>
                <w:rFonts w:ascii="Times New Roman;Times;Serif" w:hAnsi="Times New Roman;Times;Serif"/>
                <w:sz w:val="20"/>
              </w:rPr>
              <w:t>Attorney-in-Fact</w:t>
            </w:r>
            <w:r>
              <w:rPr/>
              <w:t xml:space="preserve"> </w:t>
            </w:r>
          </w:p>
        </w:tc>
        <w:tc>
          <w:tcPr>
            <w:tcW w:w="135" w:type="dxa"/>
            <w:tcBorders/>
            <w:vAlign w:val="center"/>
          </w:tcPr>
          <w:p>
            <w:pPr>
              <w:pStyle w:val="TableContents"/>
              <w:bidi w:val="0"/>
              <w:spacing w:before="0" w:after="283"/>
              <w:jc w:val="left"/>
              <w:rPr/>
            </w:pPr>
            <w:r>
              <w:rPr/>
              <w:t xml:space="preserve">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II-5</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19" w:name="ea183305ex5-1_opalfuels.htm"/>
      <w:bookmarkStart w:id="20" w:name="ksea183305ex51_opalfuels"/>
      <w:bookmarkEnd w:id="19"/>
      <w:bookmarkEnd w:id="20"/>
      <w:r>
        <w:rPr>
          <w:b/>
        </w:rPr>
        <w:t>Exhibit 5.1</w:t>
      </w:r>
      <w:r>
        <w:br w:type="page"/>
      </w:r>
    </w:p>
    <w:p>
      <w:pPr>
        <w:pStyle w:val="TextBody"/>
        <w:bidi w:val="0"/>
        <w:spacing w:before="0" w:after="283"/>
        <w:jc w:val="left"/>
        <w:rPr/>
      </w:pPr>
      <w:r>
        <w:rPr/>
        <w:t> </w:t>
      </w:r>
    </w:p>
    <w:tbl>
      <w:tblPr>
        <w:tblW w:w="7055" w:type="dxa"/>
        <w:jc w:val="left"/>
        <w:tblInd w:w="0" w:type="dxa"/>
        <w:tblLayout w:type="fixed"/>
        <w:tblCellMar>
          <w:top w:w="0" w:type="dxa"/>
          <w:left w:w="0" w:type="dxa"/>
          <w:bottom w:w="0" w:type="dxa"/>
          <w:right w:w="0" w:type="dxa"/>
        </w:tblCellMar>
      </w:tblPr>
      <w:tblGrid>
        <w:gridCol w:w="3525"/>
        <w:gridCol w:w="3530"/>
      </w:tblGrid>
      <w:tr>
        <w:trPr/>
        <w:tc>
          <w:tcPr>
            <w:tcW w:w="3525" w:type="dxa"/>
            <w:tcBorders/>
            <w:vAlign w:val="center"/>
          </w:tcPr>
          <w:p>
            <w:pPr>
              <w:pStyle w:val="TableContents"/>
              <w:bidi w:val="0"/>
              <w:spacing w:before="0" w:after="283"/>
              <w:jc w:val="left"/>
              <w:rPr/>
            </w:pPr>
            <w:r>
              <w:rPr/>
              <w:drawing>
                <wp:inline distT="0" distB="0" distL="0" distR="0">
                  <wp:extent cx="2190750" cy="276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1"/>
                          <a:stretch>
                            <a:fillRect/>
                          </a:stretch>
                        </pic:blipFill>
                        <pic:spPr bwMode="auto">
                          <a:xfrm>
                            <a:off x="0" y="0"/>
                            <a:ext cx="2190750" cy="276225"/>
                          </a:xfrm>
                          <a:prstGeom prst="rect">
                            <a:avLst/>
                          </a:prstGeom>
                        </pic:spPr>
                      </pic:pic>
                    </a:graphicData>
                  </a:graphic>
                </wp:inline>
              </w:drawing>
            </w:r>
            <w:r>
              <w:rPr/>
              <w:t> </w:t>
            </w:r>
          </w:p>
        </w:tc>
        <w:tc>
          <w:tcPr>
            <w:tcW w:w="35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Sheppard, Mullin, Richter &amp; Hampton LLP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Rockefeller Plaza</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10112-0015</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212.653.8700 main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212.653.8701 fax</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www.sheppardmullin.com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VIA ELECTRONIC 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OPAL Fuels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North Lexington Avenue, Suite 1450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 Plains, New York 10601</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75"/>
        <w:gridCol w:w="305"/>
        <w:gridCol w:w="306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b/>
                <w:sz w:val="20"/>
              </w:rPr>
            </w:pPr>
            <w:r>
              <w:rPr>
                <w:b/>
                <w:sz w:val="20"/>
              </w:rPr>
              <w:t>Re:</w:t>
            </w:r>
          </w:p>
        </w:tc>
        <w:tc>
          <w:tcPr>
            <w:tcW w:w="3065" w:type="dxa"/>
            <w:tcBorders/>
            <w:vAlign w:val="center"/>
          </w:tcPr>
          <w:p>
            <w:pPr>
              <w:pStyle w:val="TableContents"/>
              <w:bidi w:val="0"/>
              <w:spacing w:before="0" w:after="283"/>
              <w:jc w:val="both"/>
              <w:rPr>
                <w:b/>
                <w:sz w:val="20"/>
              </w:rPr>
            </w:pPr>
            <w:r>
              <w:rPr>
                <w:b/>
                <w:sz w:val="20"/>
              </w:rPr>
              <w:t>Registration Statement on Form S-3</w:t>
            </w:r>
          </w:p>
        </w:tc>
      </w:tr>
    </w:tbl>
    <w:p>
      <w:pPr>
        <w:pStyle w:val="TextBody"/>
        <w:bidi w:val="0"/>
        <w:spacing w:before="0" w:after="0"/>
        <w:ind w:left="0" w:right="0" w:hanging="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OPAL Fuels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shelf Registration Statement on Form S-3 (as amended or supplemented,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originally filed by the Company on August 1, 2023, as subsequently amended,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The Registration Statement relates to the proposed issuance and sale from time to time pursuant to Rule 415 under the Securities Act, as set forth in the Registration Statement, the prospectus contained therein (the “</w:t>
      </w:r>
      <w:r>
        <w:rPr>
          <w:rFonts w:ascii="Times New Roman;Times;Serif" w:hAnsi="Times New Roman;Times;Serif"/>
          <w:b w:val="false"/>
          <w:i w:val="false"/>
          <w:caps w:val="false"/>
          <w:smallCaps w:val="false"/>
          <w:sz w:val="20"/>
          <w:u w:val="single"/>
        </w:rPr>
        <w:t>Base Prospectus</w:t>
      </w:r>
      <w:r>
        <w:rPr>
          <w:rFonts w:ascii="Times New Roman;Times;Serif" w:hAnsi="Times New Roman;Times;Serif"/>
          <w:b w:val="false"/>
          <w:i w:val="false"/>
          <w:caps w:val="false"/>
          <w:smallCaps w:val="false"/>
          <w:sz w:val="20"/>
        </w:rPr>
        <w:t>”) and one or more supplements to the Base Prospectus (each, a “</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and any free-writing prospectus(es), of up to $200,000,000 in aggregate offering proceeds, of the following securities of the Company (collectively,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75"/>
        <w:gridCol w:w="170"/>
        <w:gridCol w:w="83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15" w:type="dxa"/>
            <w:tcBorders/>
            <w:vAlign w:val="center"/>
          </w:tcPr>
          <w:p>
            <w:pPr>
              <w:pStyle w:val="TableContents"/>
              <w:bidi w:val="0"/>
              <w:spacing w:before="0" w:after="283"/>
              <w:jc w:val="both"/>
              <w:rPr>
                <w:sz w:val="20"/>
              </w:rPr>
            </w:pPr>
            <w:r>
              <w:rPr>
                <w:sz w:val="20"/>
              </w:rPr>
              <w:t>shares of Class A common stock, par value $0.0001 per share, of the Company (the “</w:t>
            </w:r>
            <w:r>
              <w:rPr>
                <w:sz w:val="20"/>
                <w:u w:val="single"/>
              </w:rPr>
              <w:t>Common Stock</w:t>
            </w:r>
            <w:r>
              <w:rPr>
                <w:sz w:val="20"/>
              </w:rPr>
              <w:t>”);</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shares of preferred stock, par value $0.0001 par value, of the Company, in one or more series or classes (the “</w:t>
            </w:r>
            <w:r>
              <w:rPr>
                <w:sz w:val="20"/>
                <w:u w:val="single"/>
              </w:rPr>
              <w:t>Preferred Stock</w:t>
            </w:r>
            <w:r>
              <w:rPr>
                <w:sz w:val="20"/>
              </w:rPr>
              <w:t>”);</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warrants to purchase Common Stock or Preferred Stock (the “</w:t>
            </w:r>
            <w:r>
              <w:rPr>
                <w:sz w:val="20"/>
                <w:u w:val="single"/>
              </w:rPr>
              <w:t>Warrants</w:t>
            </w:r>
            <w:r>
              <w:rPr>
                <w:sz w:val="20"/>
              </w:rPr>
              <w:t>”), which may be issued under warrant agreements (each, a “</w:t>
            </w:r>
            <w:r>
              <w:rPr>
                <w:sz w:val="20"/>
                <w:u w:val="single"/>
              </w:rPr>
              <w:t>Warrant Agreement</w:t>
            </w:r>
            <w:r>
              <w:rPr>
                <w:sz w:val="20"/>
              </w:rPr>
              <w:t>”), to be dated on or about the date of the first issuance of the applicable Warrants thereunder, by and between the Company and a warrant agent to be selected by the Company (the “</w:t>
            </w:r>
            <w:r>
              <w:rPr>
                <w:sz w:val="20"/>
                <w:u w:val="single"/>
              </w:rPr>
              <w:t>Warrant Agent</w:t>
            </w:r>
            <w:r>
              <w:rPr>
                <w:sz w:val="20"/>
              </w:rPr>
              <w:t>”); and</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units consisting of Common Stock, Preferred Stock or Warrants (the “</w:t>
            </w:r>
            <w:r>
              <w:rPr>
                <w:sz w:val="20"/>
                <w:u w:val="single"/>
              </w:rPr>
              <w:t>Units</w:t>
            </w:r>
            <w:r>
              <w:rPr>
                <w:sz w:val="20"/>
              </w:rPr>
              <w:t>”), which may be issued under unit agreements (each, a “</w:t>
            </w:r>
            <w:r>
              <w:rPr>
                <w:sz w:val="20"/>
                <w:u w:val="single"/>
              </w:rPr>
              <w:t>Unit Agreement</w:t>
            </w:r>
            <w:r>
              <w:rPr>
                <w:sz w:val="20"/>
              </w:rPr>
              <w:t>”), to be dated on or about the date of the first issuance of the applicable Units thereunder, by and between the Company and the other parties thereto (the “</w:t>
            </w:r>
            <w:r>
              <w:rPr>
                <w:sz w:val="20"/>
                <w:u w:val="single"/>
              </w:rPr>
              <w:t>Unit Parties</w:t>
            </w:r>
            <w:r>
              <w:rPr>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delivering this opinion pursuant to the requirements of Item 601(b)(5) of Regulation S-K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and relied upon originals, or copies certified to our satisfaction, of such records, documents, certificates, opinions, memoranda and other instruments as in our judgment are necessary or appropriate to enable us to render the opinion expressed below. As to certain factual matters, we have relied upon certificates of officers of the Company and have not independently sought to verify such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this opinion, we have assumed (i) the genuineness and authenticity of all signatures on original documents; (ii) the authenticity of all documents submitted to us as originals; (iii) the conformity to originals of all documents submitted to us as copies; (iv) the accuracy, completeness and authenticity of certificates of public officials; (v) the due authorization, execution and delivery of all documents where authorization, execution and delivery are prerequisites to the effectiveness of such documents; (vi) that the Registration Statement and any required post-effective amendment thereto have all become effective under the Securities Act and the Base Prospectus any and all Prospectus Supplement(s) required by applicable laws and any and all free-writing prospectus(es) related to the offer and sale of the Securities have been delivered and filed as required by such laws; (vii) that the issuance and sale of the Securities do not violate any applicable law, are in conformity with the Company’s then operative Certificate of Incorporation (as defined below) and Bylaws, do not result in a default under or breach of any agreement or instrument binding upon the Company and comply with any applicable requirement or restriction imposed by any court or governmental body having jurisdiction over the Company or its properties or assets; (viii) a prospectus supplement will have been prepared and filed with the Commission describing the Securities offered thereby; and (ix) a definitive purchase, underwriting or similar agreement with respect to any Securities offered will have been duly authorized and validly executed and delivered by the Company and the other parties thereto,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2190750" cy="276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2"/>
                    <a:stretch>
                      <a:fillRect/>
                    </a:stretch>
                  </pic:blipFill>
                  <pic:spPr bwMode="auto">
                    <a:xfrm>
                      <a:off x="0" y="0"/>
                      <a:ext cx="2190750" cy="2762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our opinion as to the Common Stock or other Securities convertible into, exercisable for, or including Common Stock, we have been advised by the Company and for purposes of this opinion we have assumed that, at the time of issuance and sale, a sufficient number of shares of Common Stock are authorized and available for issuance and that the consideration for the issuance and sale of the Common Stock (or for Preferred Stock convertible into Common Stock, or for Warrants exercisable for Common Stock, or Units consisting of or including Common Stock) is in an amount that is not less than the par value of the Common Stock. With respect to our opinion as to the Preferred Stock or other Securities convertible into, exercisable for, or including Preferred Stock, we have assumed that, (a) at the time of issuance and sale, a sufficient number of shares of Preferred Stock are authorized, designated and available for issuance and that the consideration for the issuance and sale of the Preferred Stock (or for Warrants exercisable for Preferred Stock or for Units consisting of or including Preferred Stock) is in an amount that is not less than the par value of the Preferred Stock, and (b) the rights, preferences, privileges and restrictions, including voting rights, dividend rights, conversion rights, redemption privileges and liquidation privileges of each series of Preferred Stock will be set forth in a certificate of designation to be approved by the Company’s Board of Directors, or in an amendment to the Company’s then operative certificate of incorporation (the “</w:t>
      </w:r>
      <w:r>
        <w:rPr>
          <w:rFonts w:ascii="Times New Roman;Times;Serif" w:hAnsi="Times New Roman;Times;Serif"/>
          <w:b w:val="false"/>
          <w:i w:val="false"/>
          <w:caps w:val="false"/>
          <w:smallCaps w:val="false"/>
          <w:sz w:val="20"/>
          <w:u w:val="single"/>
        </w:rPr>
        <w:t>Certificate of Incorporation</w:t>
      </w:r>
      <w:r>
        <w:rPr>
          <w:rFonts w:ascii="Times New Roman;Times;Serif" w:hAnsi="Times New Roman;Times;Serif"/>
          <w:b w:val="false"/>
          <w:i w:val="false"/>
          <w:caps w:val="false"/>
          <w:smallCaps w:val="false"/>
          <w:sz w:val="20"/>
        </w:rPr>
        <w:t>”), to be approved by the Company’s Board of Directors and stockholders, and that one or both of these documents will be filed either as an exhibit to an amendment to the Registration Statement to be filed after the date of this opinion or as an exhibit to a Current Report on Form 8-K to be filed after the Registration Statement has become effective. We have also assumed that (i) with respect to Securities being issued upon conversion of any convertible Preferred Stock, the applicable convertible Preferred Stock will be duly authorized, validly issued, fully paid and nonassessable; and (ii) with respect to any Securities being issued upon exercise of any Warrants or relating to any Units, the applicable convertible Warrants or Units will be valid and legally binding obligations of the Company, enforceable against the Company in accordance with their terms,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 We have also assumed with respect to the Warrants offered under the Registration Statement, that (a) such Warrants will be issued pursuant to a Warrant Agreement, (b) the Warrant Agreement will be filed either as an exhibit to an amendment to the Registration Statement to be filed after the date of this opinion or as an exhibit to a Current Report on Form 8-K to be filed after the Registration Statement has become effective, and (c) the particular terms of any series of Warrants will be set forth in a supplement to the prospectus forming a part of the Registration Statement. We have also assumed with respect to the Units offered under the Registration Statement, that (a) such Units will be issued pursuant to a Unit Agreement, (b) the Unit Agreement will be filed either as an exhibit to an amendment to the Registration Statement to be filed after the date of this opinion or as an exhibit to a Current Report on Form 8-K to be filed after the Registration Statement has become effective, and (c) the particular terms of any series of Units will be set forth in a supplement to the prospectus forming a part of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our opinion herein is expressed solely with respect to the federal laws of the United States and the Delaware General Corporation Law. We express no opinion as to whether the laws of any jurisdiction are applicable to the subject matter hereof. We are not rendering any opinion as to compliance with any federal or state law, rule or regulation relating to securities, or to the sale or issuance thereof. We express no opinions concerning the validity or enforceability of any provisions contained in Warrant Agreements or Unit Agreements that purport to waive or not give effect to rights to notices, defenses, subrogation or other rights or benefits that cannot be effectively waived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foregoing and in reliance thereon, and subject to the qualifications herein stated, we are of the opinion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With respect to the Common Stock offered under the Registration Statement,</w:t>
      </w:r>
      <w:r>
        <w:rPr>
          <w:rFonts w:ascii="Times New Roman;Times;Serif" w:hAnsi="Times New Roman;Times;Serif"/>
          <w:b w:val="false"/>
          <w:i w:val="false"/>
          <w:caps w:val="false"/>
          <w:smallCaps w:val="false"/>
          <w:sz w:val="20"/>
          <w:shd w:fill="FFFFFF" w:val="clear"/>
        </w:rPr>
        <w:t> </w:t>
      </w:r>
      <w:r>
        <w:rPr>
          <w:rFonts w:ascii="Times New Roman;Times;Serif" w:hAnsi="Times New Roman;Times;Serif"/>
          <w:b w:val="false"/>
          <w:i w:val="false"/>
          <w:caps w:val="false"/>
          <w:smallCaps w:val="false"/>
          <w:sz w:val="20"/>
        </w:rPr>
        <w:t>provided that (i) the issuance of the Common Stock has been duly authorized by all necessary corporate action on the part of the Company; and (ii) the certificates for the Common Stock have been duly executed by the Company, countersigned by the transfer agent therefor and duly delivered to the purchasers thereof against the requisite payment therefor, which the Company has received, the Common Stock, when issued and sold as contemplated in the Registration Statement, the Base Prospectus and the related Prospectus Supplement(s) and any related free-writing prospectus(es) and in accordance with any applicable duly authorized, executed and delivered purchase, underwriting or similar agreement, or upon conversion of any convertible Preferred Stock in accordance with their terms, or upon exercise of any Warrants in accordance with their terms, will be duly authorized,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90750" cy="276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3"/>
                    <a:stretch>
                      <a:fillRect/>
                    </a:stretch>
                  </pic:blipFill>
                  <pic:spPr bwMode="auto">
                    <a:xfrm>
                      <a:off x="0" y="0"/>
                      <a:ext cx="2190750" cy="2762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With respect to the Preferred Stock offered under the Registration Statement, provided that (i) the terms and issuance of the Preferred Stock have been duly authorized by all necessary corporate action on the part of the Company; (ii) appropriate certificates of amendment to the then operative Certificate of Incorporation relating to the terms and issuance of Preferred Stock have been duly approved by the Company’s Board of Directors and been filed with and accepted by the State of Delaware; and (iii) the certificates for the Preferred Stock have been duly executed by the Company, countersigned by the transfer agent therefor and duly delivered to the purchasers thereof against the requisite payment therefor, which the Company has received, then the Preferred Stock, when issued and sold as contemplated in the Registration Statement, the Base Prospectus and the related Prospectus Supplement(s) and any related free-writing prospectus(es) and in accordance with any applicable duly authorized, executed and delivered purchase, underwriting or similar agreement, or upon exercise of any Warrants in accordance with their terms, will be duly authorized,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With respect to the Warrants issued under a Warrant Agreement and offered under the Registration Statement, provided that (i) the Warrant Agreement has been duly authorized by the Company and the Warrant Agent by all necessary corporate action; (ii) the Warrant Agreement has been duly executed and delivered by the Company and the Warrant Agent as described in the Registration Statement, the Prospectus and the related Prospectus Supplement(s); (iii) the issuance and terms of the Warrants have been duly authorized by the Company by all necessary corporate action; and (iv) the Warrants have been duly executed and delivered by the Company and authenticated by the Warrant Agent pursuant to the Warrant Agreement and delivered against the requisite payment therefor, which the Company has received, and assuming that the Warrants are then issued and sold as contemplated in the Registration Statement, the Prospectus and the Prospectus Supplement(s), then the Warrants, when issued and sold in accordance with the Warrant Agreement and a duly authorized, executed and delivered purchase, underwriting or similar agreement, will be valid and legally binding obligations of the Company, enforceable against the Company in accordance with their terms, except as enforcement thereof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With respect to the Units issued under a Unit Agreement and offered under the Registration Statement, provided that (i) the Unit Agreement has been duly authorized by the Company and the Unit Parties by all necessary corporate action; (ii) the Unit Agreement has been duly executed and delivered by the Company and the Unit Parties as described in the Registration Statement, the Prospectus and the related Prospectus Supplement(s); (iii) the issuance and terms of the Units have been duly authorized by the Company by all necessary corporate action; and (iv) the Units have been duly executed and delivered by the Company and authenticated by the Unit Parties pursuant to the Unit Agreement and delivered against the requisite payment therefor, which the Company has received, and assuming that the Units are then issued and sold as contemplated in the Registration Statement, the Prospectus and the Prospectus Supplement(s), then the Units, when issued and sold in accordance with the Unit Agreement and a duly authorized, executed and delivered purchase, underwriting or similar agreement, will constitute valid and legally binding obligations of the Company, enforceable against the Company in accordance with their terms, except as enforcement thereof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opinions are qualified to the extent that the enforceability of any document, instrument or the Securities may be limited by or subject to bankruptcy, insolvency, fraudulent transfer or conveyance, reorganization, moratorium or other similar laws relating to or affecting creditors’ rights generally, and general equitable or public policy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2190750" cy="2762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4"/>
                    <a:stretch>
                      <a:fillRect/>
                    </a:stretch>
                  </pic:blipFill>
                  <pic:spPr bwMode="auto">
                    <a:xfrm>
                      <a:off x="0" y="0"/>
                      <a:ext cx="2190750" cy="2762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above-referenced Registration Statement and to the use of our name wherever it appears in the Registration Statement, the Base Prospectus, and any Prospectus Supplement. In giving such consent, we do not believe that we are “experts” within the meaning of such term as used in the Securities Act or the rules and regulations of the Commission issued thereunder with respect to any part of the Registration Statement, including this opinion as an exhibit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expressed as of the date hereof unless otherwise expressly stated, and we disclaim any undertaking to advise you of any subsequent changes in the facts stated or assumed herein or of any subsequent changes in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both"/>
        <w:rPr>
          <w:caps w:val="false"/>
          <w:smallCaps w:val="false"/>
        </w:rPr>
      </w:pPr>
      <w:r>
        <w:rPr>
          <w:caps w:val="false"/>
          <w:smallCaps w:val="false"/>
        </w:rPr>
        <w:t> </w:t>
      </w:r>
    </w:p>
    <w:tbl>
      <w:tblPr>
        <w:tblW w:w="5885" w:type="dxa"/>
        <w:jc w:val="left"/>
        <w:tblInd w:w="0" w:type="dxa"/>
        <w:tblLayout w:type="fixed"/>
        <w:tblCellMar>
          <w:top w:w="0" w:type="dxa"/>
          <w:left w:w="0" w:type="dxa"/>
          <w:bottom w:w="0" w:type="dxa"/>
          <w:right w:w="0" w:type="dxa"/>
        </w:tblCellMar>
      </w:tblPr>
      <w:tblGrid>
        <w:gridCol w:w="5810"/>
        <w:gridCol w:w="75"/>
      </w:tblGrid>
      <w:tr>
        <w:trPr/>
        <w:tc>
          <w:tcPr>
            <w:tcW w:w="5810" w:type="dxa"/>
            <w:tcBorders/>
            <w:vAlign w:val="center"/>
          </w:tcPr>
          <w:p>
            <w:pPr>
              <w:pStyle w:val="TableContents"/>
              <w:bidi w:val="0"/>
              <w:spacing w:before="0" w:after="283"/>
              <w:jc w:val="left"/>
              <w:rPr/>
            </w:pPr>
            <w:r>
              <w:rPr/>
              <w:t>/s/ SHEPPARD, MULLIN, RICHTER &amp; HAMPTON LLP</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SHEPPARD, MULLIN, RICHTER &amp; HAMPTON LLP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i w:val="false"/>
          <w:caps w:val="false"/>
          <w:smallCaps w:val="false"/>
          <w:sz w:val="20"/>
        </w:rPr>
      </w:pPr>
      <w:bookmarkStart w:id="21" w:name="ea183305ex23-1_opalfuels.htm"/>
      <w:bookmarkStart w:id="22" w:name="ksea183305ex231_opalfuels"/>
      <w:bookmarkEnd w:id="21"/>
      <w:bookmarkEnd w:id="22"/>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OPAL Fuels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 Plains,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Prospectus constituting a part of this Registration Statement of our report dated March 28, 2023, relating to the consolidated financial statements of OPAL Fuels Inc., appearing in the Company’s Annual Report on Form 10-K of OPAL Fuels Inc. for the year ended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us under the caption “Experts” in the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Stamford, Connecticut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23" w:name="ea183305ex-fee_opalfuels.htm"/>
      <w:bookmarkStart w:id="24" w:name="ksea183305exfee_opalfuels"/>
      <w:bookmarkEnd w:id="23"/>
      <w:bookmarkEnd w:id="24"/>
      <w:r>
        <w:rPr>
          <w:b/>
        </w:rPr>
        <w:t>Exhibit 107</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Calculation of Filing Fee Tables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S-3/A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OPAL FUELS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1: Newly Registered Securities</w:t>
      </w:r>
    </w:p>
    <w:p>
      <w:pPr>
        <w:pStyle w:val="TextBody"/>
        <w:bidi w:val="0"/>
        <w:spacing w:before="0" w:after="0"/>
        <w:ind w:left="0" w:right="0" w:hanging="0"/>
        <w:jc w:val="center"/>
        <w:rPr>
          <w:caps w:val="false"/>
          <w:smallCaps w:val="false"/>
        </w:rPr>
      </w:pPr>
      <w:r>
        <w:rPr>
          <w:caps w:val="false"/>
          <w:smallCaps w:val="false"/>
        </w:rPr>
        <w:t> </w:t>
      </w:r>
    </w:p>
    <w:tbl>
      <w:tblPr>
        <w:tblW w:w="11535" w:type="dxa"/>
        <w:jc w:val="left"/>
        <w:tblInd w:w="0" w:type="dxa"/>
        <w:tblLayout w:type="fixed"/>
        <w:tblCellMar>
          <w:top w:w="0" w:type="dxa"/>
          <w:left w:w="0" w:type="dxa"/>
          <w:bottom w:w="0" w:type="dxa"/>
          <w:right w:w="0" w:type="dxa"/>
        </w:tblCellMar>
      </w:tblPr>
      <w:tblGrid>
        <w:gridCol w:w="1100"/>
        <w:gridCol w:w="60"/>
        <w:gridCol w:w="1160"/>
        <w:gridCol w:w="60"/>
        <w:gridCol w:w="905"/>
        <w:gridCol w:w="60"/>
        <w:gridCol w:w="162"/>
        <w:gridCol w:w="1028"/>
        <w:gridCol w:w="60"/>
        <w:gridCol w:w="60"/>
        <w:gridCol w:w="206"/>
        <w:gridCol w:w="894"/>
        <w:gridCol w:w="215"/>
        <w:gridCol w:w="60"/>
        <w:gridCol w:w="200"/>
        <w:gridCol w:w="870"/>
        <w:gridCol w:w="215"/>
        <w:gridCol w:w="60"/>
        <w:gridCol w:w="140"/>
        <w:gridCol w:w="1220"/>
        <w:gridCol w:w="60"/>
        <w:gridCol w:w="60"/>
        <w:gridCol w:w="60"/>
        <w:gridCol w:w="1160"/>
        <w:gridCol w:w="60"/>
        <w:gridCol w:w="60"/>
        <w:gridCol w:w="215"/>
        <w:gridCol w:w="1050"/>
        <w:gridCol w:w="75"/>
      </w:tblGrid>
      <w:tr>
        <w:trPr/>
        <w:tc>
          <w:tcPr>
            <w:tcW w:w="1100"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1160" w:type="dxa"/>
            <w:tcBorders>
              <w:bottom w:val="single" w:sz="12" w:space="0" w:color="000000"/>
            </w:tcBorders>
            <w:tcMar>
              <w:bottom w:w="28" w:type="dxa"/>
            </w:tcMar>
            <w:vAlign w:val="center"/>
          </w:tcPr>
          <w:p>
            <w:pPr>
              <w:pStyle w:val="TableContents"/>
              <w:bidi w:val="0"/>
              <w:spacing w:before="0" w:after="283"/>
              <w:jc w:val="center"/>
              <w:rPr>
                <w:b/>
              </w:rPr>
            </w:pPr>
            <w:r>
              <w:rPr>
                <w:b/>
              </w:rPr>
              <w:t>Security</w:t>
              <w:br/>
              <w:t>Type</w:t>
            </w:r>
          </w:p>
        </w:tc>
        <w:tc>
          <w:tcPr>
            <w:tcW w:w="60" w:type="dxa"/>
            <w:tcBorders/>
            <w:vAlign w:val="center"/>
          </w:tcPr>
          <w:p>
            <w:pPr>
              <w:pStyle w:val="TableContents"/>
              <w:bidi w:val="0"/>
              <w:spacing w:before="0" w:after="283"/>
              <w:jc w:val="center"/>
              <w:rPr/>
            </w:pPr>
            <w:r>
              <w:rPr/>
              <w:t> </w:t>
            </w:r>
          </w:p>
        </w:tc>
        <w:tc>
          <w:tcPr>
            <w:tcW w:w="905" w:type="dxa"/>
            <w:tcBorders>
              <w:bottom w:val="single" w:sz="12" w:space="0" w:color="000000"/>
            </w:tcBorders>
            <w:tcMar>
              <w:bottom w:w="28" w:type="dxa"/>
            </w:tcMar>
            <w:vAlign w:val="center"/>
          </w:tcPr>
          <w:p>
            <w:pPr>
              <w:pStyle w:val="TableContents"/>
              <w:bidi w:val="0"/>
              <w:spacing w:before="0" w:after="283"/>
              <w:jc w:val="center"/>
              <w:rPr>
                <w:b/>
              </w:rPr>
            </w:pPr>
            <w:r>
              <w:rPr>
                <w:b/>
              </w:rPr>
              <w:t>Security</w:t>
              <w:br/>
              <w:t>Class</w:t>
              <w:br/>
              <w:t>Title</w:t>
            </w:r>
          </w:p>
        </w:tc>
        <w:tc>
          <w:tcPr>
            <w:tcW w:w="60" w:type="dxa"/>
            <w:tcBorders/>
            <w:vAlign w:val="center"/>
          </w:tcPr>
          <w:p>
            <w:pPr>
              <w:pStyle w:val="TableContents"/>
              <w:bidi w:val="0"/>
              <w:spacing w:before="0" w:after="283"/>
              <w:jc w:val="center"/>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Fee</w:t>
              <w:br/>
              <w:t>Calculation</w:t>
              <w:br/>
              <w:t>Rule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br/>
              <w:t>Registered (1)</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Proposed</w:t>
              <w:br/>
              <w:t>Maximum</w:t>
              <w:br/>
              <w:t>Offering</w:t>
              <w:br/>
              <w:t>Price Per</w:t>
              <w:br/>
              <w:t>Share(1)</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Maximum</w:t>
              <w:br/>
              <w:t>Aggregate</w:t>
              <w:br/>
              <w:t>Offering</w:t>
              <w:br/>
              <w:t>Price(2)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Fee</w:t>
              <w:br/>
              <w:t>Rate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 of</w:t>
              <w:br/>
              <w:t>Registration</w:t>
              <w:br/>
              <w:t>Fee(3)</w:t>
            </w:r>
          </w:p>
        </w:tc>
        <w:tc>
          <w:tcPr>
            <w:tcW w:w="75" w:type="dxa"/>
            <w:tcBorders/>
            <w:vAlign w:val="center"/>
          </w:tcPr>
          <w:p>
            <w:pPr>
              <w:pStyle w:val="TableContents"/>
              <w:bidi w:val="0"/>
              <w:spacing w:before="0" w:after="283"/>
              <w:ind w:left="0" w:right="0" w:hanging="180"/>
              <w:jc w:val="center"/>
              <w:rPr/>
            </w:pPr>
            <w:r>
              <w:rPr/>
              <w:t> </w:t>
            </w:r>
          </w:p>
        </w:tc>
      </w:tr>
      <w:tr>
        <w:trPr/>
        <w:tc>
          <w:tcPr>
            <w:tcW w:w="1100" w:type="dxa"/>
            <w:tcBorders/>
            <w:shd w:fill="CCEEFF" w:val="clear"/>
            <w:vAlign w:val="center"/>
          </w:tcPr>
          <w:p>
            <w:pPr>
              <w:pStyle w:val="TableContents"/>
              <w:bidi w:val="0"/>
              <w:spacing w:before="0" w:after="283"/>
              <w:jc w:val="left"/>
              <w:rPr>
                <w:b/>
              </w:rPr>
            </w:pPr>
            <w:r>
              <w:rPr>
                <w:b/>
              </w:rPr>
              <w:t>Fees to Be Paid</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center"/>
              <w:rPr/>
            </w:pPr>
            <w:r>
              <w:rPr/>
              <w:t>Equity Other Unallocated (Universal Shelf)</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Class A Common Stock, par value $0.0001 per share, Preferred Stock, par value $0.0001 per share, Warrants Units (4)</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center"/>
              <w:rPr/>
            </w:pPr>
            <w:r>
              <w:rPr/>
              <w:t>457 (o)</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pPr>
            <w:r>
              <w:rPr/>
              <w:t>(1)</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pPr>
            <w:r>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200,000,000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0.00011020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050" w:type="dxa"/>
            <w:tcBorders/>
            <w:shd w:fill="CCEEFF" w:val="clear"/>
            <w:vAlign w:val="center"/>
          </w:tcPr>
          <w:p>
            <w:pPr>
              <w:pStyle w:val="TableContents"/>
              <w:bidi w:val="0"/>
              <w:spacing w:before="0" w:after="283"/>
              <w:jc w:val="right"/>
              <w:rPr/>
            </w:pPr>
            <w:r>
              <w:rPr/>
              <w:t>22,040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00" w:type="dxa"/>
            <w:tcBorders/>
            <w:shd w:fill="FFFFFF" w:val="clear"/>
            <w:vAlign w:val="center"/>
          </w:tcPr>
          <w:p>
            <w:pPr>
              <w:pStyle w:val="TableContents"/>
              <w:bidi w:val="0"/>
              <w:spacing w:before="0" w:after="283"/>
              <w:jc w:val="left"/>
              <w:rPr>
                <w:b/>
              </w:rPr>
            </w:pPr>
            <w:r>
              <w:rPr>
                <w:b/>
              </w:rPr>
              <w:t>Fees Previously Paid</w:t>
            </w:r>
          </w:p>
        </w:tc>
        <w:tc>
          <w:tcPr>
            <w:tcW w:w="6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w:t>
            </w:r>
          </w:p>
        </w:tc>
        <w:tc>
          <w:tcPr>
            <w:tcW w:w="1050" w:type="dxa"/>
            <w:tcBorders/>
            <w:shd w:fill="FFFFFF" w:val="clear"/>
            <w:vAlign w:val="center"/>
          </w:tcPr>
          <w:p>
            <w:pPr>
              <w:pStyle w:val="TableContents"/>
              <w:bidi w:val="0"/>
              <w:spacing w:before="0" w:after="283"/>
              <w:jc w:val="right"/>
              <w:rPr>
                <w:sz w:val="20"/>
                <w:shd w:fill="FFFFFF" w:val="clear"/>
              </w:rPr>
            </w:pPr>
            <w:r>
              <w:rPr>
                <w:sz w:val="20"/>
                <w:shd w:fill="FFFFFF" w:val="clear"/>
              </w:rPr>
              <w:t>11,020</w:t>
            </w:r>
          </w:p>
        </w:tc>
        <w:tc>
          <w:tcPr>
            <w:tcW w:w="75" w:type="dxa"/>
            <w:tcBorders/>
            <w:shd w:fill="FFFFFF" w:val="clear"/>
            <w:vAlign w:val="center"/>
          </w:tcPr>
          <w:p>
            <w:pPr>
              <w:pStyle w:val="TableContents"/>
              <w:bidi w:val="0"/>
              <w:spacing w:before="0" w:after="283"/>
              <w:ind w:left="0" w:right="0" w:hanging="180"/>
              <w:jc w:val="left"/>
              <w:rPr/>
            </w:pPr>
            <w:r>
              <w:rPr/>
              <w:t>(5)</w:t>
            </w:r>
          </w:p>
        </w:tc>
      </w:tr>
      <w:tr>
        <w:trPr/>
        <w:tc>
          <w:tcPr>
            <w:tcW w:w="1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95" w:type="dxa"/>
            <w:gridSpan w:val="10"/>
            <w:tcBorders/>
            <w:shd w:fill="CCEEFF" w:val="clear"/>
            <w:vAlign w:val="center"/>
          </w:tcPr>
          <w:p>
            <w:pPr>
              <w:pStyle w:val="TableContents"/>
              <w:bidi w:val="0"/>
              <w:spacing w:before="0" w:after="283"/>
              <w:jc w:val="center"/>
              <w:rPr>
                <w:b/>
              </w:rPr>
            </w:pPr>
            <w:r>
              <w:rPr>
                <w:b/>
              </w:rPr>
              <w:t>Total Offering Amounts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050" w:type="dxa"/>
            <w:tcBorders/>
            <w:shd w:fill="CCEEFF" w:val="clear"/>
            <w:vAlign w:val="center"/>
          </w:tcPr>
          <w:p>
            <w:pPr>
              <w:pStyle w:val="TableContents"/>
              <w:bidi w:val="0"/>
              <w:spacing w:before="0" w:after="283"/>
              <w:jc w:val="right"/>
              <w:rPr/>
            </w:pPr>
            <w:r>
              <w:rPr/>
              <w:t>22,040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95" w:type="dxa"/>
            <w:gridSpan w:val="10"/>
            <w:tcBorders/>
            <w:shd w:fill="FFFFFF" w:val="clear"/>
            <w:vAlign w:val="center"/>
          </w:tcPr>
          <w:p>
            <w:pPr>
              <w:pStyle w:val="TableContents"/>
              <w:bidi w:val="0"/>
              <w:spacing w:before="0" w:after="283"/>
              <w:jc w:val="center"/>
              <w:rPr>
                <w:b/>
              </w:rPr>
            </w:pPr>
            <w:r>
              <w:rPr>
                <w:b/>
              </w:rPr>
              <w:t>Total Fees Previously Paid</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11,020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95" w:type="dxa"/>
            <w:gridSpan w:val="10"/>
            <w:tcBorders/>
            <w:shd w:fill="CCEEFF" w:val="clear"/>
            <w:vAlign w:val="center"/>
          </w:tcPr>
          <w:p>
            <w:pPr>
              <w:pStyle w:val="TableContents"/>
              <w:bidi w:val="0"/>
              <w:spacing w:before="0" w:after="283"/>
              <w:jc w:val="center"/>
              <w:rPr>
                <w:b/>
              </w:rPr>
            </w:pPr>
            <w:r>
              <w:rPr>
                <w:b/>
              </w:rPr>
              <w:t>Total Fee Offsets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95" w:type="dxa"/>
            <w:gridSpan w:val="10"/>
            <w:tcBorders/>
            <w:shd w:fill="FFFFFF" w:val="clear"/>
            <w:vAlign w:val="center"/>
          </w:tcPr>
          <w:p>
            <w:pPr>
              <w:pStyle w:val="TableContents"/>
              <w:bidi w:val="0"/>
              <w:spacing w:before="0" w:after="283"/>
              <w:jc w:val="center"/>
              <w:rPr>
                <w:b/>
              </w:rPr>
            </w:pPr>
            <w:r>
              <w:rPr>
                <w:b/>
              </w:rPr>
              <w:t>Net Fee Due</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0" w:type="dxa"/>
            <w:tcBorders>
              <w:bottom w:val="double" w:sz="10" w:space="0" w:color="000000"/>
            </w:tcBorders>
            <w:shd w:fill="FFFFFF" w:val="clear"/>
            <w:tcMar>
              <w:bottom w:w="28" w:type="dxa"/>
            </w:tcMar>
            <w:vAlign w:val="center"/>
          </w:tcPr>
          <w:p>
            <w:pPr>
              <w:pStyle w:val="TableContents"/>
              <w:bidi w:val="0"/>
              <w:spacing w:before="0" w:after="283"/>
              <w:jc w:val="right"/>
              <w:rPr/>
            </w:pPr>
            <w:r>
              <w:rPr/>
              <w:t>11,020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20"/>
              </w:rPr>
            </w:pPr>
            <w:r>
              <w:rPr>
                <w:sz w:val="20"/>
              </w:rPr>
              <w:t>(1)</w:t>
            </w:r>
          </w:p>
        </w:tc>
        <w:tc>
          <w:tcPr>
            <w:tcW w:w="9977" w:type="dxa"/>
            <w:tcBorders/>
            <w:vAlign w:val="center"/>
          </w:tcPr>
          <w:p>
            <w:pPr>
              <w:pStyle w:val="TableContents"/>
              <w:bidi w:val="0"/>
              <w:spacing w:before="0" w:after="283"/>
              <w:jc w:val="both"/>
              <w:rPr>
                <w:sz w:val="20"/>
              </w:rPr>
            </w:pPr>
            <w:r>
              <w:rPr>
                <w:sz w:val="20"/>
              </w:rPr>
              <w:t>An indeterminate number of securities or aggregate principal amount, as the case may be, of Class A common stock and preferred stock, such indeterminate number of warrants to purchase Class A common stock or preferred stock, and such indeterminate number of units, as shall have an aggregate initial offering price not to exceed $200,000,000. Any securities issued hereunder may be sold separately or as units with other securities issued hereunder. The proposed maximum initial offering price per unit will be determined, from time to time, by the registrant in connection with the issuance by the registrant of the securities registered hereunder. The securities registered also include such indeterminate amounts and numbers of Class A common stock and preferred stock as may be issuable upon conversion, redemption, exchange, exercise or settlement of any securities registered hereunder, including under any applicable antidilution provisions. Pursuant to Rule 416(a) under the Securities Act of 1933, as amended (the “Securities Act”), this registration statement shall be deemed to cover any additional number of securities as may be offered or issued from time to time upon stock splits, stock dividends, recapitalizations or similar transactions.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both"/>
              <w:rPr>
                <w:sz w:val="20"/>
              </w:rPr>
            </w:pPr>
            <w:r>
              <w:rPr>
                <w:sz w:val="20"/>
              </w:rPr>
              <w:t>(2)</w:t>
            </w:r>
          </w:p>
        </w:tc>
        <w:tc>
          <w:tcPr>
            <w:tcW w:w="9966" w:type="dxa"/>
            <w:tcBorders/>
            <w:vAlign w:val="center"/>
          </w:tcPr>
          <w:p>
            <w:pPr>
              <w:pStyle w:val="TableContents"/>
              <w:bidi w:val="0"/>
              <w:spacing w:before="0" w:after="283"/>
              <w:jc w:val="both"/>
              <w:rPr>
                <w:sz w:val="20"/>
              </w:rPr>
            </w:pPr>
            <w:r>
              <w:rPr>
                <w:sz w:val="20"/>
              </w:rPr>
              <w:t xml:space="preserve">The proposed maximum offering price per security and proposed maximum aggregate offering price will be determined from time to time by the registrant in connection with the sale and issuance by the registrant of the securities registered hereunder and is not specified as to each class of security pursuant to </w:t>
            </w:r>
            <w:r>
              <w:rPr>
                <w:sz w:val="20"/>
                <w:shd w:fill="FFFFFF" w:val="clear"/>
              </w:rPr>
              <w:t>the Instructions to the Calculation of Filing Fee Tables and Related Disclosure of Form S-3 under the Securities Act</w:t>
            </w:r>
            <w:r>
              <w:rPr>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9663" w:type="dxa"/>
        <w:jc w:val="left"/>
        <w:tblInd w:w="0" w:type="dxa"/>
        <w:tblLayout w:type="fixed"/>
        <w:tblCellMar>
          <w:top w:w="0" w:type="dxa"/>
          <w:left w:w="0" w:type="dxa"/>
          <w:bottom w:w="0" w:type="dxa"/>
          <w:right w:w="0" w:type="dxa"/>
        </w:tblCellMar>
      </w:tblPr>
      <w:tblGrid>
        <w:gridCol w:w="38"/>
        <w:gridCol w:w="245"/>
        <w:gridCol w:w="93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both"/>
              <w:rPr>
                <w:sz w:val="20"/>
              </w:rPr>
            </w:pPr>
            <w:r>
              <w:rPr>
                <w:sz w:val="20"/>
              </w:rPr>
              <w:t>(3)</w:t>
            </w:r>
          </w:p>
        </w:tc>
        <w:tc>
          <w:tcPr>
            <w:tcW w:w="9380" w:type="dxa"/>
            <w:tcBorders/>
            <w:vAlign w:val="center"/>
          </w:tcPr>
          <w:p>
            <w:pPr>
              <w:pStyle w:val="TableContents"/>
              <w:bidi w:val="0"/>
              <w:spacing w:before="0" w:after="283"/>
              <w:jc w:val="both"/>
              <w:rPr>
                <w:sz w:val="20"/>
              </w:rPr>
            </w:pPr>
            <w:r>
              <w:rPr>
                <w:sz w:val="20"/>
              </w:rPr>
              <w:t>Estimated solely for the purpose of calculating the registration fee pursuant to Rule 457(o) under the Securities Act.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both"/>
              <w:rPr>
                <w:sz w:val="20"/>
              </w:rPr>
            </w:pPr>
            <w:r>
              <w:rPr>
                <w:sz w:val="20"/>
              </w:rPr>
              <w:t>(4)</w:t>
            </w:r>
          </w:p>
        </w:tc>
        <w:tc>
          <w:tcPr>
            <w:tcW w:w="9936" w:type="dxa"/>
            <w:tcBorders/>
            <w:vAlign w:val="center"/>
          </w:tcPr>
          <w:p>
            <w:pPr>
              <w:pStyle w:val="TableContents"/>
              <w:bidi w:val="0"/>
              <w:spacing w:before="0" w:after="283"/>
              <w:jc w:val="both"/>
              <w:rPr>
                <w:sz w:val="20"/>
              </w:rPr>
            </w:pPr>
            <w:r>
              <w:rPr>
                <w:sz w:val="20"/>
              </w:rPr>
              <w:t>Any securities registered under the registration statement may be sold separately or as units with other securities registered under the registration statement.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both"/>
              <w:rPr>
                <w:sz w:val="20"/>
              </w:rPr>
            </w:pPr>
            <w:r>
              <w:rPr>
                <w:sz w:val="20"/>
              </w:rPr>
              <w:t>(5)</w:t>
            </w:r>
          </w:p>
        </w:tc>
        <w:tc>
          <w:tcPr>
            <w:tcW w:w="9973" w:type="dxa"/>
            <w:tcBorders/>
            <w:vAlign w:val="center"/>
          </w:tcPr>
          <w:p>
            <w:pPr>
              <w:pStyle w:val="TableContents"/>
              <w:bidi w:val="0"/>
              <w:spacing w:before="0" w:after="283"/>
              <w:jc w:val="both"/>
              <w:rPr/>
            </w:pPr>
            <w:r>
              <w:rPr>
                <w:sz w:val="20"/>
                <w:shd w:fill="FFFFFF" w:val="clear"/>
              </w:rPr>
              <w:t>This registration statement was initially filed with the Securities and Exchange Commission on August 1, 2023 as a Registration Statement on Form S-3 (File No. 333-273584), as amended, and registered a</w:t>
            </w:r>
            <w:r>
              <w:rPr>
                <w:sz w:val="20"/>
              </w:rPr>
              <w:t>n indeterminate number of securities or aggregate principal amount, as the case may be as shall have an aggregate initial offering price not to exceed $100,000,000. A filing fee of $11,020 was paid in connection with the initial filing of the Registration Statement. Amendment No. 1 to Form S-3 increased the maximum aggregate offering price of all securities issuable pursuant to the Registration Statement to $200,000,000, thereby increasing the SEC filing fee due.</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842279/000184227923000009/wdq-20221231.htm" TargetMode="External"/><Relationship Id="rId4" Type="http://schemas.openxmlformats.org/officeDocument/2006/relationships/hyperlink" Target="http://www.sec.gov/Archives/edgar/data/1842279/000184227923000050/wdq-20230331.htm" TargetMode="External"/><Relationship Id="rId5" Type="http://schemas.openxmlformats.org/officeDocument/2006/relationships/hyperlink" Target="http://www.sec.gov/Archives/edgar/data/1842279/000184227923000011/opal-20230330.htm" TargetMode="External"/><Relationship Id="rId6" Type="http://schemas.openxmlformats.org/officeDocument/2006/relationships/hyperlink" Target="http://www.sec.gov/Archives/edgar/data/1842279/000184227923000013/opal-20230413.htm" TargetMode="External"/><Relationship Id="rId7" Type="http://schemas.openxmlformats.org/officeDocument/2006/relationships/hyperlink" Target="http://www.sec.gov/Archives/edgar/data/1842279/000184227923000027/opal-20230502.htm" TargetMode="External"/><Relationship Id="rId8" Type="http://schemas.openxmlformats.org/officeDocument/2006/relationships/hyperlink" Target="http://www.sec.gov/Archives/edgar/data/1842279/000184227923000054/opal-20230530.htm" TargetMode="External"/><Relationship Id="rId9" Type="http://schemas.openxmlformats.org/officeDocument/2006/relationships/hyperlink" Target="http://www.sec.gov/Archives/edgar/data/1842279/000184227923000057/opal-20230623.htm" TargetMode="External"/><Relationship Id="rId10" Type="http://schemas.openxmlformats.org/officeDocument/2006/relationships/hyperlink" Target="http://www.sec.gov/Archives/edgar/data/1842279/000184227923000060/opal-20230626.htm" TargetMode="External"/><Relationship Id="rId11" Type="http://schemas.openxmlformats.org/officeDocument/2006/relationships/hyperlink" Target="http://www.sec.gov/Archives/edgar/data/1842279/000184227923000031/proxystatementannualmeetin.htm" TargetMode="External"/><Relationship Id="rId12" Type="http://schemas.openxmlformats.org/officeDocument/2006/relationships/image" Target="media/image2.jpeg"/><Relationship Id="rId13" Type="http://schemas.openxmlformats.org/officeDocument/2006/relationships/hyperlink" Target="http://www.sec.gov/Archives/edgar/data/1842279/000119312521347023/d270539dex21.htm" TargetMode="External"/><Relationship Id="rId14" Type="http://schemas.openxmlformats.org/officeDocument/2006/relationships/hyperlink" Target="http://www.sec.gov/Archives/edgar/data/1842279/000121390022046338/ea164030ex3-1_opal.htm" TargetMode="External"/><Relationship Id="rId15" Type="http://schemas.openxmlformats.org/officeDocument/2006/relationships/hyperlink" Target="http://www.sec.gov/Archives/edgar/data/1842279/000121390022042020/ea163248ex3-2_opal.htm" TargetMode="External"/><Relationship Id="rId16" Type="http://schemas.openxmlformats.org/officeDocument/2006/relationships/hyperlink" Target="http://www.sec.gov/Archives/edgar/data/1842279/000119312521073580/d118209dex43.htm" TargetMode="External"/><Relationship Id="rId17" Type="http://schemas.openxmlformats.org/officeDocument/2006/relationships/hyperlink" Target="http://www.sec.gov/Archives/edgar/data/1842279/000119312521096722/d167128dex41.htm" TargetMode="External"/><Relationship Id="rId18" Type="http://schemas.openxmlformats.org/officeDocument/2006/relationships/hyperlink" Target="http://www.sec.gov/Archives/edgar/data/1842279/000184227923000009/opal-shortxtermincentivepl.htm" TargetMode="External"/><Relationship Id="rId19" Type="http://schemas.openxmlformats.org/officeDocument/2006/relationships/hyperlink" Target="http://www.sec.gov/Archives/edgar/data/1842279/000184227923000009/opalfuelsinc-formoptionagr.htm" TargetMode="External"/><Relationship Id="rId20" Type="http://schemas.openxmlformats.org/officeDocument/2006/relationships/hyperlink" Target="http://www.sec.gov/Archives/edgar/data/1842279/000184227923000009/opalfuelsinc-formofperform.htm" TargetMode="External"/><Relationship Id="rId21" Type="http://schemas.openxmlformats.org/officeDocument/2006/relationships/image" Target="media/image3.jpeg"/><Relationship Id="rId22" Type="http://schemas.openxmlformats.org/officeDocument/2006/relationships/image" Target="media/image3.jpeg"/><Relationship Id="rId23" Type="http://schemas.openxmlformats.org/officeDocument/2006/relationships/image" Target="media/image3.jpeg"/><Relationship Id="rId24" Type="http://schemas.openxmlformats.org/officeDocument/2006/relationships/image" Target="media/image3.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23494</Words>
  <Characters>122603</Characters>
  <CharactersWithSpaces>146658</CharactersWithSpaces>
  <Paragraphs>1863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