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jc w:val="center"/>
        <w:ind w:left="340"/>
        <w:spacing w:after="0"/>
        <w:rPr>
          <w:sz w:val="20"/>
          <w:szCs w:val="20"/>
          <w:color w:val="auto"/>
        </w:rPr>
      </w:pPr>
      <w:r>
        <w:rPr>
          <w:rFonts w:ascii="Arial" w:cs="Arial" w:eastAsia="Arial" w:hAnsi="Arial"/>
          <w:sz w:val="11"/>
          <w:szCs w:val="11"/>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20955</wp:posOffset>
            </wp:positionH>
            <wp:positionV relativeFrom="paragraph">
              <wp:posOffset>-3810</wp:posOffset>
            </wp:positionV>
            <wp:extent cx="139065" cy="1873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065" cy="187325"/>
                    </a:xfrm>
                    <a:prstGeom prst="rect">
                      <a:avLst/>
                    </a:prstGeom>
                    <a:noFill/>
                  </pic:spPr>
                </pic:pic>
              </a:graphicData>
            </a:graphic>
          </wp:anchor>
        </w:drawing>
      </w:r>
    </w:p>
    <w:p>
      <w:pPr>
        <w:jc w:val="both"/>
        <w:ind w:left="340" w:right="360" w:hanging="261"/>
        <w:spacing w:after="0" w:line="183" w:lineRule="auto"/>
        <w:tabs>
          <w:tab w:leader="none" w:pos="340" w:val="left"/>
        </w:tabs>
        <w:numPr>
          <w:ilvl w:val="0"/>
          <w:numId w:val="1"/>
        </w:numPr>
        <w:rPr>
          <w:rFonts w:ascii="Times New Roman" w:cs="Times New Roman" w:eastAsia="Times New Roman" w:hAnsi="Times New Roman"/>
          <w:sz w:val="25"/>
          <w:szCs w:val="25"/>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-619760</wp:posOffset>
            </wp:positionV>
            <wp:extent cx="57785" cy="633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6995160" cy="4652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65264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20" w:space="360"/>
            <w:col w:w="8500"/>
          </w:cols>
          <w:pgMar w:left="460" w:top="216"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Berkenfeld Steven</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ARCLIGHT CTC HOLDINGS II, L.P.</w:t>
      </w:r>
    </w:p>
    <w:p>
      <w:pPr>
        <w:spacing w:after="0" w:line="6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CLARENDON ST, 55TH FLOOR</w:t>
      </w:r>
    </w:p>
    <w:p>
      <w:pPr>
        <w:spacing w:after="0" w:line="277"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02116</w:t>
            </w:r>
          </w:p>
        </w:tc>
      </w:tr>
      <w:tr>
        <w:trPr>
          <w:trHeight w:val="147"/>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OPAL Fuels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OPAL</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66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66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240" w:type="dxa"/>
            <w:vAlign w:val="bottom"/>
            <w:tcBorders>
              <w:bottom w:val="single" w:sz="8" w:color="0000EE"/>
            </w:tcBorders>
          </w:tcPr>
          <w:p>
            <w:pPr>
              <w:spacing w:after="0"/>
              <w:rPr>
                <w:sz w:val="3"/>
                <w:szCs w:val="3"/>
                <w:color w:val="auto"/>
              </w:rPr>
            </w:pPr>
          </w:p>
        </w:tc>
        <w:tc>
          <w:tcPr>
            <w:tcW w:w="2400" w:type="dxa"/>
            <w:vAlign w:val="bottom"/>
          </w:tcPr>
          <w:p>
            <w:pPr>
              <w:spacing w:after="0"/>
              <w:rPr>
                <w:sz w:val="3"/>
                <w:szCs w:val="3"/>
                <w:color w:val="auto"/>
              </w:rPr>
            </w:pPr>
          </w:p>
        </w:tc>
        <w:tc>
          <w:tcPr>
            <w:tcW w:w="166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380" w:type="dxa"/>
            <w:vAlign w:val="bottom"/>
          </w:tcPr>
          <w:p>
            <w:pPr>
              <w:spacing w:after="0"/>
              <w:rPr>
                <w:sz w:val="3"/>
                <w:szCs w:val="3"/>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6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1240" w:type="dxa"/>
            <w:vAlign w:val="bottom"/>
            <w:tcBorders>
              <w:bottom w:val="single" w:sz="8" w:color="808080"/>
            </w:tcBorders>
          </w:tcPr>
          <w:p>
            <w:pPr>
              <w:spacing w:after="0"/>
              <w:rPr>
                <w:sz w:val="16"/>
                <w:szCs w:val="16"/>
                <w:color w:val="auto"/>
              </w:rPr>
            </w:pPr>
          </w:p>
        </w:tc>
        <w:tc>
          <w:tcPr>
            <w:tcW w:w="2400" w:type="dxa"/>
            <w:vAlign w:val="bottom"/>
            <w:tcBorders>
              <w:bottom w:val="single" w:sz="8" w:color="808080"/>
            </w:tcBorders>
          </w:tcPr>
          <w:p>
            <w:pPr>
              <w:spacing w:after="0"/>
              <w:rPr>
                <w:sz w:val="16"/>
                <w:szCs w:val="16"/>
                <w:color w:val="auto"/>
              </w:rPr>
            </w:pPr>
          </w:p>
        </w:tc>
        <w:tc>
          <w:tcPr>
            <w:tcW w:w="1660" w:type="dxa"/>
            <w:vAlign w:val="bottom"/>
          </w:tcPr>
          <w:p>
            <w:pPr>
              <w:ind w:left="580"/>
              <w:spacing w:after="0"/>
              <w:rPr>
                <w:sz w:val="20"/>
                <w:szCs w:val="20"/>
                <w:color w:val="auto"/>
              </w:rPr>
            </w:pPr>
            <w:r>
              <w:rPr>
                <w:rFonts w:ascii="Arial" w:cs="Arial" w:eastAsia="Arial" w:hAnsi="Arial"/>
                <w:sz w:val="13"/>
                <w:szCs w:val="13"/>
                <w:color w:val="auto"/>
              </w:rPr>
              <w:t>Officer (give title</w:t>
            </w:r>
          </w:p>
        </w:tc>
        <w:tc>
          <w:tcPr>
            <w:tcW w:w="3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X</w:t>
            </w: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8"/>
        </w:trPr>
        <w:tc>
          <w:tcPr>
            <w:tcW w:w="20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660" w:type="dxa"/>
            <w:vAlign w:val="bottom"/>
            <w:vMerge w:val="restart"/>
          </w:tcPr>
          <w:p>
            <w:pPr>
              <w:ind w:left="580"/>
              <w:spacing w:after="0" w:line="123" w:lineRule="exact"/>
              <w:rPr>
                <w:sz w:val="20"/>
                <w:szCs w:val="20"/>
                <w:color w:val="auto"/>
              </w:rPr>
            </w:pPr>
            <w:r>
              <w:rPr>
                <w:rFonts w:ascii="Arial" w:cs="Arial" w:eastAsia="Arial" w:hAnsi="Arial"/>
                <w:sz w:val="13"/>
                <w:szCs w:val="13"/>
                <w:color w:val="auto"/>
              </w:rPr>
              <w:t>below)</w:t>
            </w:r>
          </w:p>
        </w:tc>
        <w:tc>
          <w:tcPr>
            <w:tcW w:w="380" w:type="dxa"/>
            <w:vAlign w:val="bottom"/>
            <w:vMerge w:val="continue"/>
          </w:tcPr>
          <w:p>
            <w:pPr>
              <w:spacing w:after="0"/>
              <w:rPr>
                <w:sz w:val="5"/>
                <w:szCs w:val="5"/>
                <w:color w:val="auto"/>
              </w:rPr>
            </w:pPr>
          </w:p>
        </w:tc>
        <w:tc>
          <w:tcPr>
            <w:tcW w:w="1240" w:type="dxa"/>
            <w:vAlign w:val="bottom"/>
            <w:vMerge w:val="restart"/>
          </w:tcPr>
          <w:p>
            <w:pPr>
              <w:ind w:left="10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66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3280" w:type="dxa"/>
            <w:vAlign w:val="bottom"/>
            <w:gridSpan w:val="3"/>
            <w:vMerge w:val="restart"/>
          </w:tcPr>
          <w:p>
            <w:pPr>
              <w:ind w:left="1100"/>
              <w:spacing w:after="0"/>
              <w:rPr>
                <w:sz w:val="20"/>
                <w:szCs w:val="20"/>
                <w:color w:val="auto"/>
              </w:rPr>
            </w:pPr>
            <w:r>
              <w:rPr>
                <w:rFonts w:ascii="Times New Roman" w:cs="Times New Roman" w:eastAsia="Times New Roman" w:hAnsi="Times New Roman"/>
                <w:sz w:val="17"/>
                <w:szCs w:val="17"/>
                <w:color w:val="0000FF"/>
              </w:rPr>
              <w:t>Former Director</w:t>
            </w:r>
          </w:p>
        </w:tc>
        <w:tc>
          <w:tcPr>
            <w:tcW w:w="0" w:type="dxa"/>
            <w:vAlign w:val="bottom"/>
          </w:tcPr>
          <w:p>
            <w:pPr>
              <w:spacing w:after="0"/>
              <w:rPr>
                <w:sz w:val="1"/>
                <w:szCs w:val="1"/>
                <w:color w:val="auto"/>
              </w:rPr>
            </w:pPr>
          </w:p>
        </w:tc>
      </w:tr>
      <w:tr>
        <w:trPr>
          <w:trHeight w:val="216"/>
        </w:trPr>
        <w:tc>
          <w:tcPr>
            <w:tcW w:w="14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07/21/2022</w:t>
            </w:r>
          </w:p>
        </w:tc>
        <w:tc>
          <w:tcPr>
            <w:tcW w:w="2400" w:type="dxa"/>
            <w:vAlign w:val="bottom"/>
          </w:tcPr>
          <w:p>
            <w:pPr>
              <w:spacing w:after="0"/>
              <w:rPr>
                <w:sz w:val="18"/>
                <w:szCs w:val="18"/>
                <w:color w:val="auto"/>
              </w:rPr>
            </w:pPr>
          </w:p>
        </w:tc>
        <w:tc>
          <w:tcPr>
            <w:tcW w:w="32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6"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86"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8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300" w:type="dxa"/>
            <w:vAlign w:val="bottom"/>
          </w:tcPr>
          <w:p>
            <w:pPr>
              <w:spacing w:after="0"/>
              <w:rPr>
                <w:sz w:val="13"/>
                <w:szCs w:val="13"/>
                <w:color w:val="auto"/>
              </w:rPr>
            </w:pPr>
          </w:p>
        </w:tc>
        <w:tc>
          <w:tcPr>
            <w:tcW w:w="1780" w:type="dxa"/>
            <w:vAlign w:val="bottom"/>
            <w:gridSpan w:val="5"/>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780" w:type="dxa"/>
            <w:vAlign w:val="bottom"/>
            <w:gridSpan w:val="5"/>
          </w:tcPr>
          <w:p>
            <w:pPr>
              <w:ind w:left="40"/>
              <w:spacing w:after="0"/>
              <w:rPr>
                <w:sz w:val="20"/>
                <w:szCs w:val="20"/>
                <w:color w:val="auto"/>
              </w:rPr>
            </w:pPr>
            <w:r>
              <w:rPr>
                <w:rFonts w:ascii="Arial" w:cs="Arial" w:eastAsia="Arial" w:hAnsi="Arial"/>
                <w:sz w:val="11"/>
                <w:szCs w:val="11"/>
                <w:b w:val="1"/>
                <w:bCs w:val="1"/>
                <w:color w:val="auto"/>
              </w:rPr>
              <w:t>Disposed Of (D) (Instr. 3, 4 and</w:t>
            </w:r>
          </w:p>
        </w:tc>
        <w:tc>
          <w:tcPr>
            <w:tcW w:w="12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8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2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500" w:type="dxa"/>
            <w:vAlign w:val="bottom"/>
          </w:tcPr>
          <w:p>
            <w:pPr>
              <w:ind w:left="40"/>
              <w:spacing w:after="0"/>
              <w:rPr>
                <w:sz w:val="20"/>
                <w:szCs w:val="20"/>
                <w:color w:val="auto"/>
              </w:rPr>
            </w:pPr>
            <w:r>
              <w:rPr>
                <w:rFonts w:ascii="Arial" w:cs="Arial" w:eastAsia="Arial" w:hAnsi="Arial"/>
                <w:sz w:val="11"/>
                <w:szCs w:val="11"/>
                <w:b w:val="1"/>
                <w:bCs w:val="1"/>
                <w:color w:val="auto"/>
              </w:rPr>
              <w:t>5)</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w:t>
            </w:r>
          </w:p>
        </w:tc>
        <w:tc>
          <w:tcPr>
            <w:tcW w:w="300" w:type="dxa"/>
            <w:vAlign w:val="bottom"/>
            <w:vMerge w:val="restart"/>
          </w:tcPr>
          <w:p>
            <w:pPr>
              <w:spacing w:after="0"/>
              <w:rPr>
                <w:sz w:val="20"/>
                <w:szCs w:val="20"/>
                <w:color w:val="auto"/>
              </w:rPr>
            </w:pPr>
            <w:r>
              <w:rPr>
                <w:rFonts w:ascii="Arial" w:cs="Arial" w:eastAsia="Arial" w:hAnsi="Arial"/>
                <w:sz w:val="11"/>
                <w:szCs w:val="11"/>
                <w:b w:val="1"/>
                <w:bCs w:val="1"/>
                <w:color w:val="auto"/>
              </w:rPr>
              <w:t>V</w:t>
            </w:r>
          </w:p>
        </w:tc>
        <w:tc>
          <w:tcPr>
            <w:tcW w:w="5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300" w:type="dxa"/>
            <w:vAlign w:val="bottom"/>
          </w:tcPr>
          <w:p>
            <w:pPr>
              <w:spacing w:after="0"/>
              <w:rPr>
                <w:sz w:val="11"/>
                <w:szCs w:val="11"/>
                <w:color w:val="auto"/>
              </w:rPr>
            </w:pPr>
          </w:p>
        </w:tc>
        <w:tc>
          <w:tcPr>
            <w:tcW w:w="480" w:type="dxa"/>
            <w:vAlign w:val="bottom"/>
            <w:gridSpan w:val="2"/>
          </w:tcPr>
          <w:p>
            <w:pPr>
              <w:ind w:left="60"/>
              <w:spacing w:after="0"/>
              <w:rPr>
                <w:sz w:val="20"/>
                <w:szCs w:val="20"/>
                <w:color w:val="auto"/>
              </w:rPr>
            </w:pPr>
            <w:r>
              <w:rPr>
                <w:rFonts w:ascii="Arial" w:cs="Arial" w:eastAsia="Arial" w:hAnsi="Arial"/>
                <w:sz w:val="11"/>
                <w:szCs w:val="11"/>
                <w:b w:val="1"/>
                <w:bCs w:val="1"/>
                <w:color w:val="auto"/>
              </w:rPr>
              <w:t>(A) or</w:t>
            </w:r>
          </w:p>
        </w:tc>
        <w:tc>
          <w:tcPr>
            <w:tcW w:w="500" w:type="dxa"/>
            <w:vAlign w:val="bottom"/>
            <w:vMerge w:val="restart"/>
          </w:tcPr>
          <w:p>
            <w:pPr>
              <w:jc w:val="right"/>
              <w:ind w:right="85"/>
              <w:spacing w:after="0"/>
              <w:rPr>
                <w:sz w:val="20"/>
                <w:szCs w:val="20"/>
                <w:color w:val="auto"/>
              </w:rPr>
            </w:pPr>
            <w:r>
              <w:rPr>
                <w:rFonts w:ascii="Arial" w:cs="Arial" w:eastAsia="Arial" w:hAnsi="Arial"/>
                <w:sz w:val="11"/>
                <w:szCs w:val="11"/>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1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2"/>
          </w:tcPr>
          <w:p>
            <w:pPr>
              <w:ind w:left="920"/>
              <w:spacing w:after="0"/>
              <w:rPr>
                <w:sz w:val="20"/>
                <w:szCs w:val="20"/>
                <w:color w:val="auto"/>
              </w:rPr>
            </w:pPr>
            <w:r>
              <w:rPr>
                <w:rFonts w:ascii="Times New Roman" w:cs="Times New Roman" w:eastAsia="Times New Roman" w:hAnsi="Times New Roman"/>
                <w:sz w:val="17"/>
                <w:szCs w:val="17"/>
                <w:color w:val="0000FF"/>
              </w:rPr>
              <w:t>07/21/2022</w:t>
            </w:r>
          </w:p>
        </w:tc>
        <w:tc>
          <w:tcPr>
            <w:tcW w:w="8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3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35,000</w:t>
            </w:r>
          </w:p>
        </w:tc>
        <w:tc>
          <w:tcPr>
            <w:tcW w:w="3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7"/>
              </w:rPr>
              <w:t>A</w:t>
            </w: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jc w:val="right"/>
              <w:ind w:right="65"/>
              <w:spacing w:after="0"/>
              <w:rPr>
                <w:sz w:val="20"/>
                <w:szCs w:val="20"/>
                <w:color w:val="auto"/>
              </w:rPr>
            </w:pPr>
            <w:r>
              <w:rPr>
                <w:rFonts w:ascii="Times New Roman" w:cs="Times New Roman" w:eastAsia="Times New Roman" w:hAnsi="Times New Roman"/>
                <w:sz w:val="11"/>
                <w:szCs w:val="11"/>
                <w:color w:val="008000"/>
              </w:rPr>
              <w:t>(1)</w:t>
            </w:r>
          </w:p>
        </w:tc>
        <w:tc>
          <w:tcPr>
            <w:tcW w:w="132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35,000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40"/>
              <w:spacing w:after="0" w:line="306" w:lineRule="exact"/>
              <w:rPr>
                <w:sz w:val="20"/>
                <w:szCs w:val="20"/>
                <w:color w:val="auto"/>
              </w:rPr>
            </w:pPr>
            <w:r>
              <w:rPr>
                <w:rFonts w:ascii="Times New Roman" w:cs="Times New Roman" w:eastAsia="Times New Roman" w:hAnsi="Times New Roman"/>
                <w:sz w:val="33"/>
                <w:szCs w:val="33"/>
                <w:color w:val="0000FF"/>
                <w:vertAlign w:val="subscript"/>
              </w:rPr>
              <w:t>D</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4"/>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5. Number</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of</w:t>
            </w: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500" w:type="dxa"/>
            <w:vAlign w:val="bottom"/>
          </w:tcPr>
          <w:p>
            <w:pPr>
              <w:spacing w:after="0"/>
              <w:rPr>
                <w:sz w:val="11"/>
                <w:szCs w:val="11"/>
                <w:color w:val="auto"/>
              </w:rPr>
            </w:pPr>
          </w:p>
        </w:tc>
        <w:tc>
          <w:tcPr>
            <w:tcW w:w="78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50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500" w:type="dxa"/>
            <w:vAlign w:val="bottom"/>
            <w:tcBorders>
              <w:right w:val="single" w:sz="8" w:color="2C2C2C"/>
            </w:tcBorders>
            <w:gridSpan w:val="4"/>
          </w:tcPr>
          <w:p>
            <w:pPr>
              <w:ind w:left="10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spacing w:after="0"/>
              <w:rPr>
                <w:sz w:val="11"/>
                <w:szCs w:val="11"/>
                <w:color w:val="auto"/>
              </w:rPr>
            </w:pP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Underlying Derivative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Security (Instr. 3 and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Acquired</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Disposed</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of (D) (Instr.</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3, 4 and 5)</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 or</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 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Date</w:t>
            </w:r>
          </w:p>
        </w:tc>
        <w:tc>
          <w:tcPr>
            <w:tcW w:w="30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320" w:type="dxa"/>
            <w:vAlign w:val="bottom"/>
          </w:tcPr>
          <w:p>
            <w:pPr>
              <w:spacing w:after="0"/>
              <w:rPr>
                <w:sz w:val="13"/>
                <w:szCs w:val="13"/>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11"/>
                <w:szCs w:val="11"/>
                <w:color w:val="008000"/>
              </w:rPr>
              <w:t>(1)</w:t>
            </w:r>
          </w:p>
        </w:tc>
        <w:tc>
          <w:tcPr>
            <w:tcW w:w="300" w:type="dxa"/>
            <w:vAlign w:val="bottom"/>
          </w:tcPr>
          <w:p>
            <w:pPr>
              <w:spacing w:after="0"/>
              <w:rPr>
                <w:sz w:val="15"/>
                <w:szCs w:val="15"/>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008000"/>
              </w:rPr>
              <w:t>(1)</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35,000</w:t>
            </w:r>
            <w:r>
              <w:rPr>
                <w:rFonts w:ascii="Times New Roman" w:cs="Times New Roman" w:eastAsia="Times New Roman" w:hAnsi="Times New Roman"/>
                <w:sz w:val="21"/>
                <w:szCs w:val="21"/>
                <w:color w:val="008000"/>
                <w:w w:val="98"/>
                <w:vertAlign w:val="superscript"/>
              </w:rPr>
              <w:t>(1)</w:t>
            </w: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(1)</w:t>
            </w:r>
          </w:p>
        </w:tc>
        <w:tc>
          <w:tcPr>
            <w:tcW w:w="260" w:type="dxa"/>
            <w:vAlign w:val="bottom"/>
          </w:tcPr>
          <w:p>
            <w:pPr>
              <w:spacing w:after="0"/>
              <w:rPr>
                <w:sz w:val="15"/>
                <w:szCs w:val="15"/>
                <w:color w:val="auto"/>
              </w:rPr>
            </w:pP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Ordinary</w:t>
            </w:r>
          </w:p>
        </w:tc>
        <w:tc>
          <w:tcPr>
            <w:tcW w:w="760" w:type="dxa"/>
            <w:vAlign w:val="bottom"/>
            <w:vMerge w:val="continue"/>
          </w:tcPr>
          <w:p>
            <w:pPr>
              <w:spacing w:after="0"/>
              <w:rPr>
                <w:sz w:val="12"/>
                <w:szCs w:val="12"/>
                <w:color w:val="auto"/>
              </w:rPr>
            </w:pPr>
          </w:p>
        </w:tc>
        <w:tc>
          <w:tcPr>
            <w:tcW w:w="1060" w:type="dxa"/>
            <w:vAlign w:val="bottom"/>
          </w:tcPr>
          <w:p>
            <w:pPr>
              <w:jc w:val="right"/>
              <w:ind w:right="161"/>
              <w:spacing w:after="0" w:line="141" w:lineRule="exact"/>
              <w:rPr>
                <w:sz w:val="20"/>
                <w:szCs w:val="20"/>
                <w:color w:val="auto"/>
              </w:rPr>
            </w:pPr>
            <w:r>
              <w:rPr>
                <w:rFonts w:ascii="Times New Roman" w:cs="Times New Roman" w:eastAsia="Times New Roman" w:hAnsi="Times New Roman"/>
                <w:sz w:val="13"/>
                <w:szCs w:val="13"/>
                <w:color w:val="0000FF"/>
              </w:rPr>
              <w:t>07/21/2022</w:t>
            </w:r>
          </w:p>
        </w:tc>
        <w:tc>
          <w:tcPr>
            <w:tcW w:w="1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20" w:type="dxa"/>
            <w:vAlign w:val="bottom"/>
          </w:tcPr>
          <w:p>
            <w:pPr>
              <w:ind w:left="400"/>
              <w:spacing w:after="0" w:line="141" w:lineRule="exact"/>
              <w:rPr>
                <w:sz w:val="20"/>
                <w:szCs w:val="20"/>
                <w:color w:val="auto"/>
              </w:rPr>
            </w:pPr>
            <w:r>
              <w:rPr>
                <w:rFonts w:ascii="Times New Roman" w:cs="Times New Roman" w:eastAsia="Times New Roman" w:hAnsi="Times New Roman"/>
                <w:sz w:val="13"/>
                <w:szCs w:val="13"/>
                <w:color w:val="0000FF"/>
              </w:rPr>
              <w:t>35,000</w:t>
            </w:r>
          </w:p>
        </w:tc>
        <w:tc>
          <w:tcPr>
            <w:tcW w:w="2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20" w:type="dxa"/>
            <w:vAlign w:val="bottom"/>
            <w:gridSpan w:val="2"/>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6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-1827530</wp:posOffset>
            </wp:positionV>
            <wp:extent cx="29210" cy="1832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8326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160"/>
        <w:spacing w:after="0" w:line="23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Business Combination Agreement (as amended), dated December 2, 2021, by and among ArcLight Clean Transition Corp. II, a Cayman Islands exempted company (the "Company"), OPAL Fuels LLC, a Delaware limited liability company ("OPAL Fuels"), and OPAL HoldCo LLC, a Delaware limited liability company ("OPAL HoldCo"), the parties effected a business combination transaction ("Business Combination"), on July 21, 2022. In connection with the Business Combination, the Company domesticated as a Delaware corporation (the "Domestication") and changed its name to "OPAL Fuels Inc." ("New OPAL"). In connection with the consummation of the Business Combination and the Domestication, 35,000 of Steven Berkenfeld's Class B ordinary shares, par value $0.0001, of the Company, which were previously convertible into Class A ordinary shares, par value $0.0001, of the Company converted into shares of Class A common stock, par value $0.0001, of New OPAL in connection with the closing of the Business Combination.</w:t>
      </w:r>
    </w:p>
    <w:p>
      <w:pPr>
        <w:spacing w:after="0" w:line="3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Steven Berkenfeld</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07/25/2022</w:t>
            </w:r>
          </w:p>
        </w:tc>
      </w:tr>
      <w:tr>
        <w:trPr>
          <w:trHeight w:val="20"/>
        </w:trPr>
        <w:tc>
          <w:tcPr>
            <w:tcW w:w="14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5785" TargetMode="External"/><Relationship Id="rId13"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2022-07-25T18:23:27Z</dcterms:created>
  <dcterms:modified xsi:type="dcterms:W3CDTF">2022-07-25T18:23:27Z</dcterms:modified>
</cp:coreProperties>
</file>