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(Rule 13d-102)</w:t>
      </w:r>
    </w:p>
    <w:p>
      <w:pPr>
        <w:jc w:val="center"/>
        <w:ind w:right="-1100"/>
        <w:spacing w:after="0"/>
        <w:rPr>
          <w:sz w:val="20"/>
          <w:szCs w:val="20"/>
          <w:color w:val="auto"/>
        </w:rPr>
      </w:pPr>
      <w:r>
        <w:rPr>
          <w:rFonts w:ascii="Times New Roman" w:cs="Times New Roman" w:eastAsia="Times New Roman" w:hAnsi="Times New Roman"/>
          <w:sz w:val="22"/>
          <w:szCs w:val="22"/>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left="2340"/>
        <w:spacing w:after="0" w:line="244" w:lineRule="auto"/>
        <w:rPr>
          <w:sz w:val="20"/>
          <w:szCs w:val="20"/>
          <w:color w:val="auto"/>
        </w:rPr>
      </w:pPr>
      <w:r>
        <w:rPr>
          <w:rFonts w:ascii="Times New Roman" w:cs="Times New Roman" w:eastAsia="Times New Roman" w:hAnsi="Times New Roman"/>
          <w:sz w:val="22"/>
          <w:szCs w:val="22"/>
          <w:color w:val="auto"/>
        </w:rPr>
        <w:t>INFORMATION TO BE INCLUDED IN STATEMENTS FILED PURSUANT TO RULES 13d-1(b), (c) AND (d) AND AMENDMENTS THERETO FILED PURSUANT TO RULE 13d-2</w:t>
      </w:r>
    </w:p>
    <w:p>
      <w:pPr>
        <w:spacing w:after="0" w:line="20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0" w:lineRule="exact"/>
        <w:rPr>
          <w:sz w:val="24"/>
          <w:szCs w:val="24"/>
          <w:color w:val="auto"/>
        </w:rPr>
      </w:pPr>
    </w:p>
    <w:p>
      <w:pPr>
        <w:spacing w:after="0" w:line="27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(CUSIP Number)</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jc w:val="both"/>
        <w:ind w:left="1300" w:right="7379" w:firstLine="4"/>
        <w:spacing w:after="0" w:line="276" w:lineRule="exact"/>
        <w:tabs>
          <w:tab w:leader="none" w:pos="1543"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13d-1(c)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60" w:hanging="784"/>
        <w:spacing w:after="0"/>
        <w:tabs>
          <w:tab w:leader="none" w:pos="14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tcPr>
          <w:p>
            <w:pPr>
              <w:jc w:val="right"/>
              <w:ind w:right="232"/>
              <w:spacing w:after="0" w:line="209" w:lineRule="exact"/>
              <w:rPr>
                <w:sz w:val="20"/>
                <w:szCs w:val="20"/>
                <w:color w:val="auto"/>
              </w:rPr>
            </w:pPr>
            <w:r>
              <w:rPr>
                <w:rFonts w:ascii="Times New Roman" w:cs="Times New Roman" w:eastAsia="Times New Roman" w:hAnsi="Times New Roman"/>
                <w:sz w:val="22"/>
                <w:szCs w:val="22"/>
                <w:color w:val="auto"/>
              </w:rPr>
              <w:t>2</w:t>
            </w:r>
          </w:p>
        </w:tc>
        <w:tc>
          <w:tcPr>
            <w:tcW w:w="7620" w:type="dxa"/>
            <w:vAlign w:val="bottom"/>
            <w:tcBorders>
              <w:top w:val="single" w:sz="8" w:color="auto"/>
            </w:tcBorders>
          </w:tcPr>
          <w:p>
            <w:pPr>
              <w:ind w:left="340"/>
              <w:spacing w:after="0" w:line="209"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500" w:type="dxa"/>
            <w:vAlign w:val="bottom"/>
            <w:tcBorders>
              <w:top w:val="single" w:sz="8" w:color="auto"/>
            </w:tcBorders>
          </w:tcPr>
          <w:p>
            <w:pPr>
              <w:ind w:left="1220"/>
              <w:spacing w:after="0" w:line="209"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p>
        </w:tc>
      </w:tr>
      <w:tr>
        <w:trPr>
          <w:trHeight w:val="334"/>
        </w:trPr>
        <w:tc>
          <w:tcPr>
            <w:tcW w:w="11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00" w:type="dxa"/>
            <w:vAlign w:val="bottom"/>
          </w:tcPr>
          <w:p>
            <w:pPr>
              <w:ind w:left="122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hanging="784"/>
        <w:spacing w:after="0"/>
        <w:tabs>
          <w:tab w:leader="none" w:pos="14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36" w:lineRule="exact"/>
        <w:rPr>
          <w:sz w:val="20"/>
          <w:szCs w:val="20"/>
          <w:color w:val="auto"/>
        </w:rPr>
      </w:pPr>
    </w:p>
    <w:p>
      <w:pPr>
        <w:ind w:left="1460" w:right="5380" w:hanging="784"/>
        <w:spacing w:after="0" w:line="247" w:lineRule="auto"/>
        <w:tabs>
          <w:tab w:leader="none" w:pos="14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24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w:t>
            </w:r>
          </w:p>
        </w:tc>
        <w:tc>
          <w:tcPr>
            <w:tcW w:w="1100" w:type="dxa"/>
            <w:vAlign w:val="bottom"/>
            <w:tcBorders>
              <w:top w:val="single" w:sz="8" w:color="auto"/>
            </w:tcBorders>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5</w:t>
            </w:r>
          </w:p>
        </w:tc>
        <w:tc>
          <w:tcPr>
            <w:tcW w:w="7680" w:type="dxa"/>
            <w:vAlign w:val="bottom"/>
            <w:tcBorders>
              <w:top w:val="single" w:sz="8" w:color="auto"/>
            </w:tcBorders>
          </w:tcPr>
          <w:p>
            <w:pPr>
              <w:ind w:left="340"/>
              <w:spacing w:after="0" w:line="216"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162"/>
        </w:trPr>
        <w:tc>
          <w:tcPr>
            <w:tcW w:w="2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SHARES</w:t>
            </w:r>
          </w:p>
        </w:tc>
        <w:tc>
          <w:tcPr>
            <w:tcW w:w="110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6</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100" w:type="dxa"/>
            <w:vAlign w:val="bottom"/>
            <w:vMerge w:val="continue"/>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2,293,818 **</w:t>
            </w:r>
          </w:p>
        </w:tc>
        <w:tc>
          <w:tcPr>
            <w:tcW w:w="0" w:type="dxa"/>
            <w:vAlign w:val="bottom"/>
          </w:tcPr>
          <w:p>
            <w:pPr>
              <w:spacing w:after="0"/>
              <w:rPr>
                <w:sz w:val="1"/>
                <w:szCs w:val="1"/>
                <w:color w:val="auto"/>
              </w:rPr>
            </w:pPr>
          </w:p>
        </w:tc>
      </w:tr>
      <w:tr>
        <w:trPr>
          <w:trHeight w:val="142"/>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100" w:type="dxa"/>
            <w:vAlign w:val="bottom"/>
            <w:tcBorders>
              <w:bottom w:val="single" w:sz="8" w:color="auto"/>
            </w:tcBorders>
          </w:tcPr>
          <w:p>
            <w:pPr>
              <w:spacing w:after="0"/>
              <w:rPr>
                <w:sz w:val="12"/>
                <w:szCs w:val="12"/>
                <w:color w:val="auto"/>
              </w:rPr>
            </w:pPr>
          </w:p>
        </w:tc>
        <w:tc>
          <w:tcPr>
            <w:tcW w:w="7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7</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5"/>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100" w:type="dxa"/>
            <w:vAlign w:val="bottom"/>
            <w:vMerge w:val="continue"/>
          </w:tcPr>
          <w:p>
            <w:pPr>
              <w:spacing w:after="0"/>
              <w:rPr>
                <w:sz w:val="11"/>
                <w:szCs w:val="11"/>
                <w:color w:val="auto"/>
              </w:rPr>
            </w:pP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110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60" w:type="dxa"/>
            <w:vAlign w:val="bottom"/>
            <w:vMerge w:val="continue"/>
          </w:tcPr>
          <w:p>
            <w:pPr>
              <w:spacing w:after="0"/>
              <w:rPr>
                <w:sz w:val="4"/>
                <w:szCs w:val="4"/>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8</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62"/>
        </w:trPr>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PERSON WITH</w:t>
            </w:r>
          </w:p>
        </w:tc>
        <w:tc>
          <w:tcPr>
            <w:tcW w:w="1100" w:type="dxa"/>
            <w:vAlign w:val="bottom"/>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2,293,818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1920" w:hanging="784"/>
        <w:spacing w:after="0" w:line="237" w:lineRule="auto"/>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2,293,818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Borders>
              <w:top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10</w:t>
            </w:r>
          </w:p>
        </w:tc>
        <w:tc>
          <w:tcPr>
            <w:tcW w:w="8360" w:type="dxa"/>
            <w:vAlign w:val="bottom"/>
            <w:tcBorders>
              <w:top w:val="single" w:sz="8" w:color="auto"/>
            </w:tcBorders>
          </w:tcPr>
          <w:p>
            <w:pPr>
              <w:ind w:left="320"/>
              <w:spacing w:after="0" w:line="223" w:lineRule="exact"/>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740" w:type="dxa"/>
            <w:vAlign w:val="bottom"/>
            <w:tcBorders>
              <w:top w:val="single" w:sz="8" w:color="auto"/>
            </w:tcBorders>
          </w:tcPr>
          <w:p>
            <w:pPr>
              <w:ind w:left="460"/>
              <w:spacing w:after="0" w:line="221" w:lineRule="exact"/>
              <w:rPr>
                <w:sz w:val="20"/>
                <w:szCs w:val="20"/>
                <w:color w:val="auto"/>
              </w:rPr>
            </w:pPr>
            <w:r>
              <w:rPr>
                <w:rFonts w:ascii="MS PGothic" w:cs="MS PGothic" w:eastAsia="MS PGothic" w:hAnsi="MS PGothic"/>
                <w:sz w:val="22"/>
                <w:szCs w:val="22"/>
                <w:color w:val="auto"/>
              </w:rPr>
              <w:t>☐</w:t>
            </w:r>
          </w:p>
        </w:tc>
      </w:tr>
      <w:tr>
        <w:trPr>
          <w:trHeight w:val="282"/>
        </w:trPr>
        <w:tc>
          <w:tcPr>
            <w:tcW w:w="1140" w:type="dxa"/>
            <w:vAlign w:val="bottom"/>
          </w:tcPr>
          <w:p>
            <w:pPr>
              <w:spacing w:after="0"/>
              <w:rPr>
                <w:sz w:val="24"/>
                <w:szCs w:val="24"/>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SHARES*</w:t>
            </w:r>
          </w:p>
        </w:tc>
        <w:tc>
          <w:tcPr>
            <w:tcW w:w="1740" w:type="dxa"/>
            <w:vAlign w:val="bottom"/>
          </w:tcPr>
          <w:p>
            <w:pPr>
              <w:spacing w:after="0"/>
              <w:rPr>
                <w:sz w:val="24"/>
                <w:szCs w:val="24"/>
                <w:color w:val="auto"/>
              </w:rPr>
            </w:pPr>
          </w:p>
        </w:tc>
      </w:tr>
    </w:tbl>
    <w:p>
      <w:pPr>
        <w:spacing w:after="0" w:line="1" w:lineRule="exact"/>
        <w:rPr>
          <w:sz w:val="20"/>
          <w:szCs w:val="20"/>
          <w:color w:val="auto"/>
        </w:rPr>
      </w:pPr>
    </w:p>
    <w:p>
      <w:pPr>
        <w:ind w:left="1460" w:right="3860" w:hanging="834"/>
        <w:spacing w:after="0" w:line="249" w:lineRule="auto"/>
        <w:tabs>
          <w:tab w:leader="none" w:pos="14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8.2% **</w:t>
      </w:r>
    </w:p>
    <w:p>
      <w:pPr>
        <w:ind w:left="1460" w:right="6680" w:hanging="838"/>
        <w:spacing w:after="0" w:line="246" w:lineRule="auto"/>
        <w:tabs>
          <w:tab w:leader="none" w:pos="14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INSTRUCTIONS BEFORE FILLING OUT</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60" w:hanging="784"/>
        <w:spacing w:after="0"/>
        <w:tabs>
          <w:tab w:leader="none" w:pos="14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tcPr>
          <w:p>
            <w:pPr>
              <w:jc w:val="right"/>
              <w:ind w:right="232"/>
              <w:spacing w:after="0" w:line="209" w:lineRule="exact"/>
              <w:rPr>
                <w:sz w:val="20"/>
                <w:szCs w:val="20"/>
                <w:color w:val="auto"/>
              </w:rPr>
            </w:pPr>
            <w:r>
              <w:rPr>
                <w:rFonts w:ascii="Times New Roman" w:cs="Times New Roman" w:eastAsia="Times New Roman" w:hAnsi="Times New Roman"/>
                <w:sz w:val="22"/>
                <w:szCs w:val="22"/>
                <w:color w:val="auto"/>
              </w:rPr>
              <w:t>2</w:t>
            </w:r>
          </w:p>
        </w:tc>
        <w:tc>
          <w:tcPr>
            <w:tcW w:w="7620" w:type="dxa"/>
            <w:vAlign w:val="bottom"/>
            <w:tcBorders>
              <w:top w:val="single" w:sz="8" w:color="auto"/>
            </w:tcBorders>
          </w:tcPr>
          <w:p>
            <w:pPr>
              <w:ind w:left="340"/>
              <w:spacing w:after="0" w:line="209"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500" w:type="dxa"/>
            <w:vAlign w:val="bottom"/>
            <w:tcBorders>
              <w:top w:val="single" w:sz="8" w:color="auto"/>
            </w:tcBorders>
          </w:tcPr>
          <w:p>
            <w:pPr>
              <w:ind w:left="1220"/>
              <w:spacing w:after="0" w:line="209"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p>
        </w:tc>
      </w:tr>
      <w:tr>
        <w:trPr>
          <w:trHeight w:val="334"/>
        </w:trPr>
        <w:tc>
          <w:tcPr>
            <w:tcW w:w="11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00" w:type="dxa"/>
            <w:vAlign w:val="bottom"/>
          </w:tcPr>
          <w:p>
            <w:pPr>
              <w:ind w:left="122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hanging="784"/>
        <w:spacing w:after="0"/>
        <w:tabs>
          <w:tab w:leader="none" w:pos="14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36" w:lineRule="exact"/>
        <w:rPr>
          <w:sz w:val="20"/>
          <w:szCs w:val="20"/>
          <w:color w:val="auto"/>
        </w:rPr>
      </w:pPr>
    </w:p>
    <w:p>
      <w:pPr>
        <w:ind w:left="1460" w:right="5380" w:hanging="784"/>
        <w:spacing w:after="0" w:line="247" w:lineRule="auto"/>
        <w:tabs>
          <w:tab w:leader="none" w:pos="14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24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w:t>
            </w:r>
          </w:p>
        </w:tc>
        <w:tc>
          <w:tcPr>
            <w:tcW w:w="1100" w:type="dxa"/>
            <w:vAlign w:val="bottom"/>
            <w:tcBorders>
              <w:top w:val="single" w:sz="8" w:color="auto"/>
            </w:tcBorders>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5</w:t>
            </w:r>
          </w:p>
        </w:tc>
        <w:tc>
          <w:tcPr>
            <w:tcW w:w="7680" w:type="dxa"/>
            <w:vAlign w:val="bottom"/>
            <w:tcBorders>
              <w:top w:val="single" w:sz="8" w:color="auto"/>
            </w:tcBorders>
          </w:tcPr>
          <w:p>
            <w:pPr>
              <w:ind w:left="340"/>
              <w:spacing w:after="0" w:line="216"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162"/>
        </w:trPr>
        <w:tc>
          <w:tcPr>
            <w:tcW w:w="2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SHARES</w:t>
            </w:r>
          </w:p>
        </w:tc>
        <w:tc>
          <w:tcPr>
            <w:tcW w:w="110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6</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100" w:type="dxa"/>
            <w:vAlign w:val="bottom"/>
            <w:vMerge w:val="continue"/>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2,293,818 **</w:t>
            </w:r>
          </w:p>
        </w:tc>
        <w:tc>
          <w:tcPr>
            <w:tcW w:w="0" w:type="dxa"/>
            <w:vAlign w:val="bottom"/>
          </w:tcPr>
          <w:p>
            <w:pPr>
              <w:spacing w:after="0"/>
              <w:rPr>
                <w:sz w:val="1"/>
                <w:szCs w:val="1"/>
                <w:color w:val="auto"/>
              </w:rPr>
            </w:pPr>
          </w:p>
        </w:tc>
      </w:tr>
      <w:tr>
        <w:trPr>
          <w:trHeight w:val="142"/>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100" w:type="dxa"/>
            <w:vAlign w:val="bottom"/>
            <w:tcBorders>
              <w:bottom w:val="single" w:sz="8" w:color="auto"/>
            </w:tcBorders>
          </w:tcPr>
          <w:p>
            <w:pPr>
              <w:spacing w:after="0"/>
              <w:rPr>
                <w:sz w:val="12"/>
                <w:szCs w:val="12"/>
                <w:color w:val="auto"/>
              </w:rPr>
            </w:pPr>
          </w:p>
        </w:tc>
        <w:tc>
          <w:tcPr>
            <w:tcW w:w="7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7</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5"/>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100" w:type="dxa"/>
            <w:vAlign w:val="bottom"/>
            <w:vMerge w:val="continue"/>
          </w:tcPr>
          <w:p>
            <w:pPr>
              <w:spacing w:after="0"/>
              <w:rPr>
                <w:sz w:val="11"/>
                <w:szCs w:val="11"/>
                <w:color w:val="auto"/>
              </w:rPr>
            </w:pP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110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60" w:type="dxa"/>
            <w:vAlign w:val="bottom"/>
            <w:vMerge w:val="continue"/>
          </w:tcPr>
          <w:p>
            <w:pPr>
              <w:spacing w:after="0"/>
              <w:rPr>
                <w:sz w:val="4"/>
                <w:szCs w:val="4"/>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8</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62"/>
        </w:trPr>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PERSON WITH</w:t>
            </w:r>
          </w:p>
        </w:tc>
        <w:tc>
          <w:tcPr>
            <w:tcW w:w="1100" w:type="dxa"/>
            <w:vAlign w:val="bottom"/>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2,293,818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1920" w:hanging="784"/>
        <w:spacing w:after="0" w:line="237" w:lineRule="auto"/>
        <w:tabs>
          <w:tab w:leader="none" w:pos="14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2,293,818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Borders>
              <w:top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10</w:t>
            </w:r>
          </w:p>
        </w:tc>
        <w:tc>
          <w:tcPr>
            <w:tcW w:w="8360" w:type="dxa"/>
            <w:vAlign w:val="bottom"/>
            <w:tcBorders>
              <w:top w:val="single" w:sz="8" w:color="auto"/>
            </w:tcBorders>
          </w:tcPr>
          <w:p>
            <w:pPr>
              <w:ind w:left="320"/>
              <w:spacing w:after="0" w:line="223" w:lineRule="exact"/>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740" w:type="dxa"/>
            <w:vAlign w:val="bottom"/>
            <w:tcBorders>
              <w:top w:val="single" w:sz="8" w:color="auto"/>
            </w:tcBorders>
          </w:tcPr>
          <w:p>
            <w:pPr>
              <w:ind w:left="460"/>
              <w:spacing w:after="0" w:line="221" w:lineRule="exact"/>
              <w:rPr>
                <w:sz w:val="20"/>
                <w:szCs w:val="20"/>
                <w:color w:val="auto"/>
              </w:rPr>
            </w:pPr>
            <w:r>
              <w:rPr>
                <w:rFonts w:ascii="MS PGothic" w:cs="MS PGothic" w:eastAsia="MS PGothic" w:hAnsi="MS PGothic"/>
                <w:sz w:val="22"/>
                <w:szCs w:val="22"/>
                <w:color w:val="auto"/>
              </w:rPr>
              <w:t>☐</w:t>
            </w:r>
          </w:p>
        </w:tc>
      </w:tr>
      <w:tr>
        <w:trPr>
          <w:trHeight w:val="282"/>
        </w:trPr>
        <w:tc>
          <w:tcPr>
            <w:tcW w:w="1140" w:type="dxa"/>
            <w:vAlign w:val="bottom"/>
          </w:tcPr>
          <w:p>
            <w:pPr>
              <w:spacing w:after="0"/>
              <w:rPr>
                <w:sz w:val="24"/>
                <w:szCs w:val="24"/>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SHARES*</w:t>
            </w:r>
          </w:p>
        </w:tc>
        <w:tc>
          <w:tcPr>
            <w:tcW w:w="1740" w:type="dxa"/>
            <w:vAlign w:val="bottom"/>
          </w:tcPr>
          <w:p>
            <w:pPr>
              <w:spacing w:after="0"/>
              <w:rPr>
                <w:sz w:val="24"/>
                <w:szCs w:val="24"/>
                <w:color w:val="auto"/>
              </w:rPr>
            </w:pPr>
          </w:p>
        </w:tc>
      </w:tr>
    </w:tbl>
    <w:p>
      <w:pPr>
        <w:spacing w:after="0" w:line="1" w:lineRule="exact"/>
        <w:rPr>
          <w:sz w:val="20"/>
          <w:szCs w:val="20"/>
          <w:color w:val="auto"/>
        </w:rPr>
      </w:pPr>
    </w:p>
    <w:p>
      <w:pPr>
        <w:ind w:left="1460" w:right="3860" w:hanging="834"/>
        <w:spacing w:after="0" w:line="249" w:lineRule="auto"/>
        <w:tabs>
          <w:tab w:leader="none" w:pos="14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8.2% **</w:t>
      </w:r>
    </w:p>
    <w:p>
      <w:pPr>
        <w:ind w:left="1460" w:right="6680" w:hanging="838"/>
        <w:spacing w:after="0" w:line="246" w:lineRule="auto"/>
        <w:tabs>
          <w:tab w:leader="none" w:pos="14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60" w:hanging="784"/>
        <w:spacing w:after="0"/>
        <w:tabs>
          <w:tab w:leader="none" w:pos="14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tcPr>
          <w:p>
            <w:pPr>
              <w:jc w:val="right"/>
              <w:ind w:right="232"/>
              <w:spacing w:after="0" w:line="209" w:lineRule="exact"/>
              <w:rPr>
                <w:sz w:val="20"/>
                <w:szCs w:val="20"/>
                <w:color w:val="auto"/>
              </w:rPr>
            </w:pPr>
            <w:r>
              <w:rPr>
                <w:rFonts w:ascii="Times New Roman" w:cs="Times New Roman" w:eastAsia="Times New Roman" w:hAnsi="Times New Roman"/>
                <w:sz w:val="22"/>
                <w:szCs w:val="22"/>
                <w:color w:val="auto"/>
              </w:rPr>
              <w:t>2</w:t>
            </w:r>
          </w:p>
        </w:tc>
        <w:tc>
          <w:tcPr>
            <w:tcW w:w="7620" w:type="dxa"/>
            <w:vAlign w:val="bottom"/>
            <w:tcBorders>
              <w:top w:val="single" w:sz="8" w:color="auto"/>
            </w:tcBorders>
          </w:tcPr>
          <w:p>
            <w:pPr>
              <w:ind w:left="340"/>
              <w:spacing w:after="0" w:line="209"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500" w:type="dxa"/>
            <w:vAlign w:val="bottom"/>
            <w:tcBorders>
              <w:top w:val="single" w:sz="8" w:color="auto"/>
            </w:tcBorders>
          </w:tcPr>
          <w:p>
            <w:pPr>
              <w:ind w:left="1220"/>
              <w:spacing w:after="0" w:line="209"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p>
        </w:tc>
      </w:tr>
      <w:tr>
        <w:trPr>
          <w:trHeight w:val="334"/>
        </w:trPr>
        <w:tc>
          <w:tcPr>
            <w:tcW w:w="11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00" w:type="dxa"/>
            <w:vAlign w:val="bottom"/>
          </w:tcPr>
          <w:p>
            <w:pPr>
              <w:ind w:left="122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hanging="784"/>
        <w:spacing w:after="0"/>
        <w:tabs>
          <w:tab w:leader="none" w:pos="14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36" w:lineRule="exact"/>
        <w:rPr>
          <w:sz w:val="20"/>
          <w:szCs w:val="20"/>
          <w:color w:val="auto"/>
        </w:rPr>
      </w:pPr>
    </w:p>
    <w:p>
      <w:pPr>
        <w:ind w:left="1460" w:right="5380" w:hanging="784"/>
        <w:spacing w:after="0" w:line="247" w:lineRule="auto"/>
        <w:tabs>
          <w:tab w:leader="none" w:pos="14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24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w:t>
            </w:r>
          </w:p>
        </w:tc>
        <w:tc>
          <w:tcPr>
            <w:tcW w:w="1100" w:type="dxa"/>
            <w:vAlign w:val="bottom"/>
            <w:tcBorders>
              <w:top w:val="single" w:sz="8" w:color="auto"/>
            </w:tcBorders>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5</w:t>
            </w:r>
          </w:p>
        </w:tc>
        <w:tc>
          <w:tcPr>
            <w:tcW w:w="7680" w:type="dxa"/>
            <w:vAlign w:val="bottom"/>
            <w:tcBorders>
              <w:top w:val="single" w:sz="8" w:color="auto"/>
            </w:tcBorders>
          </w:tcPr>
          <w:p>
            <w:pPr>
              <w:ind w:left="340"/>
              <w:spacing w:after="0" w:line="216"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162"/>
        </w:trPr>
        <w:tc>
          <w:tcPr>
            <w:tcW w:w="2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SHARES</w:t>
            </w:r>
          </w:p>
        </w:tc>
        <w:tc>
          <w:tcPr>
            <w:tcW w:w="110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6</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100" w:type="dxa"/>
            <w:vAlign w:val="bottom"/>
            <w:vMerge w:val="continue"/>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2,293,818 **</w:t>
            </w:r>
          </w:p>
        </w:tc>
        <w:tc>
          <w:tcPr>
            <w:tcW w:w="0" w:type="dxa"/>
            <w:vAlign w:val="bottom"/>
          </w:tcPr>
          <w:p>
            <w:pPr>
              <w:spacing w:after="0"/>
              <w:rPr>
                <w:sz w:val="1"/>
                <w:szCs w:val="1"/>
                <w:color w:val="auto"/>
              </w:rPr>
            </w:pPr>
          </w:p>
        </w:tc>
      </w:tr>
      <w:tr>
        <w:trPr>
          <w:trHeight w:val="142"/>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100" w:type="dxa"/>
            <w:vAlign w:val="bottom"/>
            <w:tcBorders>
              <w:bottom w:val="single" w:sz="8" w:color="auto"/>
            </w:tcBorders>
          </w:tcPr>
          <w:p>
            <w:pPr>
              <w:spacing w:after="0"/>
              <w:rPr>
                <w:sz w:val="12"/>
                <w:szCs w:val="12"/>
                <w:color w:val="auto"/>
              </w:rPr>
            </w:pPr>
          </w:p>
        </w:tc>
        <w:tc>
          <w:tcPr>
            <w:tcW w:w="7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7</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5"/>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100" w:type="dxa"/>
            <w:vAlign w:val="bottom"/>
            <w:vMerge w:val="continue"/>
          </w:tcPr>
          <w:p>
            <w:pPr>
              <w:spacing w:after="0"/>
              <w:rPr>
                <w:sz w:val="11"/>
                <w:szCs w:val="11"/>
                <w:color w:val="auto"/>
              </w:rPr>
            </w:pP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110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60" w:type="dxa"/>
            <w:vAlign w:val="bottom"/>
            <w:vMerge w:val="continue"/>
          </w:tcPr>
          <w:p>
            <w:pPr>
              <w:spacing w:after="0"/>
              <w:rPr>
                <w:sz w:val="4"/>
                <w:szCs w:val="4"/>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8</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62"/>
        </w:trPr>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PERSON WITH</w:t>
            </w:r>
          </w:p>
        </w:tc>
        <w:tc>
          <w:tcPr>
            <w:tcW w:w="1100" w:type="dxa"/>
            <w:vAlign w:val="bottom"/>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2,293,818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1920" w:hanging="784"/>
        <w:spacing w:after="0" w:line="237" w:lineRule="auto"/>
        <w:tabs>
          <w:tab w:leader="none" w:pos="14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2,293,818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Borders>
              <w:top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10</w:t>
            </w:r>
          </w:p>
        </w:tc>
        <w:tc>
          <w:tcPr>
            <w:tcW w:w="8360" w:type="dxa"/>
            <w:vAlign w:val="bottom"/>
            <w:tcBorders>
              <w:top w:val="single" w:sz="8" w:color="auto"/>
            </w:tcBorders>
          </w:tcPr>
          <w:p>
            <w:pPr>
              <w:ind w:left="320"/>
              <w:spacing w:after="0" w:line="223" w:lineRule="exact"/>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740" w:type="dxa"/>
            <w:vAlign w:val="bottom"/>
            <w:tcBorders>
              <w:top w:val="single" w:sz="8" w:color="auto"/>
            </w:tcBorders>
          </w:tcPr>
          <w:p>
            <w:pPr>
              <w:ind w:left="460"/>
              <w:spacing w:after="0" w:line="221" w:lineRule="exact"/>
              <w:rPr>
                <w:sz w:val="20"/>
                <w:szCs w:val="20"/>
                <w:color w:val="auto"/>
              </w:rPr>
            </w:pPr>
            <w:r>
              <w:rPr>
                <w:rFonts w:ascii="MS PGothic" w:cs="MS PGothic" w:eastAsia="MS PGothic" w:hAnsi="MS PGothic"/>
                <w:sz w:val="22"/>
                <w:szCs w:val="22"/>
                <w:color w:val="auto"/>
              </w:rPr>
              <w:t>☐</w:t>
            </w:r>
          </w:p>
        </w:tc>
      </w:tr>
      <w:tr>
        <w:trPr>
          <w:trHeight w:val="282"/>
        </w:trPr>
        <w:tc>
          <w:tcPr>
            <w:tcW w:w="1140" w:type="dxa"/>
            <w:vAlign w:val="bottom"/>
          </w:tcPr>
          <w:p>
            <w:pPr>
              <w:spacing w:after="0"/>
              <w:rPr>
                <w:sz w:val="24"/>
                <w:szCs w:val="24"/>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SHARES*</w:t>
            </w:r>
          </w:p>
        </w:tc>
        <w:tc>
          <w:tcPr>
            <w:tcW w:w="1740" w:type="dxa"/>
            <w:vAlign w:val="bottom"/>
          </w:tcPr>
          <w:p>
            <w:pPr>
              <w:spacing w:after="0"/>
              <w:rPr>
                <w:sz w:val="24"/>
                <w:szCs w:val="24"/>
                <w:color w:val="auto"/>
              </w:rPr>
            </w:pPr>
          </w:p>
        </w:tc>
      </w:tr>
    </w:tbl>
    <w:p>
      <w:pPr>
        <w:spacing w:after="0" w:line="1" w:lineRule="exact"/>
        <w:rPr>
          <w:sz w:val="20"/>
          <w:szCs w:val="20"/>
          <w:color w:val="auto"/>
        </w:rPr>
      </w:pPr>
    </w:p>
    <w:p>
      <w:pPr>
        <w:ind w:left="1460" w:right="3860" w:hanging="834"/>
        <w:spacing w:after="0" w:line="249" w:lineRule="auto"/>
        <w:tabs>
          <w:tab w:leader="none" w:pos="14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8.2%**</w:t>
      </w:r>
    </w:p>
    <w:p>
      <w:pPr>
        <w:ind w:left="1460" w:right="6680" w:hanging="838"/>
        <w:spacing w:after="0" w:line="246" w:lineRule="auto"/>
        <w:tabs>
          <w:tab w:leader="none" w:pos="14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INSTRUCTIONS BEFORE FILLING OUT</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60" w:hanging="784"/>
        <w:spacing w:after="0"/>
        <w:tabs>
          <w:tab w:leader="none" w:pos="14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Stuart J. Zimmer</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20" w:type="dxa"/>
            <w:vAlign w:val="bottom"/>
            <w:tcBorders>
              <w:top w:val="single" w:sz="8" w:color="auto"/>
            </w:tcBorders>
          </w:tcPr>
          <w:p>
            <w:pPr>
              <w:jc w:val="right"/>
              <w:ind w:right="232"/>
              <w:spacing w:after="0" w:line="209" w:lineRule="exact"/>
              <w:rPr>
                <w:sz w:val="20"/>
                <w:szCs w:val="20"/>
                <w:color w:val="auto"/>
              </w:rPr>
            </w:pPr>
            <w:r>
              <w:rPr>
                <w:rFonts w:ascii="Times New Roman" w:cs="Times New Roman" w:eastAsia="Times New Roman" w:hAnsi="Times New Roman"/>
                <w:sz w:val="22"/>
                <w:szCs w:val="22"/>
                <w:color w:val="auto"/>
              </w:rPr>
              <w:t>2</w:t>
            </w:r>
          </w:p>
        </w:tc>
        <w:tc>
          <w:tcPr>
            <w:tcW w:w="7620" w:type="dxa"/>
            <w:vAlign w:val="bottom"/>
            <w:tcBorders>
              <w:top w:val="single" w:sz="8" w:color="auto"/>
            </w:tcBorders>
          </w:tcPr>
          <w:p>
            <w:pPr>
              <w:ind w:left="340"/>
              <w:spacing w:after="0" w:line="209"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500" w:type="dxa"/>
            <w:vAlign w:val="bottom"/>
            <w:tcBorders>
              <w:top w:val="single" w:sz="8" w:color="auto"/>
            </w:tcBorders>
          </w:tcPr>
          <w:p>
            <w:pPr>
              <w:ind w:left="1220"/>
              <w:spacing w:after="0" w:line="209"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p>
        </w:tc>
      </w:tr>
      <w:tr>
        <w:trPr>
          <w:trHeight w:val="334"/>
        </w:trPr>
        <w:tc>
          <w:tcPr>
            <w:tcW w:w="11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00" w:type="dxa"/>
            <w:vAlign w:val="bottom"/>
          </w:tcPr>
          <w:p>
            <w:pPr>
              <w:ind w:left="122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hanging="784"/>
        <w:spacing w:after="0"/>
        <w:tabs>
          <w:tab w:leader="none" w:pos="14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36" w:lineRule="exact"/>
        <w:rPr>
          <w:sz w:val="20"/>
          <w:szCs w:val="20"/>
          <w:color w:val="auto"/>
        </w:rPr>
      </w:pPr>
    </w:p>
    <w:p>
      <w:pPr>
        <w:ind w:left="1460" w:right="5380" w:hanging="784"/>
        <w:spacing w:after="0" w:line="247" w:lineRule="auto"/>
        <w:tabs>
          <w:tab w:leader="none" w:pos="14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24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w:t>
            </w:r>
          </w:p>
        </w:tc>
        <w:tc>
          <w:tcPr>
            <w:tcW w:w="1100" w:type="dxa"/>
            <w:vAlign w:val="bottom"/>
            <w:tcBorders>
              <w:top w:val="single" w:sz="8" w:color="auto"/>
            </w:tcBorders>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5</w:t>
            </w:r>
          </w:p>
        </w:tc>
        <w:tc>
          <w:tcPr>
            <w:tcW w:w="7680" w:type="dxa"/>
            <w:vAlign w:val="bottom"/>
            <w:tcBorders>
              <w:top w:val="single" w:sz="8" w:color="auto"/>
            </w:tcBorders>
          </w:tcPr>
          <w:p>
            <w:pPr>
              <w:ind w:left="340"/>
              <w:spacing w:after="0" w:line="216"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162"/>
        </w:trPr>
        <w:tc>
          <w:tcPr>
            <w:tcW w:w="2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15"/>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9"/>
              </w:rPr>
              <w:t>SHARES</w:t>
            </w:r>
          </w:p>
        </w:tc>
        <w:tc>
          <w:tcPr>
            <w:tcW w:w="110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6</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100" w:type="dxa"/>
            <w:vAlign w:val="bottom"/>
            <w:vMerge w:val="continue"/>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2,293,818 **</w:t>
            </w:r>
          </w:p>
        </w:tc>
        <w:tc>
          <w:tcPr>
            <w:tcW w:w="0" w:type="dxa"/>
            <w:vAlign w:val="bottom"/>
          </w:tcPr>
          <w:p>
            <w:pPr>
              <w:spacing w:after="0"/>
              <w:rPr>
                <w:sz w:val="1"/>
                <w:szCs w:val="1"/>
                <w:color w:val="auto"/>
              </w:rPr>
            </w:pPr>
          </w:p>
        </w:tc>
      </w:tr>
      <w:tr>
        <w:trPr>
          <w:trHeight w:val="142"/>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OWNED BY</w:t>
            </w:r>
          </w:p>
        </w:tc>
        <w:tc>
          <w:tcPr>
            <w:tcW w:w="1100" w:type="dxa"/>
            <w:vAlign w:val="bottom"/>
            <w:tcBorders>
              <w:bottom w:val="single" w:sz="8" w:color="auto"/>
            </w:tcBorders>
          </w:tcPr>
          <w:p>
            <w:pPr>
              <w:spacing w:after="0"/>
              <w:rPr>
                <w:sz w:val="12"/>
                <w:szCs w:val="12"/>
                <w:color w:val="auto"/>
              </w:rPr>
            </w:pPr>
          </w:p>
        </w:tc>
        <w:tc>
          <w:tcPr>
            <w:tcW w:w="7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7</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5"/>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100" w:type="dxa"/>
            <w:vAlign w:val="bottom"/>
            <w:vMerge w:val="continue"/>
          </w:tcPr>
          <w:p>
            <w:pPr>
              <w:spacing w:after="0"/>
              <w:rPr>
                <w:sz w:val="11"/>
                <w:szCs w:val="11"/>
                <w:color w:val="auto"/>
              </w:rPr>
            </w:pP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69"/>
        </w:trPr>
        <w:tc>
          <w:tcPr>
            <w:tcW w:w="2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110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60" w:type="dxa"/>
            <w:vAlign w:val="bottom"/>
            <w:vMerge w:val="continue"/>
          </w:tcPr>
          <w:p>
            <w:pPr>
              <w:spacing w:after="0"/>
              <w:rPr>
                <w:sz w:val="4"/>
                <w:szCs w:val="4"/>
                <w:color w:val="auto"/>
              </w:rPr>
            </w:pPr>
          </w:p>
        </w:tc>
        <w:tc>
          <w:tcPr>
            <w:tcW w:w="1100" w:type="dxa"/>
            <w:vAlign w:val="bottom"/>
            <w:vMerge w:val="restart"/>
          </w:tcPr>
          <w:p>
            <w:pPr>
              <w:jc w:val="right"/>
              <w:ind w:right="212"/>
              <w:spacing w:after="0" w:line="216" w:lineRule="exact"/>
              <w:rPr>
                <w:sz w:val="20"/>
                <w:szCs w:val="20"/>
                <w:color w:val="auto"/>
              </w:rPr>
            </w:pPr>
            <w:r>
              <w:rPr>
                <w:rFonts w:ascii="Times New Roman" w:cs="Times New Roman" w:eastAsia="Times New Roman" w:hAnsi="Times New Roman"/>
                <w:sz w:val="22"/>
                <w:szCs w:val="22"/>
                <w:color w:val="auto"/>
              </w:rPr>
              <w:t>8</w:t>
            </w:r>
          </w:p>
        </w:tc>
        <w:tc>
          <w:tcPr>
            <w:tcW w:w="7680" w:type="dxa"/>
            <w:vAlign w:val="bottom"/>
            <w:vMerge w:val="restart"/>
          </w:tcPr>
          <w:p>
            <w:pPr>
              <w:ind w:left="340"/>
              <w:spacing w:after="0" w:line="216"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162"/>
        </w:trPr>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PERSON WITH</w:t>
            </w:r>
          </w:p>
        </w:tc>
        <w:tc>
          <w:tcPr>
            <w:tcW w:w="1100" w:type="dxa"/>
            <w:vAlign w:val="bottom"/>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2,293,818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1920" w:hanging="784"/>
        <w:spacing w:after="0" w:line="237" w:lineRule="auto"/>
        <w:tabs>
          <w:tab w:leader="none" w:pos="14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2,293,818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Borders>
              <w:top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10</w:t>
            </w:r>
          </w:p>
        </w:tc>
        <w:tc>
          <w:tcPr>
            <w:tcW w:w="8360" w:type="dxa"/>
            <w:vAlign w:val="bottom"/>
            <w:tcBorders>
              <w:top w:val="single" w:sz="8" w:color="auto"/>
            </w:tcBorders>
          </w:tcPr>
          <w:p>
            <w:pPr>
              <w:ind w:left="320"/>
              <w:spacing w:after="0" w:line="223" w:lineRule="exact"/>
              <w:rPr>
                <w:sz w:val="20"/>
                <w:szCs w:val="20"/>
                <w:color w:val="auto"/>
              </w:rPr>
            </w:pPr>
            <w:r>
              <w:rPr>
                <w:rFonts w:ascii="Times New Roman" w:cs="Times New Roman" w:eastAsia="Times New Roman" w:hAnsi="Times New Roman"/>
                <w:sz w:val="22"/>
                <w:szCs w:val="22"/>
                <w:color w:val="auto"/>
              </w:rPr>
              <w:t>CHECK BOX IF THE AGGREGATE AMOUNT IN ROW (9) EXCLUDES CERTAIN</w:t>
            </w:r>
          </w:p>
        </w:tc>
        <w:tc>
          <w:tcPr>
            <w:tcW w:w="1740" w:type="dxa"/>
            <w:vAlign w:val="bottom"/>
            <w:tcBorders>
              <w:top w:val="single" w:sz="8" w:color="auto"/>
            </w:tcBorders>
          </w:tcPr>
          <w:p>
            <w:pPr>
              <w:ind w:left="460"/>
              <w:spacing w:after="0" w:line="221" w:lineRule="exact"/>
              <w:rPr>
                <w:sz w:val="20"/>
                <w:szCs w:val="20"/>
                <w:color w:val="auto"/>
              </w:rPr>
            </w:pPr>
            <w:r>
              <w:rPr>
                <w:rFonts w:ascii="MS PGothic" w:cs="MS PGothic" w:eastAsia="MS PGothic" w:hAnsi="MS PGothic"/>
                <w:sz w:val="22"/>
                <w:szCs w:val="22"/>
                <w:color w:val="auto"/>
              </w:rPr>
              <w:t>☐</w:t>
            </w:r>
          </w:p>
        </w:tc>
      </w:tr>
      <w:tr>
        <w:trPr>
          <w:trHeight w:val="282"/>
        </w:trPr>
        <w:tc>
          <w:tcPr>
            <w:tcW w:w="1140" w:type="dxa"/>
            <w:vAlign w:val="bottom"/>
          </w:tcPr>
          <w:p>
            <w:pPr>
              <w:spacing w:after="0"/>
              <w:rPr>
                <w:sz w:val="24"/>
                <w:szCs w:val="24"/>
                <w:color w:val="auto"/>
              </w:rPr>
            </w:pPr>
          </w:p>
        </w:tc>
        <w:tc>
          <w:tcPr>
            <w:tcW w:w="83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SHARES*</w:t>
            </w:r>
          </w:p>
        </w:tc>
        <w:tc>
          <w:tcPr>
            <w:tcW w:w="1740" w:type="dxa"/>
            <w:vAlign w:val="bottom"/>
          </w:tcPr>
          <w:p>
            <w:pPr>
              <w:spacing w:after="0"/>
              <w:rPr>
                <w:sz w:val="24"/>
                <w:szCs w:val="24"/>
                <w:color w:val="auto"/>
              </w:rPr>
            </w:pPr>
          </w:p>
        </w:tc>
      </w:tr>
    </w:tbl>
    <w:p>
      <w:pPr>
        <w:spacing w:after="0" w:line="1" w:lineRule="exact"/>
        <w:rPr>
          <w:sz w:val="20"/>
          <w:szCs w:val="20"/>
          <w:color w:val="auto"/>
        </w:rPr>
      </w:pPr>
    </w:p>
    <w:p>
      <w:pPr>
        <w:ind w:left="1460" w:right="3860" w:hanging="834"/>
        <w:spacing w:after="0" w:line="249" w:lineRule="auto"/>
        <w:tabs>
          <w:tab w:leader="none" w:pos="14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8.2%**</w:t>
      </w:r>
    </w:p>
    <w:p>
      <w:pPr>
        <w:ind w:left="1460" w:right="6680" w:hanging="838"/>
        <w:spacing w:after="0" w:line="246" w:lineRule="auto"/>
        <w:tabs>
          <w:tab w:leader="none" w:pos="14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INSTRUCTIONS BEFORE FILLING OUT</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1 TO SCHEDULE 13G</w:t>
      </w:r>
    </w:p>
    <w:p>
      <w:pPr>
        <w:spacing w:after="0" w:line="23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Amendment No. 1 to Schedule 13G (this “Amendment”) is being filed on behalf of Zimmer Partners, LP, a Delaware limited partnership (the “Investment Manager”), Zimmer Financial Services Group LLC, a Delaware limited liability company (“ZFSG”), Zimmer Partners GP, LLC, a Delaware limited liability company (the “GP”), and Stuart J. Zimmer (collectively, the “Reporting Persons”). ZFSG is the sole member of the GP. Stuart J. Zimmer, and a trust for his benefit are the sole members of ZFSG. The GP is the general partner of the Investment Manager. The Investment Manager is the investment manager of ZP Master Utility Fund, Ltd. (the “Master Fund”) and ZP Master MidCap Fund, Ltd. (together with the Master Fund, the “Zimmer Accounts”). This Amendment relates to Class A Common Stock of OPAL Fuels Inc., a Delaware Corporation, held by the Zimmer Accounts.</w:t>
      </w:r>
    </w:p>
    <w:p>
      <w:pPr>
        <w:spacing w:after="0" w:line="17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OPAL Fuels Inc. (the “Issuer”)</w:t>
      </w:r>
    </w:p>
    <w:p>
      <w:pPr>
        <w:spacing w:after="0" w:line="20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1(b)</w:t>
      </w:r>
      <w:r>
        <w:rPr>
          <w:sz w:val="20"/>
          <w:szCs w:val="20"/>
          <w:color w:val="auto"/>
        </w:rPr>
        <w:tab/>
      </w:r>
      <w:r>
        <w:rPr>
          <w:rFonts w:ascii="Times New Roman" w:cs="Times New Roman" w:eastAsia="Times New Roman" w:hAnsi="Times New Roman"/>
          <w:sz w:val="21"/>
          <w:szCs w:val="21"/>
          <w:b w:val="1"/>
          <w:bCs w:val="1"/>
          <w:color w:val="auto"/>
        </w:rPr>
        <w:t>Address of Issuer’s Principal Executive Offices.</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North Lexington Avenue, Suite 1450</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White Plains, New York 10601</w:t>
      </w:r>
    </w:p>
    <w:p>
      <w:pPr>
        <w:spacing w:after="0" w:line="20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Item 2(a)</w:t>
      </w:r>
      <w:r>
        <w:rPr>
          <w:sz w:val="20"/>
          <w:szCs w:val="20"/>
          <w:color w:val="auto"/>
        </w:rPr>
        <w:tab/>
      </w:r>
      <w:r>
        <w:rPr>
          <w:rFonts w:ascii="Times New Roman" w:cs="Times New Roman" w:eastAsia="Times New Roman" w:hAnsi="Times New Roman"/>
          <w:sz w:val="21"/>
          <w:szCs w:val="21"/>
          <w:b w:val="1"/>
          <w:bCs w:val="1"/>
          <w:color w:val="auto"/>
        </w:rPr>
        <w:t>Name of Person Filing.</w:t>
      </w:r>
    </w:p>
    <w:p>
      <w:pPr>
        <w:spacing w:after="0" w:line="237" w:lineRule="exact"/>
        <w:rPr>
          <w:sz w:val="20"/>
          <w:szCs w:val="20"/>
          <w:color w:val="auto"/>
        </w:rPr>
      </w:pPr>
    </w:p>
    <w:p>
      <w:pPr>
        <w:ind w:left="2200" w:hanging="896"/>
        <w:spacing w:after="0"/>
        <w:tabs>
          <w:tab w:leader="none" w:pos="22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Zimmer Partners, LP</w:t>
      </w:r>
    </w:p>
    <w:p>
      <w:pPr>
        <w:spacing w:after="0" w:line="14" w:lineRule="exact"/>
        <w:rPr>
          <w:rFonts w:ascii="Times New Roman" w:cs="Times New Roman" w:eastAsia="Times New Roman" w:hAnsi="Times New Roman"/>
          <w:sz w:val="22"/>
          <w:szCs w:val="22"/>
          <w:color w:val="auto"/>
        </w:rPr>
      </w:pPr>
    </w:p>
    <w:p>
      <w:pPr>
        <w:ind w:left="2200" w:hanging="896"/>
        <w:spacing w:after="0" w:line="230" w:lineRule="auto"/>
        <w:tabs>
          <w:tab w:leader="none" w:pos="22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Zimmer Financial Services Group LLC</w:t>
      </w:r>
    </w:p>
    <w:p>
      <w:pPr>
        <w:ind w:left="2200" w:hanging="896"/>
        <w:spacing w:after="0" w:line="230" w:lineRule="auto"/>
        <w:tabs>
          <w:tab w:leader="none" w:pos="22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Zimmer Partners GP, LLC</w:t>
      </w:r>
    </w:p>
    <w:p>
      <w:pPr>
        <w:ind w:left="2200" w:hanging="896"/>
        <w:spacing w:after="0"/>
        <w:tabs>
          <w:tab w:leader="none" w:pos="22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Stuart J. Zimmer</w:t>
      </w:r>
    </w:p>
    <w:p>
      <w:pPr>
        <w:spacing w:after="0" w:line="20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2(b)</w:t>
      </w:r>
      <w:r>
        <w:rPr>
          <w:sz w:val="20"/>
          <w:szCs w:val="20"/>
          <w:color w:val="auto"/>
        </w:rPr>
        <w:tab/>
      </w:r>
      <w:r>
        <w:rPr>
          <w:rFonts w:ascii="Times New Roman" w:cs="Times New Roman" w:eastAsia="Times New Roman" w:hAnsi="Times New Roman"/>
          <w:sz w:val="21"/>
          <w:szCs w:val="21"/>
          <w:b w:val="1"/>
          <w:bCs w:val="1"/>
          <w:color w:val="auto"/>
        </w:rPr>
        <w:t>Address of Principal Business Office, or, if none, Residence.</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all Filers:</w:t>
      </w:r>
    </w:p>
    <w:p>
      <w:pPr>
        <w:ind w:left="1300"/>
        <w:spacing w:after="0" w:line="184" w:lineRule="auto"/>
        <w:rPr>
          <w:sz w:val="20"/>
          <w:szCs w:val="20"/>
          <w:color w:val="auto"/>
        </w:rPr>
      </w:pPr>
      <w:r>
        <w:rPr>
          <w:rFonts w:ascii="Times New Roman" w:cs="Times New Roman" w:eastAsia="Times New Roman" w:hAnsi="Times New Roman"/>
          <w:sz w:val="19"/>
          <w:szCs w:val="19"/>
          <w:color w:val="auto"/>
        </w:rPr>
        <w:t>9 West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9"/>
          <w:szCs w:val="19"/>
          <w:color w:val="auto"/>
        </w:rPr>
        <w:t xml:space="preserve"> Street, 33rd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Item 2(c)</w:t>
      </w:r>
      <w:r>
        <w:rPr>
          <w:sz w:val="20"/>
          <w:szCs w:val="20"/>
          <w:color w:val="auto"/>
        </w:rPr>
        <w:tab/>
      </w:r>
      <w:r>
        <w:rPr>
          <w:rFonts w:ascii="Times New Roman" w:cs="Times New Roman" w:eastAsia="Times New Roman" w:hAnsi="Times New Roman"/>
          <w:sz w:val="21"/>
          <w:szCs w:val="21"/>
          <w:b w:val="1"/>
          <w:bCs w:val="1"/>
          <w:color w:val="auto"/>
        </w:rPr>
        <w:t>Citizenship or Place of Organization.</w:t>
      </w:r>
    </w:p>
    <w:p>
      <w:pPr>
        <w:spacing w:after="0" w:line="237" w:lineRule="exact"/>
        <w:rPr>
          <w:sz w:val="20"/>
          <w:szCs w:val="20"/>
          <w:color w:val="auto"/>
        </w:rPr>
      </w:pPr>
    </w:p>
    <w:p>
      <w:pPr>
        <w:ind w:left="2200" w:hanging="896"/>
        <w:spacing w:after="0"/>
        <w:tabs>
          <w:tab w:leader="none" w:pos="22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Zimmer Partners, LP is a Delaware limited partnership.</w:t>
      </w:r>
    </w:p>
    <w:p>
      <w:pPr>
        <w:spacing w:after="0" w:line="14" w:lineRule="exact"/>
        <w:rPr>
          <w:rFonts w:ascii="Times New Roman" w:cs="Times New Roman" w:eastAsia="Times New Roman" w:hAnsi="Times New Roman"/>
          <w:sz w:val="22"/>
          <w:szCs w:val="22"/>
          <w:color w:val="auto"/>
        </w:rPr>
      </w:pPr>
    </w:p>
    <w:p>
      <w:pPr>
        <w:ind w:left="2200" w:hanging="896"/>
        <w:spacing w:after="0" w:line="230" w:lineRule="auto"/>
        <w:tabs>
          <w:tab w:leader="none" w:pos="22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Zimmer Financial Services Group LLC is a Delaware limited liability company.</w:t>
      </w:r>
    </w:p>
    <w:p>
      <w:pPr>
        <w:ind w:left="2200" w:hanging="896"/>
        <w:spacing w:after="0" w:line="230" w:lineRule="auto"/>
        <w:tabs>
          <w:tab w:leader="none" w:pos="22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Zimmer Partners GP, LLC is a Delaware limited liability company.</w:t>
      </w:r>
    </w:p>
    <w:p>
      <w:pPr>
        <w:ind w:left="2200" w:hanging="896"/>
        <w:spacing w:after="0"/>
        <w:tabs>
          <w:tab w:leader="none" w:pos="22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Stuart J. Zimmer is a U.S. citizen.</w:t>
      </w:r>
    </w:p>
    <w:p>
      <w:pPr>
        <w:spacing w:after="0" w:line="20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2(d)</w:t>
      </w:r>
      <w:r>
        <w:rPr>
          <w:sz w:val="20"/>
          <w:szCs w:val="20"/>
          <w:color w:val="auto"/>
        </w:rPr>
        <w:tab/>
      </w:r>
      <w:r>
        <w:rPr>
          <w:rFonts w:ascii="Times New Roman" w:cs="Times New Roman" w:eastAsia="Times New Roman" w:hAnsi="Times New Roman"/>
          <w:sz w:val="21"/>
          <w:szCs w:val="21"/>
          <w:b w:val="1"/>
          <w:bCs w:val="1"/>
          <w:color w:val="auto"/>
        </w:rPr>
        <w:t>Title of Class of Securities.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Class A Common Stock, par value $0.0001 per share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Item 2(e)</w:t>
      </w:r>
      <w:r>
        <w:rPr>
          <w:sz w:val="20"/>
          <w:szCs w:val="20"/>
          <w:color w:val="auto"/>
        </w:rPr>
        <w:tab/>
      </w:r>
      <w:r>
        <w:rPr>
          <w:rFonts w:ascii="Times New Roman" w:cs="Times New Roman" w:eastAsia="Times New Roman" w:hAnsi="Times New Roman"/>
          <w:sz w:val="21"/>
          <w:szCs w:val="21"/>
          <w:b w:val="1"/>
          <w:bCs w:val="1"/>
          <w:color w:val="auto"/>
        </w:rPr>
        <w:t>CUSIP Number.</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68347P103</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If this statement is filed pursuant to Rule 13d-1(b), or 13d-2(b), check whether the person filing is a:</w:t>
      </w:r>
    </w:p>
    <w:p>
      <w:pPr>
        <w:spacing w:after="0" w:line="200" w:lineRule="exact"/>
        <w:rPr>
          <w:sz w:val="20"/>
          <w:szCs w:val="20"/>
          <w:color w:val="auto"/>
        </w:rPr>
      </w:pPr>
    </w:p>
    <w:p>
      <w:pPr>
        <w:spacing w:after="0" w:line="246" w:lineRule="exact"/>
        <w:rPr>
          <w:sz w:val="20"/>
          <w:szCs w:val="20"/>
          <w:color w:val="auto"/>
        </w:rPr>
      </w:pPr>
    </w:p>
    <w:p>
      <w:pPr>
        <w:ind w:left="840" w:hanging="508"/>
        <w:spacing w:after="0" w:line="253" w:lineRule="exact"/>
        <w:tabs>
          <w:tab w:leader="none" w:pos="84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Broker or dealer registered under section 15 of the Act (15 U.S.C. 78o).</w:t>
      </w:r>
    </w:p>
    <w:p>
      <w:pPr>
        <w:spacing w:after="0" w:line="219" w:lineRule="exact"/>
        <w:rPr>
          <w:rFonts w:ascii="Times New Roman" w:cs="Times New Roman" w:eastAsia="Times New Roman" w:hAnsi="Times New Roman"/>
          <w:sz w:val="22"/>
          <w:szCs w:val="22"/>
          <w:color w:val="auto"/>
        </w:rPr>
      </w:pPr>
    </w:p>
    <w:p>
      <w:pPr>
        <w:ind w:left="860" w:hanging="528"/>
        <w:spacing w:after="0" w:line="253" w:lineRule="exact"/>
        <w:tabs>
          <w:tab w:leader="none" w:pos="86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Bank as defined in section 3(a)(6) of the Act (15 U.S.C. 78c).</w:t>
      </w:r>
    </w:p>
    <w:p>
      <w:pPr>
        <w:spacing w:after="0" w:line="219" w:lineRule="exact"/>
        <w:rPr>
          <w:rFonts w:ascii="Times New Roman" w:cs="Times New Roman" w:eastAsia="Times New Roman" w:hAnsi="Times New Roman"/>
          <w:sz w:val="22"/>
          <w:szCs w:val="22"/>
          <w:color w:val="auto"/>
        </w:rPr>
      </w:pPr>
    </w:p>
    <w:p>
      <w:pPr>
        <w:ind w:left="840" w:hanging="508"/>
        <w:spacing w:after="0" w:line="253" w:lineRule="exact"/>
        <w:tabs>
          <w:tab w:leader="none" w:pos="84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Insurance company as defined in section 3(a)(19) of the Act (15 U.S.C. 78c).</w:t>
      </w:r>
    </w:p>
    <w:p>
      <w:pPr>
        <w:spacing w:after="0" w:line="219" w:lineRule="exact"/>
        <w:rPr>
          <w:rFonts w:ascii="Times New Roman" w:cs="Times New Roman" w:eastAsia="Times New Roman" w:hAnsi="Times New Roman"/>
          <w:sz w:val="22"/>
          <w:szCs w:val="22"/>
          <w:color w:val="auto"/>
        </w:rPr>
      </w:pPr>
    </w:p>
    <w:p>
      <w:pPr>
        <w:ind w:left="860" w:hanging="528"/>
        <w:spacing w:after="0" w:line="253" w:lineRule="exact"/>
        <w:tabs>
          <w:tab w:leader="none" w:pos="86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219" w:lineRule="exact"/>
        <w:rPr>
          <w:rFonts w:ascii="Times New Roman" w:cs="Times New Roman" w:eastAsia="Times New Roman" w:hAnsi="Times New Roman"/>
          <w:sz w:val="22"/>
          <w:szCs w:val="22"/>
          <w:color w:val="auto"/>
        </w:rPr>
      </w:pPr>
    </w:p>
    <w:p>
      <w:pPr>
        <w:ind w:left="840" w:hanging="508"/>
        <w:spacing w:after="0" w:line="253" w:lineRule="exact"/>
        <w:tabs>
          <w:tab w:leader="none" w:pos="84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investment advisor in accordance with §240.13d-1(b)(1)(ii)(E).</w:t>
      </w:r>
    </w:p>
    <w:p>
      <w:pPr>
        <w:spacing w:after="0" w:line="219" w:lineRule="exact"/>
        <w:rPr>
          <w:rFonts w:ascii="Times New Roman" w:cs="Times New Roman" w:eastAsia="Times New Roman" w:hAnsi="Times New Roman"/>
          <w:sz w:val="22"/>
          <w:szCs w:val="22"/>
          <w:color w:val="auto"/>
        </w:rPr>
      </w:pPr>
    </w:p>
    <w:p>
      <w:pPr>
        <w:ind w:left="880" w:hanging="548"/>
        <w:spacing w:after="0" w:line="253" w:lineRule="exact"/>
        <w:tabs>
          <w:tab w:leader="none" w:pos="88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An employee benefit plan or endowment fund in accordance with §240.13d-1(b)(1)(ii)(F).</w:t>
      </w:r>
    </w:p>
    <w:p>
      <w:pPr>
        <w:spacing w:after="0" w:line="219" w:lineRule="exact"/>
        <w:rPr>
          <w:rFonts w:ascii="Times New Roman" w:cs="Times New Roman" w:eastAsia="Times New Roman" w:hAnsi="Times New Roman"/>
          <w:sz w:val="22"/>
          <w:szCs w:val="22"/>
          <w:color w:val="auto"/>
        </w:rPr>
      </w:pPr>
    </w:p>
    <w:p>
      <w:pPr>
        <w:ind w:left="860" w:hanging="528"/>
        <w:spacing w:after="0" w:line="253" w:lineRule="exact"/>
        <w:tabs>
          <w:tab w:leader="none" w:pos="86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parent holding company or control person in accordance with §240.13d-1(b)(1)(ii)(G).</w:t>
      </w:r>
    </w:p>
    <w:p>
      <w:pPr>
        <w:spacing w:after="0" w:line="219" w:lineRule="exact"/>
        <w:rPr>
          <w:rFonts w:ascii="Times New Roman" w:cs="Times New Roman" w:eastAsia="Times New Roman" w:hAnsi="Times New Roman"/>
          <w:sz w:val="22"/>
          <w:szCs w:val="22"/>
          <w:color w:val="auto"/>
        </w:rPr>
      </w:pPr>
    </w:p>
    <w:p>
      <w:pPr>
        <w:ind w:left="860" w:hanging="528"/>
        <w:spacing w:after="0" w:line="253" w:lineRule="exact"/>
        <w:tabs>
          <w:tab w:leader="none" w:pos="86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savings association as defined in Section 3(b) of the Federal Deposit Insurance Act (12 U.S.C. 1813).</w:t>
      </w:r>
    </w:p>
    <w:p>
      <w:pPr>
        <w:spacing w:after="0" w:line="219" w:lineRule="exact"/>
        <w:rPr>
          <w:rFonts w:ascii="Times New Roman" w:cs="Times New Roman" w:eastAsia="Times New Roman" w:hAnsi="Times New Roman"/>
          <w:sz w:val="22"/>
          <w:szCs w:val="22"/>
          <w:color w:val="auto"/>
        </w:rPr>
      </w:pPr>
    </w:p>
    <w:p>
      <w:pPr>
        <w:ind w:left="1300" w:hanging="968"/>
        <w:spacing w:after="0" w:line="280" w:lineRule="exact"/>
        <w:tabs>
          <w:tab w:leader="none" w:pos="856"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43" w:lineRule="exact"/>
        <w:rPr>
          <w:rFonts w:ascii="Times New Roman" w:cs="Times New Roman" w:eastAsia="Times New Roman" w:hAnsi="Times New Roman"/>
          <w:sz w:val="22"/>
          <w:szCs w:val="22"/>
          <w:color w:val="auto"/>
        </w:rPr>
      </w:pPr>
    </w:p>
    <w:p>
      <w:pPr>
        <w:ind w:left="860" w:hanging="528"/>
        <w:spacing w:after="0" w:line="253" w:lineRule="exact"/>
        <w:tabs>
          <w:tab w:leader="none" w:pos="860" w:val="left"/>
        </w:tabs>
        <w:numPr>
          <w:ilvl w:val="0"/>
          <w:numId w:val="2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Group, in accordance with §240.13d-1(b)(1)(ii)(J).</w:t>
      </w:r>
    </w:p>
    <w:p>
      <w:pPr>
        <w:spacing w:after="0" w:line="25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37" w:lineRule="exact"/>
        <w:rPr>
          <w:sz w:val="20"/>
          <w:szCs w:val="20"/>
          <w:color w:val="auto"/>
        </w:rPr>
      </w:pPr>
    </w:p>
    <w:p>
      <w:pPr>
        <w:ind w:left="1960" w:hanging="656"/>
        <w:spacing w:after="0" w:line="258" w:lineRule="auto"/>
        <w:tabs>
          <w:tab w:leader="none" w:pos="19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may be deemed the beneficial owners of 2,293,818 shares of Class A Common Stock.</w:t>
      </w:r>
    </w:p>
    <w:p>
      <w:pPr>
        <w:spacing w:after="0" w:line="90" w:lineRule="exact"/>
        <w:rPr>
          <w:rFonts w:ascii="Times New Roman" w:cs="Times New Roman" w:eastAsia="Times New Roman" w:hAnsi="Times New Roman"/>
          <w:sz w:val="22"/>
          <w:szCs w:val="22"/>
          <w:color w:val="auto"/>
        </w:rPr>
      </w:pPr>
    </w:p>
    <w:p>
      <w:pPr>
        <w:jc w:val="both"/>
        <w:ind w:left="1960" w:hanging="656"/>
        <w:spacing w:after="0" w:line="238" w:lineRule="auto"/>
        <w:tabs>
          <w:tab w:leader="none" w:pos="19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may be deemed the beneficial owners of approximately 8.2% of the outstanding shares of Class A Common Stock. This percentage was determined by dividing 2,293,818 by 27,975,260, which is the combined total of number of shares of Class A Common Stock outstanding as of November 11, 2023, as reported in the Issuer’s Form 10-Q filed on November 14, 2023, with the Securities and Exchange Commission.</w:t>
      </w:r>
    </w:p>
    <w:p>
      <w:pPr>
        <w:spacing w:after="0" w:line="95" w:lineRule="exact"/>
        <w:rPr>
          <w:rFonts w:ascii="Times New Roman" w:cs="Times New Roman" w:eastAsia="Times New Roman" w:hAnsi="Times New Roman"/>
          <w:sz w:val="22"/>
          <w:szCs w:val="22"/>
          <w:color w:val="auto"/>
        </w:rPr>
      </w:pPr>
    </w:p>
    <w:p>
      <w:pPr>
        <w:ind w:left="1960" w:hanging="656"/>
        <w:spacing w:after="0" w:line="258" w:lineRule="auto"/>
        <w:tabs>
          <w:tab w:leader="none" w:pos="19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have the shared power to vote and dispose of the 2,293,818 shares of Class A Common Stock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23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2"/>
          <w:szCs w:val="22"/>
          <w:color w:val="auto"/>
        </w:rPr>
        <w:t>The Zimmer Accounts have an indirect interest in dividends and/or sale proceeds of the shares of Class A Common Stock held by the Zimmer Accounts.</w:t>
      </w:r>
    </w:p>
    <w:p>
      <w:pPr>
        <w:spacing w:after="0" w:line="181" w:lineRule="exact"/>
        <w:rPr>
          <w:sz w:val="20"/>
          <w:szCs w:val="20"/>
          <w:color w:val="auto"/>
        </w:rPr>
      </w:pPr>
    </w:p>
    <w:p>
      <w:pPr>
        <w:ind w:left="1300" w:hanging="1295"/>
        <w:spacing w:after="0" w:line="262" w:lineRule="auto"/>
        <w:tabs>
          <w:tab w:leader="none" w:pos="128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2"/>
          <w:szCs w:val="22"/>
          <w:b w:val="1"/>
          <w:bCs w:val="1"/>
          <w:color w:val="auto"/>
        </w:rPr>
        <w:t>Identification and Classification of the Subsidiary Which Acquired the Security Being Report on by the Parent Holding Company or Control Person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237" w:lineRule="exact"/>
        <w:rPr>
          <w:sz w:val="20"/>
          <w:szCs w:val="20"/>
          <w:color w:val="auto"/>
        </w:rPr>
      </w:pPr>
    </w:p>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February 13, 2024</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Zimmer Partners, LP</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Zimmer Partners GP, LLC, its general partner</w:t>
      </w:r>
    </w:p>
    <w:p>
      <w:pPr>
        <w:spacing w:after="0" w:line="229"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u w:val="single" w:color="auto"/>
          <w:color w:val="auto"/>
        </w:rPr>
        <w:t>/s/ Barbara Burger</w:t>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BARBARA BURGER, Authorized Signatory</w:t>
      </w: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Zimmer Financial Services Group LLC</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u w:val="single" w:color="auto"/>
          <w:color w:val="auto"/>
        </w:rPr>
        <w:t>/s/ Stuart J. Zimmer</w:t>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STUART J. ZIMMER, Director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Zimmer Partners GP, LLC</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Zimmer Financial Services Group LLC, Sole Member</w:t>
      </w:r>
    </w:p>
    <w:p>
      <w:pPr>
        <w:spacing w:after="0" w:line="229"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u w:val="single" w:color="auto"/>
          <w:color w:val="auto"/>
        </w:rPr>
        <w:t>/s/ Stuart J. Zimmer</w:t>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STUART J. ZIMMER, 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i w:val="1"/>
          <w:iCs w:val="1"/>
          <w:u w:val="single" w:color="auto"/>
          <w:color w:val="auto"/>
        </w:rPr>
        <w:t>/s/ Stuart J. Zimmer</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Stuart J. Zimmer</w:t>
      </w:r>
    </w:p>
    <w:sectPr>
      <w:pgSz w:w="11900" w:h="16838" w:orient="portrait"/>
      <w:cols w:equalWidth="0" w:num="1">
        <w:col w:w="11240"/>
      </w:cols>
      <w:pgMar w:left="320" w:top="5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3"/>
      <w:numFmt w:val="bullet"/>
      <w:start w:val="1"/>
    </w:lvl>
  </w:abstractNum>
  <w:abstractNum w:abstractNumId="3">
    <w:nsid w:val="7FDCC233"/>
    <w:multiLevelType w:val="hybridMultilevel"/>
    <w:lvl w:ilvl="0">
      <w:lvlJc w:val="left"/>
      <w:lvlText w:val="4"/>
      <w:numFmt w:val="bullet"/>
      <w:start w:val="1"/>
    </w:lvl>
  </w:abstractNum>
  <w:abstractNum w:abstractNumId="4">
    <w:nsid w:val="1BEFD79F"/>
    <w:multiLevelType w:val="hybridMultilevel"/>
    <w:lvl w:ilvl="0">
      <w:lvlJc w:val="left"/>
      <w:lvlText w:val="9"/>
      <w:numFmt w:val="bullet"/>
      <w:start w:val="1"/>
    </w:lvl>
  </w:abstractNum>
  <w:abstractNum w:abstractNumId="5">
    <w:nsid w:val="41A7C4C9"/>
    <w:multiLevelType w:val="hybridMultilevel"/>
    <w:lvl w:ilvl="0">
      <w:lvlJc w:val="left"/>
      <w:lvlText w:val="%1"/>
      <w:numFmt w:val="decimal"/>
      <w:start w:val="11"/>
    </w:lvl>
  </w:abstractNum>
  <w:abstractNum w:abstractNumId="6">
    <w:nsid w:val="6B68079A"/>
    <w:multiLevelType w:val="hybridMultilevel"/>
    <w:lvl w:ilvl="0">
      <w:lvlJc w:val="left"/>
      <w:lvlText w:val="1"/>
      <w:numFmt w:val="bullet"/>
      <w:start w:val="1"/>
    </w:lvl>
  </w:abstractNum>
  <w:abstractNum w:abstractNumId="7">
    <w:nsid w:val="4E6AFB66"/>
    <w:multiLevelType w:val="hybridMultilevel"/>
    <w:lvl w:ilvl="0">
      <w:lvlJc w:val="left"/>
      <w:lvlText w:val="3"/>
      <w:numFmt w:val="bullet"/>
      <w:start w:val="1"/>
    </w:lvl>
  </w:abstractNum>
  <w:abstractNum w:abstractNumId="8">
    <w:nsid w:val="25E45D32"/>
    <w:multiLevelType w:val="hybridMultilevel"/>
    <w:lvl w:ilvl="0">
      <w:lvlJc w:val="left"/>
      <w:lvlText w:val="4"/>
      <w:numFmt w:val="bullet"/>
      <w:start w:val="1"/>
    </w:lvl>
  </w:abstractNum>
  <w:abstractNum w:abstractNumId="9">
    <w:nsid w:val="519B500D"/>
    <w:multiLevelType w:val="hybridMultilevel"/>
    <w:lvl w:ilvl="0">
      <w:lvlJc w:val="left"/>
      <w:lvlText w:val="9"/>
      <w:numFmt w:val="bullet"/>
      <w:start w:val="1"/>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bullet"/>
      <w:start w:val="1"/>
    </w:lvl>
  </w:abstractNum>
  <w:abstractNum w:abstractNumId="12">
    <w:nsid w:val="7C83E458"/>
    <w:multiLevelType w:val="hybridMultilevel"/>
    <w:lvl w:ilvl="0">
      <w:lvlJc w:val="left"/>
      <w:lvlText w:val="3"/>
      <w:numFmt w:val="bullet"/>
      <w:start w:val="1"/>
    </w:lvl>
  </w:abstractNum>
  <w:abstractNum w:abstractNumId="13">
    <w:nsid w:val="257130A3"/>
    <w:multiLevelType w:val="hybridMultilevel"/>
    <w:lvl w:ilvl="0">
      <w:lvlJc w:val="left"/>
      <w:lvlText w:val="4"/>
      <w:numFmt w:val="bullet"/>
      <w:start w:val="1"/>
    </w:lvl>
  </w:abstractNum>
  <w:abstractNum w:abstractNumId="14">
    <w:nsid w:val="62BBD95A"/>
    <w:multiLevelType w:val="hybridMultilevel"/>
    <w:lvl w:ilvl="0">
      <w:lvlJc w:val="left"/>
      <w:lvlText w:val="9"/>
      <w:numFmt w:val="bullet"/>
      <w:start w:val="1"/>
    </w:lvl>
  </w:abstractNum>
  <w:abstractNum w:abstractNumId="15">
    <w:nsid w:val="436C6125"/>
    <w:multiLevelType w:val="hybridMultilevel"/>
    <w:lvl w:ilvl="0">
      <w:lvlJc w:val="left"/>
      <w:lvlText w:val="%1"/>
      <w:numFmt w:val="decimal"/>
      <w:start w:val="11"/>
    </w:lvl>
  </w:abstractNum>
  <w:abstractNum w:abstractNumId="16">
    <w:nsid w:val="628C895D"/>
    <w:multiLevelType w:val="hybridMultilevel"/>
    <w:lvl w:ilvl="0">
      <w:lvlJc w:val="left"/>
      <w:lvlText w:val="1"/>
      <w:numFmt w:val="bullet"/>
      <w:start w:val="1"/>
    </w:lvl>
  </w:abstractNum>
  <w:abstractNum w:abstractNumId="17">
    <w:nsid w:val="333AB105"/>
    <w:multiLevelType w:val="hybridMultilevel"/>
    <w:lvl w:ilvl="0">
      <w:lvlJc w:val="left"/>
      <w:lvlText w:val="3"/>
      <w:numFmt w:val="bullet"/>
      <w:start w:val="1"/>
    </w:lvl>
  </w:abstractNum>
  <w:abstractNum w:abstractNumId="18">
    <w:nsid w:val="721DA317"/>
    <w:multiLevelType w:val="hybridMultilevel"/>
    <w:lvl w:ilvl="0">
      <w:lvlJc w:val="left"/>
      <w:lvlText w:val="4"/>
      <w:numFmt w:val="bullet"/>
      <w:start w:val="1"/>
    </w:lvl>
  </w:abstractNum>
  <w:abstractNum w:abstractNumId="19">
    <w:nsid w:val="2443A858"/>
    <w:multiLevelType w:val="hybridMultilevel"/>
    <w:lvl w:ilvl="0">
      <w:lvlJc w:val="left"/>
      <w:lvlText w:val="9"/>
      <w:numFmt w:val="bullet"/>
      <w:start w:val="1"/>
    </w:lvl>
  </w:abstractNum>
  <w:abstractNum w:abstractNumId="20">
    <w:nsid w:val="2D1D5AE9"/>
    <w:multiLevelType w:val="hybridMultilevel"/>
    <w:lvl w:ilvl="0">
      <w:lvlJc w:val="left"/>
      <w:lvlText w:val="%1"/>
      <w:numFmt w:val="decimal"/>
      <w:start w:val="1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2024-02-13T16:37:44Z</dcterms:created>
  <dcterms:modified xsi:type="dcterms:W3CDTF">2024-02-13T16:37:44Z</dcterms:modified>
</cp:coreProperties>
</file>