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OPAL Fuels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68347P103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68347P103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Invesco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2,024,745.00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2,024,745.00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2,024,745.00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OPAL Fuels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N. Lexington Ave, White Plains, NY 10601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Invesco Ltd.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1331 Spring Street NW, Suite 2500, Atlanta, GA 30309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Bermuda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jc w:val="left"/>
              <w:rPr/>
            </w:pPr>
            <w:r>
              <w:rPr/>
              <w:t xml:space="preserve">CUSIP No.: </w:t>
            </w:r>
          </w:p>
          <w:p>
            <w:pPr>
              <w:pStyle w:val="TableContents"/>
              <w:bidi w:val="0"/>
              <w:spacing w:before="0" w:after="0"/>
              <w:jc w:val="left"/>
              <w:rPr/>
            </w:pPr>
            <w:r>
              <w:rPr/>
              <w:t>68347P103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Invesco Ltd., in its capacity as a parent holding company to its investment advisers, may be deemed to beneficially own 2,024,745 shares of the Issuer which are held of record by clients of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2,024,745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2,024,745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Invesco Capital Management LLC is a subsidiary of Invesco Ltd. and it advises the Invesco WilderHill Clean Energy ETF which owns 7.12% of the security reported herein. However, no one individual has greater than 5% economic ownership. The shareholders of the Fund have the right to receive or the power to direct the receipt of dividends and proceeds from the sale of securities listed above.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Invesco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Invesco Ltd.</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Robert R. Leveille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Global Head of Compliance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05/09/2025</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976</Words>
  <Characters>4963</Characters>
  <CharactersWithSpaces>5926</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