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6536585.xml.htm"/>
      <w:bookmarkStart w:id="1" w:name="kswkform4_16965365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Unger David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3"/>
        <w:gridCol w:w="772"/>
        <w:gridCol w:w="600"/>
        <w:gridCol w:w="352"/>
        <w:gridCol w:w="939"/>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3,605</w:t>
            </w:r>
            <w:r>
              <w:rPr>
                <w:rFonts w:ascii="Times;serif" w:hAnsi="Times;serif"/>
                <w:color w:val="008000"/>
                <w:position w:val="7"/>
                <w:sz w:val="16"/>
                <w:sz w:val="20"/>
                <w:shd w:fill="FFFFFF" w:val="clear"/>
              </w:rPr>
              <w:t>(2)</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46"/>
        <w:gridCol w:w="80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242,110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at settlement, one share of Class A common stock. This transaction represents the settlement of restricted stock units in shares of Class A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shares held by the Company to satisfy tax withholding requirements on vesting of restricted stock units. The total value of securities withheld was based on a price of $7.90 per share, the closing price of Class A common stock on October 3,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10,000 restricted stock units were awarded on October 4, 2022. This award vested in full on October 3, 2023. 242,110 restricted stock units were awarded on March 31, 2023 which are scheduled to vest in three equal tranches on March 31, 2024, March 31, 2025 and March 31, 2026, provided that the Reporting Person remains in continuous service on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32698" TargetMode="External"/><Relationship Id="rId4" Type="http://schemas.openxmlformats.org/officeDocument/2006/relationships/hyperlink" Target="http://www.sec.gov/cgi-bin/browse-edgar?action=getcompany&amp;CIK=00018422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740</Words>
  <Characters>3925</Characters>
  <CharactersWithSpaces>4586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