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center"/>
        <w:rPr/>
      </w:pPr>
      <w:r>
        <w:rPr>
          <w:rFonts w:ascii="Times New Roman;serif" w:hAnsi="Times New Roman;serif"/>
          <w:b/>
          <w:color w:val="000000"/>
          <w:sz w:val="20"/>
        </w:rPr>
        <w:t>As filed with the Securities and Exchange Commission on September 14, 2026</w:t>
      </w:r>
      <w:r>
        <w:rPr>
          <w:color w:val="000000"/>
        </w:rPr>
        <w:t> </w:t>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Registration No. 333-298763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right"/>
        <w:rPr>
          <w:color w:val="000000"/>
        </w:rPr>
      </w:pPr>
      <w:r>
        <w:rPr>
          <w:color w:val="000000"/>
        </w:rPr>
        <w:t> </w:t>
      </w:r>
    </w:p>
    <w:p>
      <w:pPr>
        <w:pStyle w:val="TextBody"/>
        <w:bidi w:val="0"/>
        <w:spacing w:lineRule="auto" w:line="333" w:before="0" w:after="0"/>
        <w:jc w:val="center"/>
        <w:rPr/>
      </w:pPr>
      <w:r>
        <w:rPr>
          <w:rFonts w:ascii="Times New Roman;serif" w:hAnsi="Times New Roman;serif"/>
          <w:b/>
          <w:color w:val="000000"/>
          <w:sz w:val="20"/>
        </w:rPr>
        <w:t>UNITED STATES</w:t>
      </w: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AMENDMENT NO. 1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FORM S-3</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REGISTRATION STATEMENT UNDER THE SECURITIES ACT OF 1933</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333" w:before="0" w:after="0"/>
        <w:jc w:val="center"/>
        <w:rPr>
          <w:color w:val="000000"/>
        </w:rPr>
      </w:pPr>
      <w:r>
        <w:rPr>
          <w:color w:val="000000"/>
        </w:rPr>
        <w:t> </w:t>
      </w:r>
    </w:p>
    <w:tbl>
      <w:tblPr>
        <w:tblW w:w="491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586"/>
        <w:gridCol w:w="586"/>
        <w:gridCol w:w="83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80-0990453</w:t>
            </w:r>
          </w:p>
        </w:tc>
      </w:tr>
      <w:tr>
        <w:trPr/>
        <w:tc>
          <w:tcPr>
            <w:tcW w:w="25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13"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13"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bl>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One North Lexington Avenue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Suite 1450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White Plains, New York 10601</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(914) 705-4000</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John Coghlin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General Counsel</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 OPAL Fuels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One North Lexington Avenue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Suite 1450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White Plains, New York 10601</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(914) 705-4000</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(Name, address, including zip code, and telephone number, including area code, of agent for service)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Copies of all communications, including communications sent to agent for service, should be sent to:</w:t>
      </w:r>
    </w:p>
    <w:p>
      <w:pPr>
        <w:pStyle w:val="TextBody"/>
        <w:bidi w:val="0"/>
        <w:spacing w:lineRule="auto" w:line="333" w:before="0" w:after="0"/>
        <w:jc w:val="center"/>
        <w:rPr>
          <w:color w:val="000000"/>
        </w:rPr>
      </w:pPr>
      <w:r>
        <w:rPr>
          <w:color w:val="000000"/>
        </w:rPr>
        <w:t> </w:t>
      </w:r>
    </w:p>
    <w:tbl>
      <w:tblPr>
        <w:tblW w:w="3840" w:type="dxa"/>
        <w:jc w:val="left"/>
        <w:tblInd w:w="0" w:type="dxa"/>
        <w:tblLayout w:type="fixed"/>
        <w:tblCellMar>
          <w:top w:w="28" w:type="dxa"/>
          <w:left w:w="28" w:type="dxa"/>
          <w:bottom w:w="28" w:type="dxa"/>
          <w:right w:w="28" w:type="dxa"/>
        </w:tblCellMar>
      </w:tblPr>
      <w:tblGrid>
        <w:gridCol w:w="1230"/>
        <w:gridCol w:w="1079"/>
        <w:gridCol w:w="1531"/>
      </w:tblGrid>
      <w:tr>
        <w:trPr/>
        <w:tc>
          <w:tcPr>
            <w:tcW w:w="123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Alexander M. Schwartz, Esq.</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Seth A. Lemings, Esq.</w:t>
              <w:br/>
              <w:t>Sheppard, Mullin, Richter &amp; Hampton LLP</w:t>
              <w:br/>
              <w:t>321 N. Clark Street, 31st Floor</w:t>
            </w:r>
          </w:p>
          <w:p>
            <w:pPr>
              <w:pStyle w:val="TableContents"/>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Chicago, Illinois 60654</w:t>
            </w:r>
          </w:p>
          <w:p>
            <w:pPr>
              <w:pStyle w:val="TableContents"/>
              <w:bidi w:val="0"/>
              <w:spacing w:lineRule="auto" w:line="333" w:before="0" w:after="20"/>
              <w:jc w:val="center"/>
              <w:rPr>
                <w:rFonts w:ascii="Times New Roman;serif" w:hAnsi="Times New Roman;serif"/>
                <w:b/>
                <w:color w:val="000000"/>
                <w:sz w:val="20"/>
              </w:rPr>
            </w:pPr>
            <w:r>
              <w:rPr>
                <w:rFonts w:ascii="Times New Roman;serif" w:hAnsi="Times New Roman;serif"/>
                <w:b/>
                <w:color w:val="000000"/>
                <w:sz w:val="20"/>
              </w:rPr>
              <w:t>Tel: (312) 499-6300</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pPr>
      <w:r>
        <w:rPr>
          <w:rFonts w:ascii="Times New Roman;serif" w:hAnsi="Times New Roman;serif"/>
          <w:b/>
          <w:color w:val="000000"/>
          <w:sz w:val="20"/>
        </w:rPr>
        <w:t>Approximate date of commencement of proposed sale to the public</w:t>
      </w:r>
      <w:r>
        <w:rPr>
          <w:rFonts w:ascii="Times New Roman;serif" w:hAnsi="Times New Roman;serif"/>
          <w:b w:val="false"/>
          <w:color w:val="000000"/>
          <w:sz w:val="20"/>
        </w:rPr>
        <w:t>: From time to time after this Registration Statement becomes effective.</w:t>
      </w:r>
    </w:p>
    <w:p>
      <w:pPr>
        <w:pStyle w:val="TextBody"/>
        <w:bidi w:val="0"/>
        <w:spacing w:lineRule="auto" w:line="333"/>
        <w:ind w:left="0" w:right="0" w:firstLine="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012825"/>
                <wp:effectExtent l="0" t="0" r="0" b="0"/>
                <wp:wrapNone/>
                <wp:docPr id="1" name="Frame1"/>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0"/>
        </w:rPr>
        <w:t xml:space="preserve">If the only securities being registered on this Form are being offered pursuant to dividend or interest reinvestment plans, please check the following box. </w:t>
      </w:r>
      <w:r>
        <w:rPr>
          <w:color w:val="000000"/>
        </w:rPr>
        <w: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 </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pPr>
      <w:r>
        <w:rPr>
          <w:rFonts w:ascii="Times New Roman;serif" w:hAnsi="Times New Roman;serif"/>
          <w:b w:val="false"/>
          <w:color w:val="000000"/>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 </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 </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pPr>
      <w:r>
        <w:rPr>
          <w:rFonts w:ascii="Times New Roman;serif" w:hAnsi="Times New Roman;serif"/>
          <w:b w:val="false"/>
          <w:color w:val="000000"/>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 </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pPr>
      <w:r>
        <w:rPr>
          <w:rFonts w:ascii="Times New Roman;serif" w:hAnsi="Times New Roman;serif"/>
          <w:b w:val="false"/>
          <w:color w:val="000000"/>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 </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333" w:before="0" w:after="0"/>
        <w:jc w:val="left"/>
        <w:rPr>
          <w:color w:val="000000"/>
        </w:rPr>
      </w:pPr>
      <w:r>
        <w:rPr>
          <w:color w:val="000000"/>
        </w:rPr>
        <w: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333" w:before="0" w:after="0"/>
        <w:ind w:left="0" w:right="0" w:firstLine="720"/>
        <w:jc w:val="left"/>
        <w:rPr>
          <w:color w:val="000000"/>
        </w:rPr>
      </w:pPr>
      <w:r>
        <w:rPr>
          <w:color w:val="000000"/>
        </w:rPr>
        <w:t> </w:t>
      </w:r>
    </w:p>
    <w:p>
      <w:pPr>
        <w:pStyle w:val="TextBody"/>
        <w:bidi w:val="0"/>
        <w:spacing w:lineRule="auto" w:line="333"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color w:val="000000"/>
        </w:rPr>
        <w:t>☐</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333" w:before="0" w:after="0"/>
        <w:jc w:val="both"/>
        <w:rPr>
          <w:color w:val="000000"/>
        </w:rPr>
      </w:pPr>
      <w:r>
        <w:rPr>
          <w:color w:val="000000"/>
        </w:rPr>
        <w:t> </w:t>
      </w:r>
    </w:p>
    <w:p>
      <w:pPr>
        <w:pStyle w:val="TextBody"/>
        <w:bidi w:val="0"/>
        <w:spacing w:lineRule="auto" w:line="333"/>
        <w:jc w:val="both"/>
        <w:rPr>
          <w:rFonts w:ascii="Times New Roman;serif" w:hAnsi="Times New Roman;serif"/>
          <w:b w:val="false"/>
          <w:color w:val="000000"/>
          <w:sz w:val="20"/>
        </w:rPr>
      </w:pPr>
      <w:r>
        <w:rPr>
          <w:rFonts w:ascii="Times New Roman;serif" w:hAnsi="Times New Roman;serif"/>
          <w:b w:val="false"/>
          <w:color w:val="000000"/>
          <w:sz w:val="20"/>
        </w:rPr>
        <w:t xml:space="preserve">This registration statement on Form S-3, as amended (this “Registration Statement”) is being filed by OPAL Fuels Inc. (the “Company”) pursuant to Rule 415(a)(6) under the Securities Act of 1933, as amended, to replace the Company's registration statement on Form S-3 (File No. 333-273584), filed with the SEC on August 1, 2023 (as amended and supplemented, the “Expiring Registration Statement”), which was due to expire on September 6, 2026.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012825"/>
                <wp:effectExtent l="0" t="0" r="0" b="0"/>
                <wp:wrapNone/>
                <wp:docPr id="2" name="Frame2"/>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Rule 415(a)(6) under the Securities Act, we are including in this Registration Statement unsold securities with a maximum aggregate offering price of $199,000,000 (the “Unsold Securities”) previously registered under the Expiring Registration Statement. No additional securities beyond what remains on the Expiring Registration Statement are being registered on this Registration Statement.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Rule 415(a)(5)(ii) under the Securities Act, by filing this Registration Statement, the Company may issue and sell the Unsold Securities until the earlier of the effective date of this Registration Statement or 180 days after September 6, 2026. In accordance with Rule 415(a)(6), the effectiveness of this Registration Statement will be deemed to terminate the Expiring Registration Statement.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General Instruction I.B.6 of Form S-3, in no event will we sell securities registered on this registration</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statement of which any prospectus supplement forms a part in a public primary offering with a value exceeding</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one-third of our outstanding voting and nonvoting common equity held by non-affiliates.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FF0000"/>
          <w:sz w:val="20"/>
        </w:rPr>
      </w:pPr>
      <w:r>
        <w:rPr>
          <w:rFonts w:ascii="Times New Roman;serif" w:hAnsi="Times New Roman;serif"/>
          <w:b/>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pPr>
      <w:r>
        <w:rPr>
          <w:rFonts w:ascii="Times New Roman;serif" w:hAnsi="Times New Roman;serif"/>
          <w:b/>
          <w:color w:val="000000"/>
          <w:sz w:val="20"/>
        </w:rPr>
        <w:t>SUBJECT TO COMPLETION, DATED SEPTEMBER 14, 2026</w:t>
      </w: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PRELIMINARY PROSPECTUS</w:t>
      </w:r>
    </w:p>
    <w:p>
      <w:pPr>
        <w:pStyle w:val="TextBody"/>
        <w:bidi w:val="0"/>
        <w:spacing w:lineRule="auto" w:line="333" w:before="0" w:after="0"/>
        <w:jc w:val="left"/>
        <w:rPr>
          <w:color w:val="000000"/>
        </w:rPr>
      </w:pPr>
      <w:r>
        <w:rPr>
          <w:color w:val="000000"/>
        </w:rPr>
        <w:t> </w:t>
      </w:r>
    </w:p>
    <w:p>
      <w:pPr>
        <w:pStyle w:val="TextBody"/>
        <w:bidi w:val="0"/>
        <w:spacing w:before="0" w:after="0"/>
        <w:jc w:val="center"/>
        <w:rPr/>
      </w:pPr>
      <w:r>
        <w:rPr/>
        <w:drawing>
          <wp:inline distT="0" distB="0" distL="0" distR="0">
            <wp:extent cx="2514600" cy="5905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514600" cy="590550"/>
                    </a:xfrm>
                    <a:prstGeom prst="rect">
                      <a:avLst/>
                    </a:prstGeom>
                  </pic:spPr>
                </pic:pic>
              </a:graphicData>
            </a:graphic>
          </wp:inline>
        </w:drawing>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color w:val="000000"/>
          <w:sz w:val="48"/>
        </w:rPr>
      </w:pPr>
      <w:r>
        <w:rPr>
          <w:rFonts w:ascii="Times New Roman;serif" w:hAnsi="Times New Roman;serif"/>
          <w:b/>
          <w:color w:val="000000"/>
          <w:sz w:val="48"/>
        </w:rPr>
        <w:t>OPAL FUELS INC.</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Class A Common Stock</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Units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and sell, from time to time in one or more offerings, any combination of Class A common stock, preferred stock, warrants to purchase Class A common stock, preferred stock, or any combination of the foregoing, either individually or as units comprised of one or more of the other securities, having aggregate offering proceeds not exceeding $199 million. </w:t>
      </w:r>
    </w:p>
    <w:p>
      <w:pPr>
        <w:pStyle w:val="TextBody"/>
        <w:bidi w:val="0"/>
        <w:spacing w:lineRule="auto" w:line="333" w:before="0" w:after="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provides a general description of the securities we may offer. Each time we sell a particular class or series of securities, we will provide specific terms of the securities offered in a supplement to this prospectus. The prospectus supplement and any related free writing prospectus may also add, update or change information contained in this prospectus. We may also authorize one or more free writing prospectuses to be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12825"/>
                <wp:effectExtent l="0" t="0" r="0" b="0"/>
                <wp:wrapNone/>
                <wp:docPr id="4" name="Frame3"/>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provided to you in connection with these offerings. You should read carefully this prospectus, the applicable prospectus supplement and any related free writing prospectus, as well as any documents incorporated by reference herein or therein before you invest in any of our securities.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specific terms of any securities to be offered, and the specific manner in which they may be offered, will be described in one or more supplements to this prospectus. This prospectus may not be used to consummate sales of any of these securities unless it is accompanied by a prospectus supplement. Before investing, you should carefully read this prospectus and any related prospectus supplement.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presently listed on The Nasdaq Capital Market under the symbol “OPAL.” On September 11, 2026, the last reported sale price of our Class A common stock was $1.89 per share. The applicable prospectus supplement will contain information, where applicable, as to any other listing on The Nasdaq Capital Market or any securities market or other exchange of the securities, if any, covered by the prospectus supplement. Prospective purchasers of our securities are urged to obtain current information as to the market prices of our securities, where applicable.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securities may be sold directly by us, through dealers or agents designated from time to time, to or through underwriters, dealers, or through a combination of these methods on a continuous or delayed basis. See “Plan of Distribution” in this prospectus. We may also describe the plan of distribution for any particular offering of our securities in a prospectus supplement. If any agents, underwriters or dealers are involved in the sale of any securities in respect of which this prospectus is being delivered, we will disclose their names and the nature of our arrangements with them in a prospectus supplement. The price to the public of such securities and the net proceeds we expect to receive from any such sale will also be included in a prospectus supplement.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that term is defined under the federal securities laws and, as such, are subject to certain reduced public company reporting requirements.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prospectus, the aggregate market value of our outstanding Class A common stock held by non-affiliates, or public float, was $52,148,998.20, which was calculated based on 30,290,963 shares of outstanding Class A common stock, of which 20,057,307 shares were held by non-affiliates, and a price of $2.60 per share, which was the closing sale price of our Class A common stock on the Nasdaq Capital Market on August 10, 2026, the highest closing sale price within 60 days prior to the date of this prospectus. Pursuant to General Instruction I.B.6 of Form S-3, in no event will we sell securities in a public primary offering with a value exceeding one-third of our public float in any 12-month period, so long as our public float remains below $75,000,000. During the 12 calendar months prior to and including the date of this prospectus, we did not offer or sell any securities pursuant to General Instruction I.B.6 of Form S-3.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Investing in our securities involves risks that are described in the “Risk Factors” section beginning on page 4 of this prospectus.</w:t>
      </w:r>
    </w:p>
    <w:p>
      <w:pPr>
        <w:pStyle w:val="TextBody"/>
        <w:bidi w:val="0"/>
        <w:spacing w:lineRule="auto" w:line="333" w:before="0" w:after="0"/>
        <w:ind w:left="0" w:right="0" w:firstLine="72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The date of this prospectus is , 2026</w:t>
      </w:r>
    </w:p>
    <w:p>
      <w:pPr>
        <w:pStyle w:val="TextBody"/>
        <w:bidi w:val="0"/>
        <w:spacing w:lineRule="auto" w:line="333"/>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12825"/>
                <wp:effectExtent l="0" t="0" r="0" b="0"/>
                <wp:wrapNone/>
                <wp:docPr id="5" name="Frame4"/>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333" w:before="0" w:after="0"/>
        <w:jc w:val="center"/>
        <w:rPr>
          <w:color w:val="000000"/>
        </w:rPr>
      </w:pPr>
      <w:r>
        <w:rPr>
          <w:color w:val="000000"/>
        </w:rPr>
        <w:t> </w:t>
      </w:r>
    </w:p>
    <w:tbl>
      <w:tblPr>
        <w:tblW w:w="7347" w:type="dxa"/>
        <w:jc w:val="left"/>
        <w:tblInd w:w="0" w:type="dxa"/>
        <w:tblLayout w:type="fixed"/>
        <w:tblCellMar>
          <w:top w:w="28" w:type="dxa"/>
          <w:left w:w="28" w:type="dxa"/>
          <w:bottom w:w="28" w:type="dxa"/>
          <w:right w:w="28" w:type="dxa"/>
        </w:tblCellMar>
      </w:tblPr>
      <w:tblGrid>
        <w:gridCol w:w="2525"/>
        <w:gridCol w:w="2222"/>
        <w:gridCol w:w="2228"/>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13">
              <w:r>
                <w:rPr>
                  <w:rStyle w:val="InternetLink"/>
                  <w:rFonts w:ascii="Times New Roman;serif" w:hAnsi="Times New Roman;serif"/>
                  <w:b w:val="false"/>
                  <w:color w:val="0000EE"/>
                  <w:sz w:val="20"/>
                  <w:u w:val="single"/>
                </w:rPr>
                <w:t>TRADEMARKS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16">
              <w:r>
                <w:rPr>
                  <w:rStyle w:val="InternetLink"/>
                  <w:rFonts w:ascii="Times New Roman;serif" w:hAnsi="Times New Roman;serif"/>
                  <w:b w:val="false"/>
                  <w:color w:val="0000EE"/>
                  <w:sz w:val="20"/>
                  <w:u w:val="single"/>
                </w:rPr>
                <w:t>SELECTED DEFINITIONS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19">
              <w:r>
                <w:rPr>
                  <w:rStyle w:val="InternetLink"/>
                  <w:rFonts w:ascii="Times New Roman;serif" w:hAnsi="Times New Roman;serif"/>
                  <w:b w:val="false"/>
                  <w:color w:val="0000EE"/>
                  <w:sz w:val="20"/>
                  <w:u w:val="single"/>
                </w:rPr>
                <w:t>ABOUT THIS PROSPECTUS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22">
              <w:r>
                <w:rPr>
                  <w:rStyle w:val="InternetLink"/>
                  <w:rFonts w:ascii="Times New Roman;serif" w:hAnsi="Times New Roman;serif"/>
                  <w:b w:val="false"/>
                  <w:color w:val="0000EE"/>
                  <w:sz w:val="20"/>
                  <w:u w:val="single"/>
                </w:rPr>
                <w:t>CAUTIONARY STATEMENT REGARDING FORWARD-LOOKING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25">
              <w:r>
                <w:rPr>
                  <w:rStyle w:val="InternetLink"/>
                  <w:rFonts w:ascii="Times New Roman;serif" w:hAnsi="Times New Roman;serif"/>
                  <w:b w:val="false"/>
                  <w:color w:val="0000EE"/>
                  <w:sz w:val="20"/>
                  <w:u w:val="single"/>
                </w:rPr>
                <w:t>SUMMARY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28">
              <w:r>
                <w:rPr>
                  <w:rStyle w:val="InternetLink"/>
                  <w:rFonts w:ascii="Times New Roman;serif" w:hAnsi="Times New Roman;serif"/>
                  <w:b w:val="false"/>
                  <w:color w:val="0000EE"/>
                  <w:sz w:val="20"/>
                  <w:u w:val="single"/>
                </w:rPr>
                <w:t>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31">
              <w:r>
                <w:rPr>
                  <w:rStyle w:val="InternetLink"/>
                  <w:rFonts w:ascii="Times New Roman;serif" w:hAnsi="Times New Roman;serif"/>
                  <w:b w:val="false"/>
                  <w:color w:val="0000EE"/>
                  <w:sz w:val="20"/>
                  <w:u w:val="single"/>
                </w:rPr>
                <w:t>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34">
              <w:r>
                <w:rPr>
                  <w:rStyle w:val="InternetLink"/>
                  <w:rFonts w:ascii="Times New Roman;serif" w:hAnsi="Times New Roman;serif"/>
                  <w:b w:val="false"/>
                  <w:color w:val="0000EE"/>
                  <w:sz w:val="20"/>
                  <w:u w:val="single"/>
                </w:rPr>
                <w:t>DESCRIPTION OF CAPITAL STOCK</w:t>
              </w:r>
            </w:hyperlink>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37">
              <w:r>
                <w:rPr>
                  <w:rStyle w:val="InternetLink"/>
                  <w:rFonts w:ascii="Times New Roman;serif" w:hAnsi="Times New Roman;serif"/>
                  <w:b w:val="false"/>
                  <w:color w:val="0000EE"/>
                  <w:sz w:val="20"/>
                  <w:u w:val="single"/>
                </w:rPr>
                <w:t>DESCRIPTION OF WARRANTS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40">
              <w:r>
                <w:rPr>
                  <w:rStyle w:val="InternetLink"/>
                  <w:rFonts w:ascii="Times New Roman;serif" w:hAnsi="Times New Roman;serif"/>
                  <w:b w:val="false"/>
                  <w:color w:val="0000EE"/>
                  <w:sz w:val="20"/>
                  <w:u w:val="single"/>
                </w:rPr>
                <w:t>DESCRIPTION OF UNITS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43">
              <w:r>
                <w:rPr>
                  <w:rStyle w:val="InternetLink"/>
                  <w:rFonts w:ascii="Times New Roman;serif" w:hAnsi="Times New Roman;serif"/>
                  <w:b w:val="false"/>
                  <w:color w:val="0000EE"/>
                  <w:sz w:val="20"/>
                  <w:u w:val="single"/>
                </w:rPr>
                <w:t>LEGAL OWNERSHIP OF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46">
              <w:r>
                <w:rPr>
                  <w:rStyle w:val="InternetLink"/>
                  <w:rFonts w:ascii="Times New Roman;serif" w:hAnsi="Times New Roman;serif"/>
                  <w:b w:val="false"/>
                  <w:color w:val="0000EE"/>
                  <w:sz w:val="20"/>
                  <w:u w:val="single"/>
                </w:rPr>
                <w:t>PLAN OF DISTRIBUTION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49">
              <w:r>
                <w:rPr>
                  <w:rStyle w:val="InternetLink"/>
                  <w:rFonts w:ascii="Times New Roman;serif" w:hAnsi="Times New Roman;serif"/>
                  <w:b w:val="false"/>
                  <w:color w:val="0000EE"/>
                  <w:sz w:val="20"/>
                  <w:u w:val="single"/>
                </w:rPr>
                <w:t>LEGAL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52">
              <w:r>
                <w:rPr>
                  <w:rStyle w:val="InternetLink"/>
                  <w:rFonts w:ascii="Times New Roman;serif" w:hAnsi="Times New Roman;serif"/>
                  <w:b w:val="false"/>
                  <w:color w:val="0000EE"/>
                  <w:sz w:val="20"/>
                  <w:u w:val="single"/>
                </w:rPr>
                <w:t>EXPERTS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55">
              <w:r>
                <w:rPr>
                  <w:rStyle w:val="InternetLink"/>
                  <w:rFonts w:ascii="Times New Roman;serif" w:hAnsi="Times New Roman;serif"/>
                  <w:b w:val="false"/>
                  <w:color w:val="0000EE"/>
                  <w:sz w:val="20"/>
                  <w:u w:val="single"/>
                </w:rPr>
                <w:t>WHERE YOU CAN FIND MORE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pPr>
            <w:hyperlink w:anchor="i19779ab3562147878523b40d34bbcf7d_58">
              <w:r>
                <w:rPr>
                  <w:rStyle w:val="InternetLink"/>
                  <w:rFonts w:ascii="Times New Roman;serif" w:hAnsi="Times New Roman;serif"/>
                  <w:b w:val="false"/>
                  <w:color w:val="0000EE"/>
                  <w:sz w:val="20"/>
                  <w:u w:val="single"/>
                </w:rPr>
                <w:t>INCORPORATION OF CERTAIN INFORMATION BY REFERENCE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lineRule="auto" w:line="333" w:before="0" w:after="0"/>
        <w:jc w:val="center"/>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12825"/>
                <wp:effectExtent l="0" t="0" r="0" b="0"/>
                <wp:wrapNone/>
                <wp:docPr id="6" name="Frame5"/>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val="false"/>
          <w:color w:val="000000"/>
          <w:sz w:val="20"/>
        </w:rPr>
        <w:t xml:space="preserve">This document contains references to trademarks and service marks belonging to other entities. Solely for convenience, trademarks and trade names referred to in this prospectus may appear without the </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 xml:space="preserve">or </w:t>
      </w:r>
      <w:r>
        <w:rPr>
          <w:color w:val="000000"/>
        </w:rPr>
        <w:t xml:space="preserve">™ </w:t>
      </w:r>
      <w:r>
        <w:rPr>
          <w:rFonts w:ascii="Times New Roman;serif" w:hAnsi="Times New Roman;serif"/>
          <w:b w:val="false"/>
          <w:color w:val="000000"/>
          <w:sz w:val="20"/>
        </w:rPr>
        <w:t>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lineRule="auto" w:line="333"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12825"/>
                <wp:effectExtent l="0" t="0" r="0" b="0"/>
                <wp:wrapNone/>
                <wp:docPr id="7" name="Frame6"/>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SELECTED DEFINITIONS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used in this prospectus, unless the context otherwise requires: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BCA” or “Business Combination Agreement” refers to the Business Combination Agreement dated as of December 2, 2021 (as the same has been or may be amended, modified, supplemented or waived from time to time), by and among ArcLight, Opco and OPAL Holdco.</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Business Combination” refers to the transaction contemplated by the BCA.</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Bylaws” refers to the bylaws of OPAL.</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 xml:space="preserve">Charter” refers to the certificate of incorporation of OPAL. </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Class A common stock” refers to the shares of Class A common stock, par value $0.0001 per share, of OPAL.</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Class A Units” refers to the Class A Units as defined in the Second A&amp;R LLC Agreement.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Class B common stock” refers to the shares of Class B common stock, par value $0.0001 per share, of OPAL.</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Class B Units” refers to the Class B Units as defined in the Second A&amp;R LLC Agreement.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Class C common stock” refers to the shares of Class C common stock, par value $0.0001 per share, of OPAL.</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 xml:space="preserve">Class D common stock” refers to the shares of Class D common stock, par value $0.0001 per share, of OPAL. </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Closing” refers to the closing of the Business Combination.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Common Stock” refers to the collective shares of Class A common stock, Class B common stock, Class C common stock and Class D common stock.</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Company”, “we”, “our”, “us” or similar terms refers to OPAL Fuels Inc. individually or on a consolidated basis, as the context may require.</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Exchange Act” refers to the Securities Exchange Act of 1934, as amended.</w:t>
      </w:r>
    </w:p>
    <w:p>
      <w:pPr>
        <w:pStyle w:val="TextBody"/>
        <w:bidi w:val="0"/>
        <w:spacing w:lineRule="auto" w:line="333" w:before="0" w:after="0"/>
        <w:jc w:val="both"/>
        <w:rPr>
          <w:color w:val="000000"/>
        </w:rPr>
      </w:pPr>
      <w:r>
        <w:rPr>
          <w:color w:val="000000"/>
        </w:rPr>
        <w:t>  </w:t>
      </w:r>
    </w:p>
    <w:p>
      <w:pPr>
        <w:pStyle w:val="TextBody"/>
        <w:bidi w:val="0"/>
        <w:spacing w:lineRule="auto" w:line="333"/>
        <w:jc w:val="both"/>
        <w:rPr>
          <w:color w:val="000000"/>
        </w:rPr>
      </w:pPr>
      <w:r>
        <w:rPr>
          <w:color w:val="000000"/>
        </w:rPr>
        <w:t>“</w:t>
      </w:r>
      <w:r>
        <w:rPr>
          <w:rFonts w:ascii="Times New Roman;serif" w:hAnsi="Times New Roman;serif"/>
          <w:b w:val="false"/>
          <w:i/>
          <w:color w:val="000000"/>
          <w:sz w:val="20"/>
        </w:rPr>
        <w:t xml:space="preserve">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12825"/>
                <wp:effectExtent l="0" t="0" r="0" b="0"/>
                <wp:wrapNone/>
                <wp:docPr id="8" name="Frame7"/>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i/>
          <w:color w:val="000000"/>
          <w:sz w:val="20"/>
        </w:rPr>
        <w:t xml:space="preserve">as </w:t>
      </w:r>
      <w:r>
        <w:rPr>
          <w:rFonts w:ascii="Times New Roman;serif" w:hAnsi="Times New Roman;serif"/>
          <w:b w:val="false"/>
          <w:color w:val="000000"/>
          <w:sz w:val="20"/>
        </w:rPr>
        <w:t xml:space="preserve">CNG. </w:t>
      </w:r>
      <w:r>
        <w:rPr>
          <w:rFonts w:ascii="Times New Roman;serif" w:hAnsi="Times New Roman;serif"/>
          <w:b w:val="false"/>
          <w:i/>
          <w:color w:val="000000"/>
          <w:sz w:val="20"/>
        </w:rPr>
        <w:t>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Hillman” refers to Hillman RNG Investments, LLC, a Delaware limited liability company.</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2022, as the same may be amended, modified, supplemented or waived from time to time in accordance with its terms.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OPAL” and “OPAL Fuels” refers to OPAL Fuels Inc., a Delaware corporation.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OPAL Preferred Stock” refers to our shares of preferred stock, par value $0.0001 per share.</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pPr>
      <w:r>
        <w:rPr>
          <w:color w:val="000000"/>
        </w:rPr>
        <w:t>“</w:t>
      </w:r>
      <w:r>
        <w:rPr>
          <w:rFonts w:ascii="Times New Roman;serif" w:hAnsi="Times New Roman;serif"/>
          <w:b w:val="false"/>
          <w:i/>
          <w:color w:val="000000"/>
          <w:sz w:val="20"/>
        </w:rPr>
        <w:t>Organizational Documents</w:t>
      </w:r>
      <w:r>
        <w:rPr>
          <w:color w:val="000000"/>
        </w:rPr>
        <w:t xml:space="preserve">” </w:t>
      </w:r>
      <w:r>
        <w:rPr>
          <w:rFonts w:ascii="Times New Roman;serif" w:hAnsi="Times New Roman;serif"/>
          <w:b w:val="false"/>
          <w:i/>
          <w:color w:val="000000"/>
          <w:sz w:val="20"/>
        </w:rPr>
        <w:t>refers to the Charter and the Bylaws.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Person” means an individual, partnership, corporation, limited liability company, joint stock company, unincorporated organization or association, trust, joint venture or other similar entity, whether or not a legal entity.</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Second A&amp;R LLC Agreement” refers to the Second Amended and Restated Limited Liability Company Agreement of Opco.</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Securities Act” refers to the Securities Act of 1933, as amended.</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following is a glossary of key industry terms used herein: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Btu” refers to British thermal units.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CNG” refers to compressed natural gas.</w:t>
      </w:r>
    </w:p>
    <w:p>
      <w:pPr>
        <w:pStyle w:val="TextBody"/>
        <w:bidi w:val="0"/>
        <w:spacing w:lineRule="auto" w:line="333" w:before="0" w:after="0"/>
        <w:jc w:val="both"/>
        <w:rPr>
          <w:color w:val="000000"/>
        </w:rPr>
      </w:pPr>
      <w:r>
        <w:rPr>
          <w:color w:val="000000"/>
        </w:rPr>
        <w:t> </w:t>
      </w:r>
    </w:p>
    <w:p>
      <w:pPr>
        <w:pStyle w:val="TextBody"/>
        <w:bidi w:val="0"/>
        <w:spacing w:lineRule="auto" w:line="333"/>
        <w:jc w:val="both"/>
        <w:rPr>
          <w:color w:val="000000"/>
        </w:rPr>
      </w:pPr>
      <w:r>
        <w:rPr>
          <w:color w:val="000000"/>
        </w:rPr>
        <w:t>“</w:t>
      </w:r>
      <w:r>
        <w:rPr>
          <w:rFonts w:ascii="Times New Roman;serif" w:hAnsi="Times New Roman;serif"/>
          <w:b w:val="false"/>
          <w:i/>
          <w:color w:val="000000"/>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12825"/>
                <wp:effectExtent l="0" t="0" r="0" b="0"/>
                <wp:wrapNone/>
                <wp:docPr id="9" name="Frame8"/>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EPA” refers to the U.S. Environmental Protection Agency.</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LCFS” refers to Low Carbon Fuel Standard or similar types of federal and state programs.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LFG” means landfill gas.</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RECs” refers to renewable energy credits.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Renewable Power” refers to electricity generated from renewable sources.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RFS” refers to the EPA’s Renewable Fuel Standard.</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RINs” refers to Renewable Identification Numbers.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color w:val="000000"/>
        </w:rPr>
      </w:pPr>
      <w:r>
        <w:rPr>
          <w:color w:val="000000"/>
        </w:rPr>
        <w:t>“</w:t>
      </w:r>
      <w:r>
        <w:rPr>
          <w:rFonts w:ascii="Times New Roman;serif" w:hAnsi="Times New Roman;serif"/>
          <w:b w:val="false"/>
          <w:i/>
          <w:color w:val="000000"/>
          <w:sz w:val="20"/>
        </w:rPr>
        <w:t>RNG” refers to renewable natural gas.</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that we filed with the U.S. Securities and Exchange Commission (“SEC”) using a “shelf” registration process. Under this shelf registration statement, we may sell from time to time in one or more offerings of Class A common stock, preferred stock and/or warrants to purchase any of such securities, either individually or as units comprised of a combination of one or more of the other securities in one or more offerings up to a total dollar amount of $199 million. This prospectus provides you with a general description of the securities we may offer. Each time we sell any type or series of securities under this prospectus, we will provide a prospectus supplement that will contain more specific information about the terms of that offering.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prospectus does not contain all of the information included in the registration statement. For a more complete understanding of the offering of the securities, you should refer to the registration statement, including its exhibits. We may add, update or change, in a prospectus supplement or free writing prospectus, any of the information contained in this prospectus or in the documents we have incorporated by reference into this prospectus. We may also authorize one or more free writing prospectuses to be provided to you that may contain material information relating to these offerings.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You should carefully read both this prospectus and the applicable prospectus supplement and any related free writing prospectus, together with the additional information described under “Where You Can Find More Information,” before buying any of the securities being offered.</w:t>
      </w:r>
    </w:p>
    <w:p>
      <w:pPr>
        <w:pStyle w:val="TextBody"/>
        <w:bidi w:val="0"/>
        <w:spacing w:lineRule="auto" w:line="333" w:before="0" w:after="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authorized any dealer, agent or other person to give any information or to make any representation other than those contained or incorporated by reference in this prospectus, any accompanying prospectus supplement or any related free writing prospectus that we may authorize to be provided to you. You must not rely upon any information or representation not contained or incorporated by reference in this prospectus or an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12825"/>
                <wp:effectExtent l="0" t="0" r="0" b="0"/>
                <wp:wrapNone/>
                <wp:docPr id="10" name="Frame9"/>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accompanying prospectus supplement, or any related free writing prospectus that we may authorize to be provided to you. This prospectus, the accompanying prospectus supplement and any related free writing prospectus, if any, do not constitute an offer to sell or the solicitation of an offer to buy any securities other than the registered securities to which they relate, nor do this prospectus, the accompanying prospectus supplement or any related free writing prospectus, if any,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permitted by the rules and regulations of the SEC, the registration statement, of which this prospectus forms a part, includes additional information not contained in this prospectus. You may read the registration statement and the other reports we file with the SEC at the SEC’s web site or at the SEC’s offices described below under the heading “Where You Can Find More Information.”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Company References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this prospectus “the Company,” “we,” “us,” and “our” refer to OPAL Fuels Inc., a Delaware corporation, and its subsidiaries, unless the context otherwise requires.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made in this prospectus are “forward-looking statements” within the meaning of the Private Securities Litigation Reform Act of 1995, that involve risks and uncertainties. Words such as “estimates,” “projected,” “expects,”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12825"/>
                <wp:effectExtent l="0" t="0" r="0" b="0"/>
                <wp:wrapNone/>
                <wp:docPr id="11" name="Frame10"/>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lineRule="auto" w:line="333" w:before="0" w:after="0"/>
        <w:ind w:left="0" w:right="0" w:hanging="480"/>
        <w:jc w:val="both"/>
        <w:rPr>
          <w:color w:val="000000"/>
        </w:rPr>
      </w:pPr>
      <w:r>
        <w:rPr>
          <w:color w:val="000000"/>
        </w:rPr>
        <w:t> </w:t>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our ability to grow and manage growth profitably, and maintain relationships with customers and suppliers;</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our success in retaining or recruiting, our principal officers, key employees or directors;</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intense competition and competitive pressures from other companies in the industry in which we operate;</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increased costs of, or delays in obtaining, key components or labor for the construction and completion of LFG and livestock waste projects that generate electricity and RNG, CNG and hydrogen dispensing stations;</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factors relating to our business, operations and financial performance, including market conditions and global and economic factors beyond our control;</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the reduction or elimination of government economic incentives to the renewable energy market;</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LCFS (as defined below) credits and other incentives;</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the ability to identify, acquire, develop and operate renewable projects and Fueling Stations (as defined below);</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our ability to issue equity or equity-linked securities or obtain or amend debt financing;</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the demand for renewable energy not being sustained;</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impacts of climate change, changing weather patterns and conditions and natural disasters; and</w:t>
      </w:r>
    </w:p>
    <w:p>
      <w:pPr>
        <w:pStyle w:val="TextBody"/>
        <w:bidi w:val="0"/>
        <w:spacing w:before="0" w:after="0"/>
        <w:ind w:left="0" w:right="0" w:hanging="720"/>
        <w:jc w:val="both"/>
        <w:rPr/>
      </w:pPr>
      <w:r>
        <w:rPr/>
      </w:r>
    </w:p>
    <w:p>
      <w:pPr>
        <w:pStyle w:val="TextBody"/>
        <w:bidi w:val="0"/>
        <w:spacing w:lineRule="auto" w:line="333" w:before="0" w:after="0"/>
        <w:ind w:left="0" w:right="0" w:hanging="720"/>
        <w:jc w:val="both"/>
        <w:rPr>
          <w:color w:val="000000"/>
        </w:rPr>
      </w:pPr>
      <w:r>
        <w:rPr>
          <w:color w:val="000000"/>
        </w:rPr>
        <w:t>▪    </w:t>
      </w:r>
      <w:r>
        <w:rPr>
          <w:rFonts w:ascii="Times New Roman;serif" w:hAnsi="Times New Roman;serif"/>
          <w:b w:val="false"/>
          <w:color w:val="000000"/>
          <w:sz w:val="20"/>
        </w:rPr>
        <w:t>the effect of legal, tax and regulatory changes.</w:t>
      </w:r>
    </w:p>
    <w:p>
      <w:pPr>
        <w:pStyle w:val="TextBody"/>
        <w:bidi w:val="0"/>
        <w:spacing w:before="0" w:after="0"/>
        <w:ind w:left="0" w:right="0" w:hanging="720"/>
        <w:jc w:val="both"/>
        <w:rPr/>
      </w:pPr>
      <w:r>
        <w:rPr/>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and in our Annual Report on Form 10-K, which was filed with the SEC on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12825"/>
                <wp:effectExtent l="0" t="0" r="0" b="0"/>
                <wp:wrapNone/>
                <wp:docPr id="12" name="Frame11"/>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March 16, 2026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summary highlights selected information contained elsewhere in this prospectus and does not contain all of the information you should consider when making your investment decision. Before investing in our securities, you should carefully read this entire prospectus. See also the section entitled “Where You Can Find More Information.” The definition of some of the terms used in this prospectus are set forth under the section “Selected Definitions.”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vertically integrated leader in the capture and conversion of biogas into low carbon intensity Renewable Power and RNG. We are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LFG, which is produced by the decomposition of organic waste at landfills, and (ii) dairy manure, which is processed through anaerobic digesters to produce the biogas.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information about us can be found in our most recent annual report on Form 10-K incorporated by reference herein together with any material changes thereto contained in subsequently filed quarterly reports on Form 10-Q. </w:t>
      </w:r>
    </w:p>
    <w:p>
      <w:pPr>
        <w:pStyle w:val="TextBody"/>
        <w:bidi w:val="0"/>
        <w:spacing w:lineRule="auto" w:line="33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12825"/>
                <wp:effectExtent l="0" t="0" r="0" b="0"/>
                <wp:wrapNone/>
                <wp:docPr id="13" name="Frame12"/>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val="false"/>
          <w:color w:val="000000"/>
          <w:sz w:val="20"/>
        </w:rPr>
        <w:t xml:space="preserve">We are a Delaware corporation. Our principal executive offices are located at One North Lexington Avenue, Suite 1450, White Plains, New York 10601 and our telephone number is (914) 705-4000. Our website is </w:t>
      </w:r>
      <w:r>
        <w:rPr>
          <w:rFonts w:ascii="Times New Roman;serif" w:hAnsi="Times New Roman;serif"/>
          <w:b w:val="false"/>
          <w:i/>
          <w:color w:val="000000"/>
          <w:sz w:val="20"/>
        </w:rPr>
        <w:t>www.opalfuels.com</w:t>
      </w:r>
      <w:r>
        <w:rPr>
          <w:rFonts w:ascii="Times New Roman;serif" w:hAnsi="Times New Roman;serif"/>
          <w:b w:val="false"/>
          <w:color w:val="000000"/>
          <w:sz w:val="20"/>
        </w:rPr>
        <w:t xml:space="preserve">. Our website and the information contained on, or accessed through, its website are not part of this prospectus, and you should rely only on the information contained in this prospectus when making a decision as to whether to invest in our securities.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The Securities We May Offer</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shares of our Class A common stock and preferred stock, and warrants to purchase any of such securities, either individually or in units, from time to time under this prospectus, together with any applicable prospectus supplement and related free writing prospectus, at prices and on terms to be determined by market conditions at the time of offering. Each time we offer securities under this prospectus, we will provide offerees with a prospectus supplement that will describe the specific amounts, prices and other important terms of the securities being offered, including, to the extent applicable: </w:t>
      </w:r>
    </w:p>
    <w:p>
      <w:pPr>
        <w:pStyle w:val="TextBody"/>
        <w:bidi w:val="0"/>
        <w:spacing w:before="0" w:after="0"/>
        <w:ind w:left="0" w:right="0" w:firstLine="72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designation or classification;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aggregate principal amount or aggregate offering price;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maturity, if applicable;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original issue discount, if 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rates and times of payment of interest or dividends, if 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redemption, conversion, exchange or sinking fund terms, if 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conversion or exchange prices or rates, if any, and, if applicable, any provisions for changes to or adjustments in the conversion or exchange prices or rates and in the securities or other property receivable upon conversion or exchange;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ranking;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restrictive covenants, if 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voting or other rights, if any;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important United States federal income tax considerations.</w:t>
      </w:r>
    </w:p>
    <w:p>
      <w:pPr>
        <w:pStyle w:val="TextBody"/>
        <w:bidi w:val="0"/>
        <w:spacing w:before="0" w:after="0"/>
        <w:jc w:val="left"/>
        <w:rPr/>
      </w:pPr>
      <w:r>
        <w:rPr/>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prospectus supplement and any related free writing prospectus that we may authorize to be provided to you may also add, update, or change information contained in this prospectus or in documents we have incorporated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012825"/>
                <wp:effectExtent l="0" t="0" r="0" b="0"/>
                <wp:wrapNone/>
                <wp:docPr id="14" name="Frame13"/>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sell the securities to or through underwriters, dealers or agents or directly to purchasers. We, as well as any agents acting on our behalf, reserve the sole right to accept and to reject in whole or in part any proposed purchase of securities. Each prospectus supplement will set forth the names of any underwriters, dealers or agents involved in the sale of securities described in that prospectus supplement and any applicable fee, commission or discount arrangements with them, details regarding any over-allotment option granted to them, and net proceeds to us. The following is a summary of the securities we may offer with this prospectus.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 xml:space="preserve">Class A Common Stock </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authorized 1,120,000,000 shares, consisting of 820,000,000 shares of common Stock, par value $0.0001 per share, divided into: 340,000,000 shares of Class A common stock, 160,000,000 shares of Class B common stock, 160,000,000 shares of Class C common stock, and 160,000,000 shares of Class D common stock. As of September 11, 2026, there were 30,290,963 shares of Class A common stock outstanding, 121,500,000 shares of Class B common stock issued and outstanding, no shares of Class C common stock issued and outstanding, and 22,899,037 shares of Class D common stock issued and outstanding. We may offer shares of our Class A common stock either alone or underlying other registered securities convertible into or exercisable for our Class A common stock. Holders of our Class A common stock are entitled to such dividends as our board of directors (the “Board of Directors” or “Board”) may declare from time to time out of legally available funds, subject to the preferential rights of the holders of any shares of our preferred stock that are outstanding or that we may issue in the future. Currently, we do not pay any dividends on our Class A common stock. Each holder of our Class A common stock is entitled to one vote per share held on all matters submitted to a vote of our stockholders. In this prospectus, we provide a general description of, among other things, the rights and restrictions that apply to holders of our Class A common stock.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pPr>
      <w:r>
        <w:rPr>
          <w:rFonts w:ascii="Times New Roman;serif" w:hAnsi="Times New Roman;serif"/>
          <w:b/>
          <w:color w:val="000000"/>
          <w:sz w:val="20"/>
        </w:rPr>
        <w:t>Preferred Stock</w:t>
      </w: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authorized 300,000,000 shares of preferred stock, par value $0.0001, none of which are issued and outstanding.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authorized and undesignated shares of preferred stock may be issued from time to time in one or more series pursuant to a resolution or resolutions providing for such issue duly adopted by our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w:t>
      </w:r>
    </w:p>
    <w:p>
      <w:pPr>
        <w:pStyle w:val="TextBody"/>
        <w:bidi w:val="0"/>
        <w:spacing w:lineRule="auto" w:line="33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012825"/>
                <wp:effectExtent l="0" t="0" r="0" b="0"/>
                <wp:wrapNone/>
                <wp:docPr id="15" name="Frame14"/>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preferences, privileges, and restrictions granted to or imposed upon any series of preferred stock that we offer and sell under this prospectus and applicable prospectus supplements will be set forth in a certificate of designation relating to the series. We will incorporate by reference into the registration statement of which this prospectus is a part the form of any certificate of designation that describes the terms of the series of preferred stock we are offering before the issuance of shares of that series of preferred stock. You should read any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pPr>
      <w:r>
        <w:rPr>
          <w:rFonts w:ascii="Times New Roman;serif" w:hAnsi="Times New Roman;serif"/>
          <w:b/>
          <w:color w:val="000000"/>
          <w:sz w:val="20"/>
        </w:rPr>
        <w:t>Warrants</w:t>
      </w: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warrants for the purchase of shares of our Class A common stock or preferred stock. We may issue the warrants by themselves or together with Class A common stock or preferred stock, and the warrants may be attached to or separate from any offered securities. Any warrants issued under this prospectus may be evidenced by warrant certificates. Warrants may be issued under a separate warrant agreement to be entered into between us and the investors or a warrant agent. Our Board of Directors will determine the terms of the warrants. This prospectus contains only general terms and provisions of the warrants. The applicable prospectus supplement will describe the particular terms of the warrants being offered thereby. You should read any prospectus supplement and any free writing prospectus that we may authorize to be provided to you related to the series of warrants being offered, as well as the complete warrant agreements that contain the terms of the warrants. Specific warrant agreements will contain additional important terms and provisions and will be incorporated by reference into the registration statement of which this prospectus is a part from reports we file with the SEC.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pPr>
      <w:r>
        <w:rPr>
          <w:rFonts w:ascii="Times New Roman;serif" w:hAnsi="Times New Roman;serif"/>
          <w:b/>
          <w:color w:val="000000"/>
          <w:sz w:val="20"/>
        </w:rPr>
        <w:t>Units</w:t>
      </w: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units consisting of our Class A common stock or preferred stock, and/or warrants to purchase any of these securities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This prospectus contains only a summary of certain general features of the units. The applicable prospectus supplement will describe the particular features of the units being offered thereby.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will be incorporated by reference into the registration statement of which this prospectus is a part from reports we file with the SEC.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333" w:before="0" w:after="0"/>
        <w:jc w:val="center"/>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investment in our securities involves a high degree of risk. This prospectus contains, and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this prospectus and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012825"/>
                <wp:effectExtent l="0" t="0" r="0" b="0"/>
                <wp:wrapNone/>
                <wp:docPr id="16" name="Frame15"/>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2025, filed with the SEC on March 16, 2026, and incorporated herein by reference, as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pStyle w:val="TextBody"/>
        <w:bidi w:val="0"/>
        <w:spacing w:lineRule="auto" w:line="333"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012825"/>
                <wp:effectExtent l="0" t="0" r="0" b="0"/>
                <wp:wrapNone/>
                <wp:docPr id="17" name="Frame16"/>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described in any prospectus supplement and any free writing prospectus in connection with a specific offering, we currently intend to use the net proceeds from the sale of the securities offered under this prospectus for general corporate purposes, including (i) sales and marketing, (ii) operational costs, (iii) design, development, construction, operation and maintenance of renewable energy and Fueling Stations, (iv) strategic transactions and (v) working capital and other general corporate purposes. We may also use the net proceeds to repay any debts and/or invest in or acquire complementary businesses, products, or technologies, although we have no current commitments or agreements with respect to any such investments or acquisitions as of the date of this prospectus. We have not determined the amount of net proceeds to be used specifically for the foregoing purposes. As a result, our management will have broad discretion in the allocation of the net proceeds and investors will be relying on the judgment of our management regarding the application of the proceeds of any sale of the securities. Pending use of the net proceeds, we intend to invest the proceeds in short-term, investment-grade, interest-bearing instruments.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time we offer securities under this prospectus, we will describe the intended use of the net proceeds from that offering in the applicable prospectus supplement. The actual amount of net proceeds we spend on a particular use will depend on many factors, including, our future capital expenditures, the amount of cash required by our operations, and our future revenue growth, if any. Therefore, we will retain broad discretion in the use of the net proceeds.</w:t>
      </w:r>
    </w:p>
    <w:p>
      <w:pPr>
        <w:pStyle w:val="TextBody"/>
        <w:bidi w:val="0"/>
        <w:spacing w:lineRule="auto" w:line="333"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012825"/>
                <wp:effectExtent l="0" t="0" r="0" b="0"/>
                <wp:wrapNone/>
                <wp:docPr id="18" name="Frame17"/>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pPr>
      <w:r>
        <w:rPr>
          <w:rFonts w:ascii="Times New Roman;serif" w:hAnsi="Times New Roman;serif"/>
          <w:b/>
          <w:color w:val="000000"/>
          <w:sz w:val="20"/>
        </w:rPr>
        <w:t>DESCRIPTION OF CAPITAL STOCK</w:t>
      </w:r>
      <w:r>
        <w:rPr>
          <w:color w:val="000000"/>
        </w:rPr>
        <w:t> </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description of OPAL’s capital stock is only a summary, and it does not contain all the information that may be important to you. For a complete description of the matters set forth in this section, you should refer to the Charter, the Bylaws, the Second A&amp;R LLC Agreement, the Investor Rights Agreement, and to the applicable provisions of Delaware law.</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Authorized Capitalization</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number of shares of all classes of stock that OPAL has the authority to issue is 1,120,000,000 shares, consisting of:</w:t>
      </w:r>
    </w:p>
    <w:p>
      <w:pPr>
        <w:pStyle w:val="TextBody"/>
        <w:bidi w:val="0"/>
        <w:spacing w:lineRule="auto" w:line="333" w:before="0" w:after="0"/>
        <w:ind w:left="0" w:right="0" w:hanging="360"/>
        <w:jc w:val="both"/>
        <w:rPr>
          <w:color w:val="000000"/>
        </w:rPr>
      </w:pPr>
      <w:r>
        <w:rPr>
          <w:color w:val="000000"/>
        </w:rPr>
        <w:t> </w:t>
      </w:r>
    </w:p>
    <w:tbl>
      <w:tblPr>
        <w:tblW w:w="75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7"/>
        <w:gridCol w:w="2027"/>
        <w:gridCol w:w="28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820,000,000 shares of Common Stock, par value of $0.0001 per share, divided into:</w:t>
            </w:r>
          </w:p>
        </w:tc>
      </w:tr>
    </w:tbl>
    <w:p>
      <w:pPr>
        <w:pStyle w:val="TextBody"/>
        <w:bidi w:val="0"/>
        <w:spacing w:lineRule="auto" w:line="333" w:before="0" w:after="0"/>
        <w:ind w:left="0" w:right="0" w:hanging="360"/>
        <w:jc w:val="both"/>
        <w:rPr>
          <w:color w:val="000000"/>
        </w:rPr>
      </w:pPr>
      <w:r>
        <w:rPr>
          <w:color w:val="000000"/>
        </w:rPr>
        <w:t> </w:t>
      </w:r>
    </w:p>
    <w:tbl>
      <w:tblPr>
        <w:tblW w:w="45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36"/>
        <w:gridCol w:w="1136"/>
        <w:gridCol w:w="1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340,000,000 shares of Class A common stock;</w:t>
            </w:r>
          </w:p>
        </w:tc>
      </w:tr>
    </w:tbl>
    <w:p>
      <w:pPr>
        <w:pStyle w:val="TextBody"/>
        <w:bidi w:val="0"/>
        <w:spacing w:lineRule="auto" w:line="333" w:before="0" w:after="0"/>
        <w:ind w:left="0" w:right="0" w:hanging="36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both"/>
        <w:rPr>
          <w:color w:val="000000"/>
        </w:rPr>
      </w:pPr>
      <w:r>
        <w:rPr>
          <w:color w:val="000000"/>
        </w:rPr>
        <w:t> </w:t>
      </w:r>
    </w:p>
    <w:tbl>
      <w:tblPr>
        <w:tblW w:w="45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36"/>
        <w:gridCol w:w="1136"/>
        <w:gridCol w:w="1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160,000,000 shares of Class B common stock;</w:t>
            </w:r>
          </w:p>
        </w:tc>
      </w:tr>
    </w:tbl>
    <w:p>
      <w:pPr>
        <w:pStyle w:val="TextBody"/>
        <w:bidi w:val="0"/>
        <w:spacing w:lineRule="auto" w:line="333" w:before="0" w:after="0"/>
        <w:ind w:left="0" w:right="0" w:hanging="360"/>
        <w:jc w:val="both"/>
        <w:rPr>
          <w:color w:val="000000"/>
        </w:rPr>
      </w:pPr>
      <w:r>
        <w:rPr>
          <w:color w:val="000000"/>
        </w:rPr>
        <w:t> </w:t>
      </w:r>
    </w:p>
    <w:tbl>
      <w:tblPr>
        <w:tblW w:w="48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37"/>
        <w:gridCol w:w="1237"/>
        <w:gridCol w:w="1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160,000,000 shares of Class C common stock; and</w:t>
            </w:r>
          </w:p>
        </w:tc>
      </w:tr>
    </w:tbl>
    <w:p>
      <w:pPr>
        <w:pStyle w:val="TextBody"/>
        <w:bidi w:val="0"/>
        <w:spacing w:lineRule="auto" w:line="333" w:before="0" w:after="0"/>
        <w:ind w:left="0" w:right="0" w:hanging="360"/>
        <w:jc w:val="both"/>
        <w:rPr>
          <w:color w:val="000000"/>
        </w:rPr>
      </w:pPr>
      <w:r>
        <w:rPr>
          <w:color w:val="000000"/>
        </w:rPr>
        <w:t> </w:t>
      </w:r>
    </w:p>
    <w:tbl>
      <w:tblPr>
        <w:tblW w:w="48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37"/>
        <w:gridCol w:w="1237"/>
        <w:gridCol w:w="1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160,000,000 shares of Class D common stock; and</w:t>
            </w:r>
          </w:p>
        </w:tc>
      </w:tr>
    </w:tbl>
    <w:p>
      <w:pPr>
        <w:pStyle w:val="TextBody"/>
        <w:bidi w:val="0"/>
        <w:spacing w:lineRule="auto" w:line="333" w:before="0" w:after="0"/>
        <w:ind w:left="0" w:right="0" w:hanging="360"/>
        <w:jc w:val="both"/>
        <w:rPr>
          <w:color w:val="000000"/>
        </w:rPr>
      </w:pPr>
      <w:r>
        <w:rPr>
          <w:color w:val="000000"/>
        </w:rPr>
        <w:t> </w:t>
      </w:r>
    </w:p>
    <w:tbl>
      <w:tblPr>
        <w:tblW w:w="6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90"/>
        <w:gridCol w:w="1790"/>
        <w:gridCol w:w="25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300,000,000 shares of OPAL Preferred Stock, par value $0.0001 per share.</w:t>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Class A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11, 2026, we had 30,290,963 shares of Class A common stock outstanding.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 xml:space="preserve">Voting Rights. </w:t>
      </w:r>
      <w:r>
        <w:rPr>
          <w:rFonts w:ascii="Times New Roman;serif" w:hAnsi="Times New Roman;serif"/>
          <w:b w:val="false"/>
          <w:color w:val="000000"/>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the fullest extent permitted by law, holders of shares of each class of the Common Stock, as such, have no voting power with respect to, and are not entitled to vote on, any amendment to the Charter (including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012825"/>
                <wp:effectExtent l="0" t="0" r="0" b="0"/>
                <wp:wrapNone/>
                <wp:docPr id="19" name="Frame18"/>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“DGCL”).</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Dividends; Stock Splits or Combinations.</w:t>
      </w:r>
      <w:r>
        <w:rPr>
          <w:color w:val="000000"/>
        </w:rPr>
        <w:t> </w:t>
      </w:r>
      <w:r>
        <w:rPr>
          <w:rFonts w:ascii="Times New Roman;serif" w:hAnsi="Times New Roman;serif"/>
          <w:b w:val="false"/>
          <w:color w:val="000000"/>
          <w:sz w:val="20"/>
        </w:rPr>
        <w:t>Subject to applicable law and the rights, if any, of the holders of any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of directors in its discretion may determine.</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 event will any stock dividend, stock split, reverse stock split, combination of stock, reclassification or recapitalization be declared or made on any series of Common Stock (each, a “Stock Adjustment”) unless:</w:t>
      </w:r>
    </w:p>
    <w:p>
      <w:pPr>
        <w:pStyle w:val="TextBody"/>
        <w:bidi w:val="0"/>
        <w:spacing w:lineRule="auto" w:line="333"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corresponding Stock Adjustment for all other series of Common Stock not so adjusted at the time outstanding is made in the same proportion and the same manner; and</w:t>
            </w:r>
          </w:p>
        </w:tc>
      </w:tr>
    </w:tbl>
    <w:p>
      <w:pPr>
        <w:pStyle w:val="TextBody"/>
        <w:bidi w:val="0"/>
        <w:spacing w:lineRule="auto" w:line="333"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Stock Adjustment has been reflected in the same economically equivalent manner on all Class A Units (as defined in the Second A&amp;R LLC Agreement).</w:t>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 dividends with respect to each class of Common Stock may only be paid with shares of stock of the same series of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Liquidation.</w:t>
      </w:r>
      <w:r>
        <w:rPr>
          <w:color w:val="000000"/>
        </w:rPr>
        <w:t> </w:t>
      </w:r>
      <w:r>
        <w:rPr>
          <w:rFonts w:ascii="Times New Roman;serif" w:hAnsi="Times New Roman;serif"/>
          <w:b w:val="false"/>
          <w:color w:val="000000"/>
          <w:sz w:val="20"/>
        </w:rPr>
        <w:t xml:space="preserve">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serif" w:hAnsi="Times New Roman;serif"/>
          <w:b w:val="false"/>
          <w:i/>
          <w:color w:val="000000"/>
          <w:sz w:val="20"/>
        </w:rPr>
        <w:t>pari passu</w:t>
      </w:r>
      <w:r>
        <w:rPr>
          <w:rFonts w:ascii="Times New Roman;serif" w:hAnsi="Times New Roman;serif"/>
          <w:b w:val="false"/>
          <w:color w:val="000000"/>
          <w:sz w:val="20"/>
        </w:rPr>
        <w:t>,</w:t>
      </w:r>
      <w:r>
        <w:rPr>
          <w:color w:val="000000"/>
        </w:rPr>
        <w:t> </w:t>
      </w:r>
      <w:r>
        <w:rPr>
          <w:rFonts w:ascii="Times New Roman;serif" w:hAnsi="Times New Roman;serif"/>
          <w:b w:val="false"/>
          <w:color w:val="000000"/>
          <w:sz w:val="20"/>
        </w:rPr>
        <w:t>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Class B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11, 2026, we had 121,500,000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pStyle w:val="TextBody"/>
        <w:bidi w:val="0"/>
        <w:spacing w:lineRule="auto" w:line="333"/>
        <w:ind w:left="0" w:right="0" w:firstLine="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012825"/>
                <wp:effectExtent l="0" t="0" r="0" b="0"/>
                <wp:wrapNone/>
                <wp:docPr id="20" name="Frame19"/>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pPr>
      <w:r>
        <w:rPr>
          <w:rFonts w:ascii="Times New Roman;serif" w:hAnsi="Times New Roman;serif"/>
          <w:b/>
          <w:i/>
          <w:color w:val="000000"/>
          <w:sz w:val="20"/>
        </w:rPr>
        <w:t>Voting Rights.</w:t>
      </w:r>
      <w:r>
        <w:rPr>
          <w:color w:val="000000"/>
        </w:rPr>
        <w:t> </w:t>
      </w:r>
      <w:r>
        <w:rPr>
          <w:rFonts w:ascii="Times New Roman;serif" w:hAnsi="Times New Roman;serif"/>
          <w:b w:val="false"/>
          <w:color w:val="000000"/>
          <w:sz w:val="20"/>
        </w:rPr>
        <w:t>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Dividends; Stock Splits or Combinations.</w:t>
      </w:r>
      <w:r>
        <w:rPr>
          <w:color w:val="000000"/>
        </w:rPr>
        <w:t xml:space="preserve"> </w:t>
      </w:r>
      <w:r>
        <w:rPr>
          <w:rFonts w:ascii="Times New Roman;serif" w:hAnsi="Times New Roman;serif"/>
          <w:b w:val="false"/>
          <w:color w:val="000000"/>
          <w:sz w:val="20"/>
        </w:rPr>
        <w:t>Dividends of cash or property may not be declared or paid on shares of Class B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Liquidation.</w:t>
      </w:r>
      <w:r>
        <w:rPr>
          <w:color w:val="000000"/>
        </w:rPr>
        <w:t> </w:t>
      </w:r>
      <w:r>
        <w:rPr>
          <w:rFonts w:ascii="Times New Roman;serif" w:hAnsi="Times New Roman;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 xml:space="preserve">Subscription Rights. </w:t>
      </w:r>
      <w:r>
        <w:rPr>
          <w:rFonts w:ascii="Times New Roman;serif" w:hAnsi="Times New Roman;serif"/>
          <w:b w:val="false"/>
          <w:color w:val="000000"/>
          <w:sz w:val="20"/>
        </w:rPr>
        <w:t>To the extent Class B Units are issued pursuant to the Second A&amp;R LLC Agreement to any stockholder of OPAL other than a 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Class C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11, 2026, we did not have any shares of Class C common stock issued and outstanding. Shares of Class C common stock may be converted to shares of Class A common stock, as discussed further below.</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Voting Rights.</w:t>
      </w:r>
      <w:r>
        <w:rPr>
          <w:color w:val="000000"/>
        </w:rPr>
        <w:t> </w:t>
      </w:r>
      <w:r>
        <w:rPr>
          <w:rFonts w:ascii="Times New Roman;serif" w:hAnsi="Times New Roman;serif"/>
          <w:b w:val="false"/>
          <w:color w:val="000000"/>
          <w:sz w:val="20"/>
        </w:rPr>
        <w:t>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ind w:left="0" w:right="0" w:firstLine="720"/>
        <w:jc w:val="both"/>
        <w:rPr/>
      </w:pPr>
      <w:r>
        <w:rPr>
          <w:rFonts w:ascii="Times New Roman;serif" w:hAnsi="Times New Roman;serif"/>
          <w:b/>
          <w:i/>
          <w:color w:val="000000"/>
          <w:sz w:val="20"/>
        </w:rPr>
        <w:t>Liquidation.</w:t>
      </w:r>
      <w:r>
        <w:rPr>
          <w:color w:val="000000"/>
        </w:rPr>
        <w:t> </w:t>
      </w:r>
      <w:r>
        <w:rPr>
          <w:rFonts w:ascii="Times New Roman;serif" w:hAnsi="Times New Roman;serif"/>
          <w:b w:val="false"/>
          <w:color w:val="000000"/>
          <w:sz w:val="20"/>
        </w:rPr>
        <w:t xml:space="preserve">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serif" w:hAnsi="Times New Roman;serif"/>
          <w:b w:val="false"/>
          <w:i/>
          <w:color w:val="000000"/>
          <w:sz w:val="20"/>
        </w:rPr>
        <w:t>pari passu</w:t>
      </w:r>
      <w:r>
        <w:rPr>
          <w:rFonts w:ascii="Times New Roman;serif" w:hAnsi="Times New Roman;serif"/>
          <w:b w:val="false"/>
          <w:color w:val="000000"/>
          <w:sz w:val="20"/>
        </w:rPr>
        <w:t>,</w:t>
      </w:r>
      <w:r>
        <w:rPr>
          <w:color w:val="000000"/>
        </w:rPr>
        <w:t> </w:t>
      </w:r>
      <w:r>
        <w:rPr>
          <w:rFonts w:ascii="Times New Roman;serif" w:hAnsi="Times New Roman;serif"/>
          <w:b w:val="false"/>
          <w:color w:val="000000"/>
          <w:sz w:val="20"/>
        </w:rPr>
        <w:t xml:space="preserve">an amount per share equal to the par value thereof, and thereafter the holders of all outstanding shares of Class A common stock and Class C common stock will be entitled to receive the remaining assets of OPAL available for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012825"/>
                <wp:effectExtent l="0" t="0" r="0" b="0"/>
                <wp:wrapNone/>
                <wp:docPr id="21" name="Frame20"/>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 ratably in proportion to the number of shares of Class A common stock and Class C common stock, which shall be treated as a single class.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Conversion.</w:t>
      </w:r>
    </w:p>
    <w:p>
      <w:pPr>
        <w:pStyle w:val="TextBody"/>
        <w:bidi w:val="0"/>
        <w:spacing w:lineRule="auto" w:line="333"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i/>
                <w:color w:val="000000"/>
                <w:sz w:val="20"/>
              </w:rPr>
              <w:t>Voluntary Conversion</w:t>
            </w:r>
            <w:r>
              <w:rPr>
                <w:rFonts w:ascii="Times New Roman;serif" w:hAnsi="Times New Roman;serif"/>
                <w:b w:val="false"/>
                <w:color w:val="000000"/>
                <w:sz w:val="20"/>
              </w:rPr>
              <w:t>. 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tc>
      </w:tr>
    </w:tbl>
    <w:p>
      <w:pPr>
        <w:pStyle w:val="TextBody"/>
        <w:bidi w:val="0"/>
        <w:spacing w:lineRule="auto" w:line="333"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i/>
                <w:color w:val="000000"/>
                <w:sz w:val="20"/>
              </w:rPr>
              <w:t>Automatic Conversion</w:t>
            </w:r>
            <w:r>
              <w:rPr>
                <w:rFonts w:ascii="Times New Roman;serif" w:hAnsi="Times New Roman;serif"/>
                <w:b w:val="false"/>
                <w:color w:val="000000"/>
                <w:sz w:val="20"/>
              </w:rPr>
              <w:t>. Each share of Class C common stock shall automatically, without any further action, convert into one share of Class A common stock upon a Transfer (as defined in the Charter), other than a Transfer to a Qualified Stockholder (as defined in the Charter).</w:t>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Class D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11, 2026, we had 22,899,037 shares of Class D common stock issued and outstanding.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Voting Rights.</w:t>
      </w:r>
      <w:r>
        <w:rPr>
          <w:color w:val="000000"/>
        </w:rPr>
        <w:t> </w:t>
      </w:r>
      <w:r>
        <w:rPr>
          <w:rFonts w:ascii="Times New Roman;serif" w:hAnsi="Times New Roman;serif"/>
          <w:b w:val="false"/>
          <w:color w:val="000000"/>
          <w:sz w:val="20"/>
        </w:rPr>
        <w:t>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Dividends; Stock Splits and Combinations.</w:t>
      </w:r>
      <w:r>
        <w:rPr>
          <w:color w:val="000000"/>
        </w:rPr>
        <w:t> </w:t>
      </w:r>
      <w:r>
        <w:rPr>
          <w:rFonts w:ascii="Times New Roman;serif" w:hAnsi="Times New Roman;serif"/>
          <w:b w:val="false"/>
          <w:color w:val="000000"/>
          <w:sz w:val="20"/>
        </w:rPr>
        <w:t>Dividends of cash or property may not be declared or paid on shares of Class D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ind w:left="0" w:right="0" w:firstLine="720"/>
        <w:jc w:val="both"/>
        <w:rPr/>
      </w:pPr>
      <w:r>
        <w:rPr>
          <w:rFonts w:ascii="Times New Roman;serif" w:hAnsi="Times New Roman;serif"/>
          <w:b/>
          <w:i/>
          <w:color w:val="000000"/>
          <w:sz w:val="20"/>
        </w:rPr>
        <w:t>Liquidation.</w:t>
      </w:r>
      <w:r>
        <w:rPr>
          <w:color w:val="000000"/>
        </w:rPr>
        <w:t> </w:t>
      </w:r>
      <w:r>
        <w:rPr>
          <w:rFonts w:ascii="Times New Roman;serif" w:hAnsi="Times New Roman;serif"/>
          <w:b w:val="false"/>
          <w:color w:val="000000"/>
          <w:sz w:val="20"/>
        </w:rPr>
        <w:t xml:space="preserve">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012825"/>
                <wp:effectExtent l="0" t="0" r="0" b="0"/>
                <wp:wrapNone/>
                <wp:docPr id="22" name="Frame21"/>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accordance with the Second A&amp;R LLC Agreement (or for the consideration payable in respect of shares of Class C common stock in such voluntary or involuntary liquidation, dissolution or winding-up).</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Subscription Rights.</w:t>
      </w:r>
      <w:r>
        <w:rPr>
          <w:color w:val="000000"/>
        </w:rPr>
        <w:t> </w:t>
      </w:r>
      <w:r>
        <w:rPr>
          <w:rFonts w:ascii="Times New Roman;serif" w:hAnsi="Times New Roman;serif"/>
          <w:b w:val="false"/>
          <w:color w:val="000000"/>
          <w:sz w:val="20"/>
        </w:rPr>
        <w:t>To the extent that Class B Units are issued pursuant to the Second A&amp;R LLC Agreement to any Qualified Stockholder, such 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i/>
          <w:color w:val="000000"/>
          <w:sz w:val="20"/>
        </w:rPr>
      </w:pPr>
      <w:r>
        <w:rPr>
          <w:rFonts w:ascii="Times New Roman;serif" w:hAnsi="Times New Roman;serif"/>
          <w:b/>
          <w:i/>
          <w:color w:val="000000"/>
          <w:sz w:val="20"/>
        </w:rPr>
        <w:t>Conversion.</w:t>
      </w:r>
    </w:p>
    <w:p>
      <w:pPr>
        <w:pStyle w:val="TextBody"/>
        <w:bidi w:val="0"/>
        <w:spacing w:lineRule="auto" w:line="333"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i/>
                <w:color w:val="000000"/>
                <w:sz w:val="20"/>
              </w:rPr>
              <w:t>Voluntary Conversion</w:t>
            </w:r>
            <w:r>
              <w:rPr>
                <w:rFonts w:ascii="Times New Roman;serif" w:hAnsi="Times New Roman;serif"/>
                <w:b w:val="false"/>
                <w:color w:val="000000"/>
                <w:sz w:val="20"/>
              </w:rPr>
              <w:t>. Each share of Class D common stock shall be convertible into one share of Class B common stock at the option of the 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 Further, shares of Class D common stock, together with the corresponding Class B Units may be exchanged for shares of Class C common stock pursuant to the Second A&amp;R LLC Agreement.</w:t>
            </w:r>
          </w:p>
        </w:tc>
      </w:tr>
    </w:tbl>
    <w:p>
      <w:pPr>
        <w:pStyle w:val="TextBody"/>
        <w:bidi w:val="0"/>
        <w:spacing w:lineRule="auto" w:line="333"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i/>
                <w:color w:val="000000"/>
                <w:sz w:val="20"/>
              </w:rPr>
              <w:t>Automatic Conversion</w:t>
            </w:r>
            <w:r>
              <w:rPr>
                <w:rFonts w:ascii="Times New Roman;serif" w:hAnsi="Times New Roman;serif"/>
                <w:b w:val="false"/>
                <w:color w:val="000000"/>
                <w:sz w:val="20"/>
              </w:rPr>
              <w:t>. Each share of Class D common stock shall automatically, without any further action, convert into one share of Class B common stock upon a Transfer, other than a Transfer to a Qualified Stockholder.</w:t>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Cancellation of Class B common stock and Class D common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OPAL Preferred Stock</w:t>
      </w:r>
    </w:p>
    <w:p>
      <w:pPr>
        <w:pStyle w:val="TextBody"/>
        <w:bidi w:val="0"/>
        <w:spacing w:lineRule="auto" w:line="333" w:before="0" w:after="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012825"/>
                <wp:effectExtent l="0" t="0" r="0" b="0"/>
                <wp:wrapNone/>
                <wp:docPr id="23" name="Frame22"/>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Stock) or decrease (but not below the number of shares of such series then outstanding) the number of shares of OPAL Preferred Stock of any such series.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val="false"/>
          <w:color w:val="000000"/>
          <w:sz w:val="20"/>
        </w:rPr>
        <w:t xml:space="preserve">Except as otherwise expressly provided in any certificate of designation designating any series of OPAL Preferred Stock, (i) any new series of OPAL Preferred Stock may be designated, fixed and determined as provided by the Charter by our board of directors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with the rights of the Common Stock, the OPAL Preferred Stock or any future class or series of OPAL Preferred Stock or Common Stock.</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Authorized But Unissued OPAL Capital Stock</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it relates to Class A common stock, we will at all times reserve and keep available out of our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it relates to Class B common stock, we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it relates to Class C common stock, we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Anti-Takeover Effects of Provisions of Delaware Law and the Organizational Documents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provisions of the Organizational Documents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012825"/>
                <wp:effectExtent l="0" t="0" r="0" b="0"/>
                <wp:wrapNone/>
                <wp:docPr id="24" name="Frame23"/>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attempts. Such provisions also may have the effect of preventing changes in our management or delaying or preventing a transaction that might benefit you or other minority stockholders.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provisions include:</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Action by Written Consent; Special Meeting of Stockholder.</w:t>
      </w:r>
      <w:r>
        <w:rPr>
          <w:color w:val="000000"/>
        </w:rPr>
        <w:t> </w:t>
      </w:r>
      <w:r>
        <w:rPr>
          <w:rFonts w:ascii="Times New Roman;serif" w:hAnsi="Times New Roman;serif"/>
          <w:b w:val="false"/>
          <w:color w:val="000000"/>
          <w:sz w:val="20"/>
        </w:rPr>
        <w:t>Subject to, with respect to the OPAL Preferred Stock, the terms of any series of OPAL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must be effected at a duly called annual or special meeting of the stockholders and may not be effected by any consent in lieu of a meeting.</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any special rights of the holders of any series of OPAL Preferred Stock and the requirements of applicable law, special meetings of stockholders may be called only by the chairperson of our board of directors, the vice chairperson of our board of directors, the chief executive officer or at the direction of our board of directors pursuant to a written resolution adopted by a majority of the total number of directors that we would have if there were no vacancies, and the ability of the stockholders or any other Persons to call a special meeting of the stockholders is specifically denied.</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Election and Removal of Directors.</w:t>
      </w:r>
      <w:r>
        <w:rPr>
          <w:color w:val="000000"/>
        </w:rPr>
        <w:t> </w:t>
      </w:r>
      <w:r>
        <w:rPr>
          <w:rFonts w:ascii="Times New Roman;serif" w:hAnsi="Times New Roman;serif"/>
          <w:b w:val="false"/>
          <w:color w:val="000000"/>
          <w:sz w:val="20"/>
        </w:rPr>
        <w:t>Subject to any limitations imposed by applicable law and except for additional directors of OPAL elected by the holders of any series of OPAL Preferred Stock as provided for or fixed pursuant to the Charter, any director of OPAL or the entire board of directors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of directors or any one or more directors of OPAL should be so removed, any new directors of OPAL shall, unless our board of directors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of directors, and not by the stockholders.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i/>
          <w:color w:val="000000"/>
          <w:sz w:val="20"/>
        </w:rPr>
        <w:t>Other Limitations on Stockholder Actions</w:t>
      </w:r>
      <w:r>
        <w:rPr>
          <w:rFonts w:ascii="Times New Roman;serif" w:hAnsi="Times New Roman;serif"/>
          <w:b w:val="false"/>
          <w:i/>
          <w:color w:val="000000"/>
          <w:sz w:val="20"/>
        </w:rPr>
        <w:t xml:space="preserve">. </w:t>
      </w:r>
      <w:r>
        <w:rPr>
          <w:rFonts w:ascii="Times New Roman;serif" w:hAnsi="Times New Roman;serif"/>
          <w:b w:val="false"/>
          <w:color w:val="000000"/>
          <w:sz w:val="20"/>
        </w:rPr>
        <w:t>Our Bylaws also impose some procedural requirements on stockholders who wish to:</w:t>
      </w:r>
    </w:p>
    <w:p>
      <w:pPr>
        <w:pStyle w:val="TextBody"/>
        <w:bidi w:val="0"/>
        <w:spacing w:lineRule="auto" w:line="333" w:before="0" w:after="0"/>
        <w:ind w:left="0" w:right="0" w:hanging="360"/>
        <w:jc w:val="both"/>
        <w:rPr>
          <w:color w:val="000000"/>
        </w:rPr>
      </w:pPr>
      <w:r>
        <w:rPr>
          <w:color w:val="000000"/>
        </w:rPr>
        <w:t> </w:t>
      </w:r>
    </w:p>
    <w:tbl>
      <w:tblPr>
        <w:tblW w:w="47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99"/>
        <w:gridCol w:w="1199"/>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make nominations in the election of directors; or</w:t>
            </w:r>
          </w:p>
        </w:tc>
      </w:tr>
    </w:tbl>
    <w:p>
      <w:pPr>
        <w:pStyle w:val="TextBody"/>
        <w:bidi w:val="0"/>
        <w:spacing w:lineRule="auto" w:line="333" w:before="0" w:after="0"/>
        <w:ind w:left="0" w:right="0" w:hanging="360"/>
        <w:jc w:val="both"/>
        <w:rPr>
          <w:color w:val="000000"/>
        </w:rPr>
      </w:pPr>
      <w:r>
        <w:rPr>
          <w:color w:val="000000"/>
        </w:rPr>
        <w:t> </w:t>
      </w:r>
    </w:p>
    <w:tbl>
      <w:tblPr>
        <w:tblW w:w="75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2"/>
        <w:gridCol w:w="2022"/>
        <w:gridCol w:w="2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propose any other business to be brought before an annual meeting of stockholders.</w:t>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pStyle w:val="TextBody"/>
        <w:bidi w:val="0"/>
        <w:spacing w:lineRule="auto" w:line="333"/>
        <w:ind w:left="0" w:right="0" w:hanging="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012825"/>
                <wp:effectExtent l="0" t="0" r="0" b="0"/>
                <wp:wrapNone/>
                <wp:docPr id="25" name="Frame24"/>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90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57"/>
        <w:gridCol w:w="2457"/>
        <w:gridCol w:w="3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name and record address of each stockholder proposing business, as they appear in OPAL’s books;</w:t>
            </w:r>
          </w:p>
        </w:tc>
      </w:tr>
    </w:tbl>
    <w:p>
      <w:pPr>
        <w:pStyle w:val="TextBody"/>
        <w:bidi w:val="0"/>
        <w:spacing w:lineRule="auto" w:line="333"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class or series and number of shares of stock of OPAL, directly or indirectly, held of record and beneficially by the Proponent or Stockholder Associated Person, as such terms are defined in the Bylaws;</w:t>
            </w:r>
          </w:p>
        </w:tc>
      </w:tr>
    </w:tbl>
    <w:p>
      <w:pPr>
        <w:pStyle w:val="TextBody"/>
        <w:bidi w:val="0"/>
        <w:spacing w:lineRule="auto" w:line="333" w:before="0" w:after="0"/>
        <w:ind w:left="0" w:right="0" w:hanging="36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names of all persons with whom the stockholder is acting in concert and a description of all arrangements and understandings with those persons;</w:t>
            </w:r>
          </w:p>
        </w:tc>
      </w:tr>
    </w:tbl>
    <w:p>
      <w:pPr>
        <w:pStyle w:val="TextBody"/>
        <w:bidi w:val="0"/>
        <w:spacing w:lineRule="auto" w:line="333"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tc>
      </w:tr>
    </w:tbl>
    <w:p>
      <w:pPr>
        <w:pStyle w:val="TextBody"/>
        <w:bidi w:val="0"/>
        <w:spacing w:lineRule="auto" w:line="333"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description of the business or nomination to be brought before the meeting, the text of the proposal and the reasons for conducting such business at the meeting; and</w:t>
            </w:r>
          </w:p>
        </w:tc>
      </w:tr>
    </w:tbl>
    <w:p>
      <w:pPr>
        <w:pStyle w:val="TextBody"/>
        <w:bidi w:val="0"/>
        <w:spacing w:lineRule="auto" w:line="333" w:before="0" w:after="0"/>
        <w:ind w:left="0" w:right="0" w:hanging="360"/>
        <w:jc w:val="both"/>
        <w:rPr>
          <w:color w:val="000000"/>
        </w:rPr>
      </w:pPr>
      <w:r>
        <w:rPr>
          <w:color w:val="000000"/>
        </w:rPr>
        <w:t> </w:t>
      </w:r>
    </w:p>
    <w:tbl>
      <w:tblPr>
        <w:tblW w:w="80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56"/>
        <w:gridCol w:w="2156"/>
        <w:gridCol w:w="30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material interest of the Proponent or Stockholder Associated Person in such business.</w:t>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Bylaws also set out the timeliness requirements for delivery of such notice.</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pStyle w:val="TextBody"/>
        <w:bidi w:val="0"/>
        <w:spacing w:lineRule="auto" w:line="333" w:before="0" w:after="0"/>
        <w:ind w:left="0" w:right="0" w:firstLine="720"/>
        <w:jc w:val="both"/>
        <w:rPr/>
      </w:pPr>
      <w:r>
        <w:rPr>
          <w:rFonts w:ascii="Times New Roman;serif" w:hAnsi="Times New Roman;serif"/>
          <w:b/>
          <w:i/>
          <w:color w:val="000000"/>
          <w:sz w:val="20"/>
        </w:rPr>
        <w:t>No Cumulative Voting.</w:t>
      </w:r>
      <w:r>
        <w:rPr>
          <w:color w:val="000000"/>
        </w:rPr>
        <w:t xml:space="preserve"> </w:t>
      </w:r>
      <w:r>
        <w:rPr>
          <w:rFonts w:ascii="Times New Roman;serif" w:hAnsi="Times New Roman;serif"/>
          <w:b w:val="false"/>
          <w:color w:val="000000"/>
          <w:sz w:val="20"/>
        </w:rPr>
        <w:t>The Charter provides that there shall be no cumulative voting in the election of directors. As a result, the holders of a plurality of the shares voting for the election of directors can elect all of the directors being elected.</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Limitation on Liability and Indemnification of Officers and Directors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Organizational Documents provide indemnification for OPAL’s directors and officers to the fullest extent permitted by the DGCL.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entered into certain Indemnification Agreements (“Indemnification Agreements”) with each of our directors and executive officers pursuant to which, subject to certain exceptions, we shall indemnify our directors and executive officers for all reasonable and documented direct and indirect expenses, including attorneys’ fees, paid or incurred by such officer or director in connection with the investigation, defense or appeal of, or being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012825"/>
                <wp:effectExtent l="0" t="0" r="0" b="0"/>
                <wp:wrapNone/>
                <wp:docPr id="26" name="Frame25"/>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 witness or otherwise involved in, a Proceeding (as defined in the Indemnification Agreements), or establishing or enforcing a right to indemnification under such agreement, Section 145 of the DGCL or otherwise (the “Expenses”). Pursuant to the Indemnification Agreements, in the event an officer or director who was or is a party to or witness in or is threatened to be made a party to or witness in any Proceeding with respect such officer’s or director’s service for us or a subsidiary or affiliate as an Indemnifiable Person (as defined in the Indemnification Agreements), or by reason of anything done or not done, or any act or omission, by such officer or director in any such capacity, we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our Bylaws and the DGCL. Furthermore, pursuant to the Indemnification Agreements, we shall, subject to certain exception, at the request of an officer or director, advance all Expenses incurred by such officer or director prior to the final disposition of a Proceeding.</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Exclusive Forum</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Charter provides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the Corporation;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our Charter or Bylaws (including any right, obligation or remedy thereunder); (v) any action, suit or proceeding as to which the DGCL confers jurisdiction to the Court of Chancery of the State of Delaware; or (vi) any action asserting a claim against us or any director, officer or other employee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action, the subject matter of which is within the scope of the exclusive forum provisions of the Charter,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exclusive forum provisions of the Charter (an “Enforcement Action”) and (ii) having service of process made upon such stockholder in any such Enforcement Action by service upon such stockholder’s counsel in the Foreign Action as agent for such stockholder.</w:t>
      </w:r>
    </w:p>
    <w:p>
      <w:pPr>
        <w:pStyle w:val="TextBody"/>
        <w:bidi w:val="0"/>
        <w:spacing w:lineRule="auto" w:line="333"/>
        <w:ind w:left="0" w:right="0" w:firstLine="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012825"/>
                <wp:effectExtent l="0" t="0" r="0" b="0"/>
                <wp:wrapNone/>
                <wp:docPr id="27" name="Frame26"/>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holding, owning or otherwise acquiring any interest in any of our securities shall be deemed to have notice of and to have consented to the exclusive forum provisions of the Charter.</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OPAL consents in writing to the selection of an alternative forum, the federal district courts of the United States shall be the exclusive forum for the resolution of any complaint asserting a cause of action arising under the Securities Act.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Investor Rights Agreement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initial public offering,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Transfer Agent</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transfer agent for OPAL’s Common Stock is Continental Transfer &amp; Trust Company.</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Listing of Common Stock</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shares of Class A common stock are listed on Nasdaq under the symbol “OPAL”.</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Class A common stock or preferred stock and may be issued in one or more series. Warrants may be offered independently or together with Class A common stock or preferred stock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lineRule="auto" w:line="333" w:before="0" w:after="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the warrants under a warrant agreement that we will enter into with a warrant agent to be selected by us. If selected, the warrant agent will act solely as an agent of ours in connection with the warrants and will not act as an agent for the holders or beneficial owners of the warrants. If applicable, we will file as exhibits to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012825"/>
                <wp:effectExtent l="0" t="0" r="0" b="0"/>
                <wp:wrapNone/>
                <wp:docPr id="28" name="Frame27"/>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registration statement of which this prospectus is a part, or will incorporate by reference from a Current Report on Form 8-K that we file with the SEC, the form of warrant agreement, including a form of warrant certificate,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a particular series of warrants. We urge you to read the applicable prospectus supplement and any applicable free writing prospectus related to the particular series of warrants that we sell under this prospectus, as well as the complete warrant agreements and warrant certificates that contain the terms of the warrants.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relating to a series of warrants, including:</w:t>
      </w:r>
    </w:p>
    <w:p>
      <w:pPr>
        <w:pStyle w:val="TextBody"/>
        <w:bidi w:val="0"/>
        <w:spacing w:lineRule="auto" w:line="333"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69"/>
        <w:gridCol w:w="2759"/>
        <w:gridCol w:w="39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offering price and aggregate number of warrants offered;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currency for which the warrants may be purchased;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applicable, the designation and terms of the securities with which the warrants are issued and the number of warrants issued with each such security or each principal amount of such security;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applicable, the date on and after which the warrants and the related securities will be separately transferable;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 the case of warrants to purchase Class A common stock or preferred stock, the number of shares of Class A common stock or preferred stock, as the case may be, purchasable upon the exercise of one warrant and the price at which these shares may be purchased upon such exercise;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effect of any merger, consolidation, sale or other disposition of our business on the warrant agreements and the warrants;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terms of any rights to redeem or call the warrants;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provisions for changes to or adjustments in the exercise price or number of securities issuable upon exercise of the warrants;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dates on which the right to exercise the warrants will commence and expire;</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012825"/>
                <wp:effectExtent l="0" t="0" r="0" b="0"/>
                <wp:wrapNone/>
                <wp:docPr id="29" name="Frame28"/>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81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81"/>
        <w:gridCol w:w="2181"/>
        <w:gridCol w:w="30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manner in which the warrant agreements and warrants may be modified;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federal income tax consequences of holding or exercising the warrants;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securities issuable upon exercise of the warrants;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other specific terms, preferences, rights or limitations of or restrictions on the warrants.</w:t>
            </w:r>
          </w:p>
        </w:tc>
      </w:tr>
    </w:tbl>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Before exercising their warrants, holders of warrants will not have any of the rights of holders of the securities purchasable upon such exercise, including, in the case of warrants to purchase common stock or preferred stock, the right to receive dividends, if any, or, payments upon our liquidation, dissolution or winding up or to exercise voting rights, if any. </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Exercise of Warrants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as applicable.</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Enforceability of Rights by Holders of Warrants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selected, 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lineRule="auto" w:line="333" w:before="0" w:after="0"/>
        <w:jc w:val="left"/>
        <w:rPr>
          <w:color w:val="000000"/>
        </w:rPr>
      </w:pPr>
      <w:r>
        <w:rPr>
          <w:color w:val="000000"/>
        </w:rPr>
        <w:t> </w:t>
      </w:r>
    </w:p>
    <w:p>
      <w:pPr>
        <w:pStyle w:val="TextBody"/>
        <w:bidi w:val="0"/>
        <w:spacing w:lineRule="auto" w:line="33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012825"/>
                <wp:effectExtent l="0" t="0" r="0" b="0"/>
                <wp:wrapNone/>
                <wp:docPr id="30" name="Frame29"/>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DESCRIPTION OF UNITS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description, together with the additional information we may include in any applicable prospectus supplements and free writing prospectuses, summarizes the material terms and provisions of the units that we may offer under this prospectus.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units comprised of shares of Class A common stock, shares of preferred stock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of the series of units, including:</w:t>
      </w:r>
    </w:p>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designation and terms of the units and of the securities comprising the units, including whether and under what circumstances those securities may be held or transferred separately;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provisions of the governing unit agreement that differ from those described below;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provisions for the issuance, payment, settlement, transfer or exchange of the units or of the securities comprising the units.</w:t>
            </w:r>
          </w:p>
        </w:tc>
      </w:tr>
    </w:tbl>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provisions described in this section, as well as those described under “Description of Capital Stock” and “Description of Warrants” will apply to each unit and to any common stock, preferred stock, or warrant included in each unit, respectively. </w:t>
      </w:r>
    </w:p>
    <w:p>
      <w:pPr>
        <w:pStyle w:val="TextBody"/>
        <w:bidi w:val="0"/>
        <w:spacing w:lineRule="auto" w:line="333" w:before="0" w:after="0"/>
        <w:jc w:val="both"/>
        <w:rPr>
          <w:color w:val="000000"/>
        </w:rPr>
      </w:pPr>
      <w:r>
        <w:rPr>
          <w:color w:val="000000"/>
        </w:rPr>
        <w:t> </w:t>
      </w:r>
    </w:p>
    <w:p>
      <w:pPr>
        <w:pStyle w:val="TextBody"/>
        <w:bidi w:val="0"/>
        <w:spacing w:lineRule="auto" w:line="333"/>
        <w:jc w:val="both"/>
        <w:rPr>
          <w:rFonts w:ascii="Times New Roman;serif" w:hAnsi="Times New Roman;serif"/>
          <w:b/>
          <w:color w:val="000000"/>
          <w:sz w:val="20"/>
        </w:rPr>
      </w:pPr>
      <w:r>
        <w:rPr>
          <w:rFonts w:ascii="Times New Roman;serif" w:hAnsi="Times New Roman;serif"/>
          <w:b/>
          <w:color w:val="000000"/>
          <w:sz w:val="20"/>
        </w:rPr>
        <w:t>Unit Agent</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012825"/>
                <wp:effectExtent l="0" t="0" r="0" b="0"/>
                <wp:wrapNone/>
                <wp:docPr id="31" name="Frame30"/>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name and address of the unit agent, if any, for any units we offer will be set forth in the applicable prospectus supplement.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Issuance in Series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issue units in such amounts and in numerous distinct series as we determine.</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Enforceability of Rights by Holders of Units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LEGAL OWNERSHIP OF SECURITIES</w:t>
      </w:r>
    </w:p>
    <w:p>
      <w:pPr>
        <w:pStyle w:val="TextBody"/>
        <w:bidi w:val="0"/>
        <w:spacing w:before="0" w:after="0"/>
        <w:jc w:val="center"/>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Book-Entry Holders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lineRule="auto" w:line="333" w:before="0" w:after="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012825"/>
                <wp:effectExtent l="0" t="0" r="0" b="0"/>
                <wp:wrapNone/>
                <wp:docPr id="32" name="Frame31"/>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Street Name Holders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securities held in street name, we or any applicable depositary will recognize only the intermediary banks, brokers and other financial institutions in whose names the securities are registered as the holders of those securities, and we or any such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Legal Holders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obligations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Whether and how the legal holders contact the indirect holders is up to the legal holders.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Special Considerations for Indirect Holders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hold securities through a bank, broker or other financial institution, either in book-entry form because the securities are represented by one or more global securities or in street name, you should check with your own institution to find out:</w:t>
      </w:r>
    </w:p>
    <w:p>
      <w:pPr>
        <w:pStyle w:val="TextBody"/>
        <w:bidi w:val="0"/>
        <w:spacing w:lineRule="auto" w:line="33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012825"/>
                <wp:effectExtent l="0" t="0" r="0" b="0"/>
                <wp:wrapNone/>
                <wp:docPr id="33" name="Frame32"/>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46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70"/>
        <w:gridCol w:w="1170"/>
        <w:gridCol w:w="16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how it handles securities payments and notices;</w:t>
            </w:r>
          </w:p>
        </w:tc>
      </w:tr>
    </w:tbl>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44"/>
        <w:gridCol w:w="2760"/>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whether it imposes fees or charges;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how it would handle a request for the holders’ consent, if ever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whether and how you can instruct it to send you securities registered in your own name so you can be a legal holder, if that is permitted in the future;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how it would exercise rights under the securities if there were a default or other event triggering the need for holders to act to protect their interests;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the securities are in book-entry form, how the depositary’s rules and procedures will affect these matters.</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global security is a security that represents one or any other number of individual securities held by a depositary. Generally, all securities represented by the same global securities will have the same terms.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NY, known as DTC, will be the depositary for all securities issued in book-entry form.</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012825"/>
                <wp:effectExtent l="0" t="0" r="0" b="0"/>
                <wp:wrapNone/>
                <wp:docPr id="34" name="Frame33"/>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Special Considerations for Global Securities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securities are issued only as global securities, an investor should be aware of the following:</w:t>
      </w:r>
    </w:p>
    <w:p>
      <w:pPr>
        <w:pStyle w:val="TextBody"/>
        <w:bidi w:val="0"/>
        <w:spacing w:lineRule="auto" w:line="333"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87"/>
        <w:gridCol w:w="2702"/>
        <w:gridCol w:w="38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investor cannot cause the securities to be registered in his or her name, and cannot obtain non-global certificates for his or her interest in the securities, except in the special situations we describe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investor will be an indirect holder and must look to his or her own bank or broker for payments on the securities and protection of his or her legal rights relating to the securities, as we describe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investor may not be able to sell interests in the securities to some insurance companies and to other institutions that are required by law to own their securities in non-book-entry form;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investor may not be able to pledge his or her interest in the global security in circumstances where certificates representing the securities must be delivered to the lender or other beneficiary of the pledge in order for the pledge to be effective;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depositary’s policies, which may change from time to time, will govern payments, transfers, exchanges and other matters relating to an investor’s interest in the global security. We have no responsibility for any aspect of the depositary’s actions or for its records of ownership interests in the global security. We also do not supervise the depositary in any way;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depositary may, and we understand that DTC will, require that those who purchase and sell interests in the global security within its book-entry system use immediately available funds, and your broker or bank may require you to do so as well;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Special Situations When A Global Security Will Be Terminated</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pStyle w:val="TextBody"/>
        <w:bidi w:val="0"/>
        <w:spacing w:lineRule="auto" w:line="333" w:before="0" w:after="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global security will terminate when the following special situations occur:</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012825"/>
                <wp:effectExtent l="0" t="0" r="0" b="0"/>
                <wp:wrapNone/>
                <wp:docPr id="35" name="Frame34"/>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1"/>
        <w:gridCol w:w="2776"/>
        <w:gridCol w:w="3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the depositary notifies us that it is unwilling, unable or no longer qualified to continue as depositary for that global security and we do not appoint another institution to act as depositary within 90 days; 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an event of default has occurred with regard to securities represented by that global security and has not been cured or waived.</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applicable prospectus supplement may also list additional situations for terminating a global security that would apply only to the particular series of securities covered by the prospectus supplement. When a global security terminates neither the depositary, nor us, is responsible for deciding the names of the institutions that will be the initial direct holders.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sell the securities being offered hereby in one or more of the following ways from time to time:</w:t>
      </w:r>
    </w:p>
    <w:p>
      <w:pPr>
        <w:pStyle w:val="TextBody"/>
        <w:bidi w:val="0"/>
        <w:spacing w:lineRule="auto" w:line="333" w:before="0" w:after="0"/>
        <w:jc w:val="left"/>
        <w:rPr>
          <w:color w:val="000000"/>
        </w:rPr>
      </w:pPr>
      <w:r>
        <w:rPr>
          <w:color w:val="000000"/>
        </w:rPr>
        <w:t> </w:t>
      </w:r>
    </w:p>
    <w:tbl>
      <w:tblPr>
        <w:tblW w:w="52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1"/>
        <w:gridCol w:w="1341"/>
        <w:gridCol w:w="19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through agents to the public or to investors;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underwriters for resale to the public or to investors;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negotiated transactions;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block trades;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directly to investors;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through a combination of any of these methods of sale.</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set forth in more detail below, the securities may be distributed from time to time in one or more transactions:</w:t>
      </w:r>
    </w:p>
    <w:p>
      <w:pPr>
        <w:pStyle w:val="TextBody"/>
        <w:bidi w:val="0"/>
        <w:spacing w:lineRule="auto" w:line="333" w:before="0" w:after="0"/>
        <w:jc w:val="left"/>
        <w:rPr>
          <w:color w:val="000000"/>
        </w:rPr>
      </w:pPr>
      <w:r>
        <w:rPr>
          <w:color w:val="000000"/>
        </w:rPr>
        <w:t> </w:t>
      </w:r>
    </w:p>
    <w:tbl>
      <w:tblPr>
        <w:tblW w:w="5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68"/>
        <w:gridCol w:w="1268"/>
        <w:gridCol w:w="1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a fixed price or prices, which may be changed;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market prices prevailing at the time of sale;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prices related to such prevailing market prices;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negotiated prices.</w:t>
            </w:r>
          </w:p>
        </w:tc>
      </w:tr>
    </w:tbl>
    <w:p>
      <w:pPr>
        <w:pStyle w:val="TextBody"/>
        <w:bidi w:val="0"/>
        <w:spacing w:lineRule="auto" w:line="33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012825"/>
                <wp:effectExtent l="0" t="0" r="0" b="0"/>
                <wp:wrapNone/>
                <wp:docPr id="36" name="Frame35"/>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set forth in a prospectus supplement the terms of that particular offering of securities, including:</w:t>
      </w:r>
    </w:p>
    <w:p>
      <w:pPr>
        <w:pStyle w:val="TextBody"/>
        <w:bidi w:val="0"/>
        <w:spacing w:lineRule="auto" w:line="333" w:before="0" w:after="0"/>
        <w:jc w:val="left"/>
        <w:rPr>
          <w:color w:val="000000"/>
        </w:rPr>
      </w:pPr>
      <w:r>
        <w:rPr>
          <w:color w:val="000000"/>
        </w:rPr>
        <w:t> </w:t>
      </w:r>
    </w:p>
    <w:tbl>
      <w:tblPr>
        <w:tblW w:w="97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58"/>
        <w:gridCol w:w="2658"/>
        <w:gridCol w:w="37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name or names of any agents or underwriters;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purchase price of the securities being offered and the proceeds we will receive from the sale;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over-allotment options under which underwriters may purchase additional securities from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agency fees or underwriting discounts and other items constituting agents’ or underwriters’ compensation;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initial public offering price;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discounts or concessions allowed or re-allowed or paid to dealers;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securities exchanges or markets on which such securities may be listed.</w:t>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Only underwriters named in an applicable prospectus supplement are underwriters of the securities offered by that prospectus supplement.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pStyle w:val="TextBody"/>
        <w:bidi w:val="0"/>
        <w:spacing w:lineRule="auto" w:line="333" w:before="0" w:after="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use a dealer in the sale of the securities being offered pursuant to this prospectus or any prospectus supplement, we will sell the securities to the dealer, as principal. The dealer may then resell the securities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012825"/>
                <wp:effectExtent l="0" t="0" r="0" b="0"/>
                <wp:wrapNone/>
                <wp:docPr id="37" name="Frame36"/>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public at varying prices to be determined by the dealer at the time of resale. The names of the dealers and the terms of the transaction will be specified in a prospectus supplement.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of the securities, underwriters, dealers or agents may receive compensation from us or from purchasers of the common stock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common stock directly and then resell the securities, may be deemed to be underwriters, and any discounts or commissions received by them from us and any profit on the resale of the common stock by them may be deemed to be underwriting discounts and commissions under the Securities Act.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engage in at the market offerings into an existing trading market in accordance with Rule 415(a)(4) under the Securities Act. 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pStyle w:val="TextBody"/>
        <w:bidi w:val="0"/>
        <w:spacing w:lineRule="auto" w:line="333" w:before="0" w:after="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facilitate an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those circumstances, such persons would cover such over-allotments or short positions by purchasing in the open market or by exercising the over-allotment option granted to those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012825"/>
                <wp:effectExtent l="0" t="0" r="0" b="0"/>
                <wp:wrapNone/>
                <wp:docPr id="38" name="Frame37"/>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the applicable prospectus supplement, each class or series of securities will be a new issue with no established trading market, other than our Class A common stock, which is listed on The Nasdaq Capital Market. We may elect to list any other class or series of securities on any exchange or market,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comply with the securities laws of some U.S. states or territories,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these activities at any time.</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pStyle w:val="TextBody"/>
        <w:bidi w:val="0"/>
        <w:spacing w:lineRule="auto" w:line="333"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333"/>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012825"/>
                <wp:effectExtent l="0" t="0" r="0" b="0"/>
                <wp:wrapNone/>
                <wp:docPr id="39" name="Frame38"/>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validity of the issuance of the securities offered hereby will be passed upon for us by Sheppard, Mullin, Richter &amp; Hampton LLP, New York, New York. Additional legal matters may be passed upon for us or any underwriters, dealers or agents, by counsel that we will name in the applicable prospectus supplement.</w:t>
      </w:r>
    </w:p>
    <w:p>
      <w:pPr>
        <w:pStyle w:val="TextBody"/>
        <w:bidi w:val="0"/>
        <w:spacing w:lineRule="auto" w:line="333"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OPAL Fuels Inc. as of December 31, 2025 and 2024 and for each of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w:t>
      </w:r>
    </w:p>
    <w:p>
      <w:pPr>
        <w:pStyle w:val="TextBody"/>
        <w:bidi w:val="0"/>
        <w:spacing w:lineRule="auto" w:line="333"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012825"/>
                <wp:effectExtent l="0" t="0" r="0" b="0"/>
                <wp:wrapNone/>
                <wp:docPr id="40" name="Frame39"/>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on Form S-3 under the Securities Act with respect to the securities offered by this prospectus. This prospectus, which forms a part of such registration statement, does not contain all of the information included in the registration statement or the exhibits thereto.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file annual, quarterly and current reports, proxy statements and other information with the SEC. Our SEC filings are available to the public over the Internet at the SEC’s website at www.sec.gov and on our website, free of charge, at www.opalfuels.com. The information contained on, or that may be accessed through or that is hyperlinked to, our website is not part of, and is not incorporated into, this prospectus. You may inspect a copy of the registration statement through the SEC’s website, as provided herein.</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012825"/>
                <wp:effectExtent l="0" t="0" r="0" b="0"/>
                <wp:wrapNone/>
                <wp:docPr id="41" name="Frame40"/>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prospectus, which means that we can disclose important information about us by referring to another document filed separately with the SEC. The information incorporated by reference is considered to be a part of this prospectus. This prospectus incorporates by reference the documents and reports listed below other than portions of these documents that are furnished under Item 2.02 or Item 7.01 of a current report on Form 8–K:</w:t>
      </w:r>
    </w:p>
    <w:p>
      <w:pPr>
        <w:pStyle w:val="TextBody"/>
        <w:bidi w:val="0"/>
        <w:spacing w:lineRule="auto" w:line="333"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20"/>
              </w:rPr>
              <w:t xml:space="preserve">our 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December 31, 2025, filed with the SEC on March 16, 2026;</w:t>
            </w:r>
          </w:p>
        </w:tc>
      </w:tr>
    </w:tbl>
    <w:p>
      <w:pPr>
        <w:pStyle w:val="TextBody"/>
        <w:bidi w:val="0"/>
        <w:spacing w:lineRule="auto" w:line="333"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20"/>
              </w:rPr>
              <w:t xml:space="preserve">our quarterly reports on Form 10–Q for the three months ended </w:t>
            </w:r>
            <w:hyperlink r:id="rId4">
              <w:r>
                <w:rPr>
                  <w:rStyle w:val="InternetLink"/>
                  <w:rFonts w:ascii="Times New Roman;serif" w:hAnsi="Times New Roman;serif"/>
                  <w:b w:val="false"/>
                  <w:color w:val="0000FF"/>
                  <w:sz w:val="20"/>
                  <w:u w:val="single"/>
                </w:rPr>
                <w:t>March 31, 2026</w:t>
              </w:r>
            </w:hyperlink>
            <w:r>
              <w:rPr>
                <w:color w:val="000000"/>
              </w:rPr>
              <w:t xml:space="preserve"> </w:t>
            </w:r>
            <w:r>
              <w:rPr>
                <w:rFonts w:ascii="Times New Roman;serif" w:hAnsi="Times New Roman;serif"/>
                <w:b w:val="false"/>
                <w:color w:val="000000"/>
                <w:sz w:val="20"/>
              </w:rPr>
              <w:t xml:space="preserve">filed with the SEC on May 11, 2026, and the three months ended </w:t>
            </w:r>
            <w:hyperlink r:id="rId5">
              <w:r>
                <w:rPr>
                  <w:rStyle w:val="InternetLink"/>
                  <w:rFonts w:ascii="Times New Roman;serif" w:hAnsi="Times New Roman;serif"/>
                  <w:b w:val="false"/>
                  <w:color w:val="0000FF"/>
                  <w:sz w:val="20"/>
                  <w:u w:val="single"/>
                </w:rPr>
                <w:t>June 30, 2026</w:t>
              </w:r>
            </w:hyperlink>
            <w:r>
              <w:rPr>
                <w:color w:val="000000"/>
              </w:rPr>
              <w:t xml:space="preserve"> </w:t>
            </w:r>
            <w:r>
              <w:rPr>
                <w:rFonts w:ascii="Times New Roman;serif" w:hAnsi="Times New Roman;serif"/>
                <w:b w:val="false"/>
                <w:color w:val="000000"/>
                <w:sz w:val="20"/>
              </w:rPr>
              <w:t>filed with the SEC on August 10, 2026; and</w:t>
            </w:r>
          </w:p>
        </w:tc>
      </w:tr>
    </w:tbl>
    <w:p>
      <w:pPr>
        <w:pStyle w:val="TextBody"/>
        <w:bidi w:val="0"/>
        <w:spacing w:lineRule="auto" w:line="333"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43" w:after="20"/>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20"/>
              </w:rPr>
              <w:t xml:space="preserve">our current reports on Form 8–K filed with the SEC on </w:t>
            </w:r>
            <w:hyperlink r:id="rId6">
              <w:r>
                <w:rPr>
                  <w:rStyle w:val="InternetLink"/>
                  <w:rFonts w:ascii="Times New Roman;serif" w:hAnsi="Times New Roman;serif"/>
                  <w:b w:val="false"/>
                  <w:color w:val="0000FF"/>
                  <w:sz w:val="20"/>
                  <w:u w:val="single"/>
                </w:rPr>
                <w:t>March 9, 2026</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May 20, 2026</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June 3, 2026</w:t>
              </w:r>
            </w:hyperlink>
            <w:r>
              <w:rPr>
                <w:rFonts w:ascii="Times New Roman;serif" w:hAnsi="Times New Roman;serif"/>
                <w:b w:val="false"/>
                <w:color w:val="000000"/>
                <w:sz w:val="20"/>
              </w:rPr>
              <w:t xml:space="preserve">, and </w:t>
            </w:r>
            <w:hyperlink r:id="rId9">
              <w:r>
                <w:rPr>
                  <w:rStyle w:val="InternetLink"/>
                  <w:rFonts w:ascii="Times New Roman;serif" w:hAnsi="Times New Roman;serif"/>
                  <w:b w:val="false"/>
                  <w:color w:val="0000FF"/>
                  <w:sz w:val="20"/>
                  <w:u w:val="single"/>
                </w:rPr>
                <w:t>June 22, 2026</w:t>
              </w:r>
            </w:hyperlink>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all documents subsequently filed by us pursuant to Sections 13(a), 13(c), 14 and 15(d) of the Exchange Act, shall be deemed to be incorporated by reference in this prospectus and to be a part hereof from the date of filing of such documents. In addition, all reports and other documents filed by us pursuant to the Exchange Act after the date of the initial registration statement and prior to effectiveness of the registration statement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 Information furnished under Items 2.02 or 7.01 (or corresponding information furnished under Item 9.01 or included as an exhibit) in any past or future Current Report on Form 8-K that we file with the SEC, unless otherwise specified in such report, is not incorporated by reference in this prospectus.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Copies of the documents incorporated herein by reference may be obtained on our website at www.opalfuels.com. The information on our website is not incorporated by reference into this prospectus. These documents are also available on the SEC’s website at http://www.sec.gov.</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provide, without charge, to any person, including any beneficial owner, to whom a copy of this prospectus is delivered, upon oral or written request of such person, a copy of any or all of the documents that have been incorporated by reference in this prospectus but not delivered with the prospectus, including any exhibits to such documents that are specifically incorporated by reference in those documents.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Please make your request by writing or telephoning us at the following address or telephone number:</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OPAL Fuels Inc.</w:t>
      </w:r>
    </w:p>
    <w:p>
      <w:pPr>
        <w:pStyle w:val="TextBody"/>
        <w:bidi w:val="0"/>
        <w:spacing w:lineRule="auto" w:line="333"/>
        <w:jc w:val="center"/>
        <w:rPr>
          <w:rFonts w:ascii="Times New Roman;serif" w:hAnsi="Times New Roman;serif"/>
          <w:b w:val="false"/>
          <w:color w:val="000000"/>
          <w:sz w:val="20"/>
        </w:rPr>
      </w:pPr>
      <w:r>
        <w:rPr>
          <w:rFonts w:ascii="Times New Roman;serif" w:hAnsi="Times New Roman;serif"/>
          <w:b w:val="false"/>
          <w:color w:val="000000"/>
          <w:sz w:val="20"/>
        </w:rPr>
        <w:t>One North Lexington Avenue</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012825"/>
                <wp:effectExtent l="0" t="0" r="0" b="0"/>
                <wp:wrapNone/>
                <wp:docPr id="42" name="Frame41"/>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Suite 1450</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White Plains, New York 10601</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Telephone: (914) 705-4000</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514600" cy="590550"/>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10"/>
                    <a:stretch>
                      <a:fillRect/>
                    </a:stretch>
                  </pic:blipFill>
                  <pic:spPr bwMode="auto">
                    <a:xfrm>
                      <a:off x="0" y="0"/>
                      <a:ext cx="2514600" cy="590550"/>
                    </a:xfrm>
                    <a:prstGeom prst="rect">
                      <a:avLst/>
                    </a:prstGeom>
                  </pic:spPr>
                </pic:pic>
              </a:graphicData>
            </a:graphic>
          </wp:inline>
        </w:drawing>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48"/>
        </w:rPr>
      </w:pPr>
      <w:r>
        <w:rPr>
          <w:rFonts w:ascii="Times New Roman;serif" w:hAnsi="Times New Roman;serif"/>
          <w:b/>
          <w:color w:val="000000"/>
          <w:sz w:val="48"/>
        </w:rPr>
        <w:t>OPAL FUELS INC.</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Class A Common Stock</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Units</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PRELIMINARY PROSPECTUS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2026</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333"/>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012825"/>
                <wp:effectExtent l="0" t="0" r="0" b="0"/>
                <wp:wrapNone/>
                <wp:docPr id="44" name="Frame42"/>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estimated expenses to be borne by us in connection with the issuance and distribution of the securities being registered hereby. All amounts shown are estimates except for the SEC registration fee, which reflects the offset described in the note below.</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bear all costs, expenses and fees in connection with the registration of the securities.</w:t>
      </w:r>
    </w:p>
    <w:p>
      <w:pPr>
        <w:pStyle w:val="TextBody"/>
        <w:bidi w:val="0"/>
        <w:spacing w:lineRule="auto" w:line="333" w:before="0" w:after="0"/>
        <w:jc w:val="left"/>
        <w:rPr>
          <w:color w:val="000000"/>
        </w:rPr>
      </w:pPr>
      <w:r>
        <w:rPr>
          <w:color w:val="000000"/>
        </w:rPr>
        <w:t> </w:t>
      </w:r>
    </w:p>
    <w:tbl>
      <w:tblPr>
        <w:tblW w:w="4492" w:type="dxa"/>
        <w:jc w:val="left"/>
        <w:tblInd w:w="0" w:type="dxa"/>
        <w:tblLayout w:type="fixed"/>
        <w:tblCellMar>
          <w:top w:w="28" w:type="dxa"/>
          <w:left w:w="28" w:type="dxa"/>
          <w:bottom w:w="28" w:type="dxa"/>
          <w:right w:w="28" w:type="dxa"/>
        </w:tblCellMar>
      </w:tblPr>
      <w:tblGrid>
        <w:gridCol w:w="1028"/>
        <w:gridCol w:w="901"/>
        <w:gridCol w:w="906"/>
        <w:gridCol w:w="109"/>
        <w:gridCol w:w="109"/>
        <w:gridCol w:w="109"/>
        <w:gridCol w:w="109"/>
        <w:gridCol w:w="109"/>
        <w:gridCol w:w="109"/>
        <w:gridCol w:w="210"/>
        <w:gridCol w:w="210"/>
        <w:gridCol w:w="211"/>
        <w:gridCol w:w="109"/>
        <w:gridCol w:w="109"/>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 registration fee*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20"/>
              </w:rPr>
              <w:t>0    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fees and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Legal fees and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Miscellaneous fees and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double" w:sz="10"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c>
        <w:tc>
          <w:tcPr>
            <w:tcW w:w="631" w:type="dxa"/>
            <w:gridSpan w:val="3"/>
            <w:tcBorders>
              <w:top w:val="single" w:sz="12" w:space="0" w:color="000000"/>
              <w:bottom w:val="double" w:sz="10"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9536" w:type="dxa"/>
            <w:gridSpan w:val="3"/>
            <w:tcBorders/>
            <w:tcMar>
              <w:top w:w="0" w:type="dxa"/>
              <w:left w:w="0" w:type="dxa"/>
              <w:bottom w:w="0" w:type="dxa"/>
              <w:right w:w="0" w:type="dxa"/>
            </w:tcMar>
            <w:vAlign w:val="center"/>
          </w:tcPr>
          <w:p>
            <w:pPr>
              <w:pStyle w:val="TableContents"/>
              <w:bidi w:val="0"/>
              <w:spacing w:lineRule="auto" w:line="333" w:before="43" w:after="20"/>
              <w:jc w:val="both"/>
              <w:rPr>
                <w:rFonts w:ascii="Times New Roman;serif" w:hAnsi="Times New Roman;serif"/>
                <w:b w:val="false"/>
                <w:color w:val="000000"/>
                <w:sz w:val="20"/>
              </w:rPr>
            </w:pPr>
            <w:r>
              <w:rPr>
                <w:rFonts w:ascii="Times New Roman;serif" w:hAnsi="Times New Roman;serif"/>
                <w:b w:val="false"/>
                <w:color w:val="000000"/>
                <w:sz w:val="20"/>
              </w:rPr>
              <w:t>This amount excludes a registration fee amount of $21,929.80 associated with $199 million of securities previously registered on the Registration Statement on Form S-3 (File No. 333-273584) and which remain unsold. Pursuant to Rule 415(a)(6) under the Securities Act, the amount of such registration fee associated with the offering of the unsold securities will be carried forward to be applied to the unsold securities registered under this registration statement and no additional filing fee will be due with respect to the unsold securities in connection with the filing of this registration statement.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2"/>
        <w:gridCol w:w="122"/>
        <w:gridCol w:w="122"/>
        <w:gridCol w:w="2774"/>
        <w:gridCol w:w="2774"/>
        <w:gridCol w:w="3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lineRule="auto" w:line="333" w:before="43" w:after="20"/>
              <w:jc w:val="left"/>
              <w:rPr/>
            </w:pPr>
            <w:r>
              <w:rPr>
                <w:rFonts w:ascii="Times New Roman;serif" w:hAnsi="Times New Roman;serif"/>
                <w:b/>
                <w:color w:val="000000"/>
                <w:sz w:val="20"/>
              </w:rPr>
              <w:t>**</w:t>
            </w:r>
            <w:r>
              <w:rPr>
                <w:color w:val="000000"/>
              </w:rPr>
              <w:t> </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These fees and expenses depend on the securities offered and the number of issuances and accordingly cannot be estimated at this time. </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OPAL is governed by the DGCL, as the same exists or may hereafter be amended. Section 145 of the DGCL (“Section 145”)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012825"/>
                <wp:effectExtent l="0" t="0" r="0" b="0"/>
                <wp:wrapNone/>
                <wp:docPr id="45" name="Frame43"/>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referred to above, or any claim, issue or matter therein, the corporation must indemnify that person against the expenses (including attorneys’ fees) which such officer or director actually and reasonably incurred in connection therewith.</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Bylaws) or serves or served at any other corporation, partnership, joint venture, trust or other enterprise as a director or executive officer at our request.</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provisions may be held not to be enforceable for certain violations of the federal securities laws of the United States.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Insofar as indemnification for liabilities arising under the Securities Act may be permitted to directors, officers or persons controlling the Company pursuant to the foregoing provisions, the Company has been informed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012825"/>
                <wp:effectExtent l="0" t="0" r="0" b="0"/>
                <wp:wrapNone/>
                <wp:docPr id="46" name="Frame44"/>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that in the opinion of the Securities and Exchange Commission such indemnification is against public policy as expressed in the Securities Act and is therefore unenforceable.</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16. Exhibits and Financial Statements.</w:t>
      </w:r>
    </w:p>
    <w:p>
      <w:pPr>
        <w:pStyle w:val="TextBody"/>
        <w:bidi w:val="0"/>
        <w:spacing w:lineRule="auto" w:line="333" w:before="0" w:after="0"/>
        <w:ind w:left="0" w:right="0" w:firstLine="720"/>
        <w:jc w:val="left"/>
        <w:rPr>
          <w:color w:val="000000"/>
        </w:rPr>
      </w:pPr>
      <w:r>
        <w:rPr>
          <w:color w:val="000000"/>
        </w:rPr>
        <w:t> </w:t>
      </w:r>
    </w:p>
    <w:p>
      <w:pPr>
        <w:pStyle w:val="TextBody"/>
        <w:bidi w:val="0"/>
        <w:spacing w:lineRule="auto" w:line="333" w:before="0" w:after="0"/>
        <w:ind w:left="0" w:right="0" w:firstLine="720"/>
        <w:jc w:val="left"/>
        <w:rPr/>
      </w:pPr>
      <w:r>
        <w:rPr>
          <w:rFonts w:ascii="Times New Roman;serif" w:hAnsi="Times New Roman;serif"/>
          <w:b w:val="false"/>
          <w:color w:val="000000"/>
          <w:sz w:val="20"/>
        </w:rPr>
        <w:t xml:space="preserve">(a) </w:t>
      </w:r>
      <w:r>
        <w:rPr>
          <w:rFonts w:ascii="Times New Roman;serif" w:hAnsi="Times New Roman;serif"/>
          <w:b w:val="false"/>
          <w:i/>
          <w:color w:val="000000"/>
          <w:sz w:val="20"/>
        </w:rPr>
        <w:t>Exhibits</w:t>
      </w:r>
      <w:r>
        <w:rPr>
          <w:rFonts w:ascii="Times New Roman;serif" w:hAnsi="Times New Roman;serif"/>
          <w:b w:val="false"/>
          <w:color w:val="000000"/>
          <w:sz w:val="20"/>
        </w:rPr>
        <w:t xml:space="preserve">. The following exhibits are being filed herewith: </w:t>
      </w:r>
    </w:p>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825"/>
        <w:gridCol w:w="2560"/>
        <w:gridCol w:w="3622"/>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333" w:before="43" w:after="20"/>
              <w:jc w:val="center"/>
              <w:rPr/>
            </w:pPr>
            <w:r>
              <w:rPr>
                <w:rFonts w:ascii="Times New Roman;serif" w:hAnsi="Times New Roman;serif"/>
                <w:b/>
                <w:color w:val="000000"/>
                <w:sz w:val="20"/>
              </w:rPr>
              <w:t>Exhibit</w:t>
              <w:br/>
              <w:t>Number</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color w:val="000000"/>
                <w:sz w:val="20"/>
              </w:rPr>
              <w:t>Description</w:t>
            </w:r>
            <w:r>
              <w:rPr>
                <w:color w:val="000000"/>
              </w:rPr>
              <w:t>  </w:t>
            </w:r>
          </w:p>
        </w:tc>
      </w:tr>
      <w:tr>
        <w:trPr/>
        <w:tc>
          <w:tcPr>
            <w:tcW w:w="87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87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 </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shd w:fill="CCECFF" w:val="clear"/>
            <w:tcMar>
              <w:top w:w="0" w:type="dxa"/>
              <w:left w:w="0" w:type="dxa"/>
              <w:bottom w:w="0" w:type="dxa"/>
              <w:right w:w="0" w:type="dxa"/>
            </w:tcMar>
            <w:vAlign w:val="center"/>
          </w:tcPr>
          <w:p>
            <w:pPr>
              <w:pStyle w:val="TableContents"/>
              <w:bidi w:val="0"/>
              <w:spacing w:lineRule="auto" w:line="333" w:before="43" w:after="20"/>
              <w:jc w:val="both"/>
              <w:rPr/>
            </w:pPr>
            <w:hyperlink r:id="rId11">
              <w:r>
                <w:rPr>
                  <w:rStyle w:val="InternetLink"/>
                  <w:rFonts w:ascii="Times New Roman;serif" w:hAnsi="Times New Roman;serif"/>
                  <w:b w:val="false"/>
                  <w:color w:val="0000EE"/>
                  <w:sz w:val="20"/>
                  <w:u w:val="single"/>
                </w:rPr>
                <w:t>Restated Certificate of Incorporation of OPAL Fuels Inc. (incorporated by reference to Exhibit 3.1 to the Current Report on Form 8-K/A filed by the Company on August 10, 2022)</w:t>
              </w:r>
            </w:hyperlink>
            <w:r>
              <w:rPr>
                <w:color w:val="000000"/>
              </w:rPr>
              <w:t> </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both"/>
              <w:rPr/>
            </w:pPr>
            <w:hyperlink r:id="rId12">
              <w:r>
                <w:rPr>
                  <w:rStyle w:val="InternetLink"/>
                  <w:rFonts w:ascii="Times New Roman;serif" w:hAnsi="Times New Roman;serif"/>
                  <w:b w:val="false"/>
                  <w:color w:val="0000EE"/>
                  <w:sz w:val="20"/>
                  <w:u w:val="single"/>
                </w:rPr>
                <w:t>Bylaws of OPAL Fuels Inc. (incorporated by reference to Exhibit 3.2 to the Current Report on Form 8-K filed on July 27, 2022)</w:t>
              </w:r>
            </w:hyperlink>
            <w:r>
              <w:rPr>
                <w:color w:val="000000"/>
              </w:rPr>
              <w:t> </w:t>
            </w:r>
          </w:p>
        </w:tc>
      </w:tr>
      <w:tr>
        <w:trPr/>
        <w:tc>
          <w:tcPr>
            <w:tcW w:w="87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shd w:fill="CCECFF" w:val="clear"/>
            <w:tcMar>
              <w:top w:w="0" w:type="dxa"/>
              <w:left w:w="0" w:type="dxa"/>
              <w:bottom w:w="0" w:type="dxa"/>
              <w:right w:w="0" w:type="dxa"/>
            </w:tcMar>
            <w:vAlign w:val="center"/>
          </w:tcPr>
          <w:p>
            <w:pPr>
              <w:pStyle w:val="TableContents"/>
              <w:bidi w:val="0"/>
              <w:spacing w:lineRule="auto" w:line="333" w:before="43" w:after="20"/>
              <w:jc w:val="both"/>
              <w:rPr/>
            </w:pPr>
            <w:hyperlink r:id="rId13">
              <w:r>
                <w:rPr>
                  <w:rStyle w:val="InternetLink"/>
                  <w:rFonts w:ascii="Times New Roman;serif" w:hAnsi="Times New Roman;serif"/>
                  <w:b w:val="false"/>
                  <w:color w:val="0000FF"/>
                  <w:sz w:val="20"/>
                  <w:u w:val="single"/>
                </w:rPr>
                <w:t>Amended and Restated Certificate of Designations of Series A Preferred Units of OPAL Fuels LLC, dated March 6, 2026 (incorporated by reference to Exhibit 3.1 to the Current Report on Form 8-K filed with the Company on March 9, 2026)</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Certificate of Designation with respect to Preferred Stock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Warrant </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Warrant Agreement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Unit Agreement </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43" w:after="20"/>
              <w:jc w:val="both"/>
              <w:rPr/>
            </w:pPr>
            <w:hyperlink r:id="rId14">
              <w:r>
                <w:rPr>
                  <w:rStyle w:val="InternetLink"/>
                  <w:rFonts w:ascii="Times New Roman;serif" w:hAnsi="Times New Roman;serif"/>
                  <w:b w:val="false"/>
                  <w:color w:val="0000FF"/>
                  <w:sz w:val="20"/>
                  <w:u w:val="single"/>
                </w:rPr>
                <w:t>Opinion of Sheppard, Mullin, Richter &amp; Hampton LLP</w:t>
              </w:r>
            </w:hyperlink>
            <w:r>
              <w:rPr>
                <w:color w:val="000000"/>
              </w:rPr>
              <w:t>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pPr>
            <w:hyperlink w:anchor="bdo-draftofconsentletterwo.htm">
              <w:r>
                <w:rPr>
                  <w:rStyle w:val="InternetLink"/>
                  <w:rFonts w:ascii="Times New Roman;serif" w:hAnsi="Times New Roman;serif"/>
                  <w:b w:val="false"/>
                  <w:color w:val="0000FF"/>
                  <w:sz w:val="20"/>
                  <w:u w:val="single"/>
                </w:rPr>
                <w:t>Consent of BDO USA, P.C., independent registered accounting firm for OPAL Fuels Inc. </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43" w:after="20"/>
              <w:jc w:val="both"/>
              <w:rPr/>
            </w:pPr>
            <w:hyperlink r:id="rId15">
              <w:r>
                <w:rPr>
                  <w:rStyle w:val="InternetLink"/>
                  <w:rFonts w:ascii="Times New Roman;serif" w:hAnsi="Times New Roman;serif"/>
                  <w:b w:val="false"/>
                  <w:color w:val="0000FF"/>
                  <w:sz w:val="20"/>
                  <w:u w:val="single"/>
                </w:rPr>
                <w:t xml:space="preserve">Consent of Sheppard, Mullin, Richter &amp; Hampton LLP (included as part of Exhibit </w:t>
              </w:r>
            </w:hyperlink>
            <w:r>
              <w:rPr>
                <w:rFonts w:ascii="Times New Roman;serif" w:hAnsi="Times New Roman;serif"/>
                <w:b w:val="false"/>
                <w:color w:val="0000EE"/>
                <w:sz w:val="20"/>
                <w:u w:val="single"/>
              </w:rPr>
              <w:t>5.1).</w:t>
            </w:r>
            <w:r>
              <w:rPr>
                <w:color w:val="000000"/>
              </w:rPr>
              <w:t>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"https://www.sec.gov/Archives/edgar/data/1842279/000162828026060724/opalfuelss-32026.htm" \l "ic70502796acd4c4abd57d6359bc4d6e6_42"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Power of Attorney </w:t>
            </w:r>
            <w:r>
              <w:rPr>
                <w:rStyle w:val="InternetLink"/>
                <w:sz w:val="20"/>
                <w:u w:val="single"/>
                <w:b w:val="false"/>
                <w:rFonts w:ascii="Times New Roman;serif" w:hAnsi="Times New Roman;serif"/>
                <w:color w:val="0000FF"/>
              </w:rPr>
              <w:fldChar w:fldCharType="end"/>
            </w:r>
            <w:r>
              <w:rPr>
                <w:rFonts w:ascii="Times New Roman;serif" w:hAnsi="Times New Roman;serif"/>
                <w:b w:val="false"/>
                <w:color w:val="000000"/>
                <w:sz w:val="20"/>
              </w:rPr>
              <w:t>(included on signature page to the initial filing of this registration statement)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pPr>
            <w:hyperlink r:id="rId16">
              <w:r>
                <w:rPr>
                  <w:rStyle w:val="InternetLink"/>
                  <w:rFonts w:ascii="Times New Roman;serif" w:hAnsi="Times New Roman;serif"/>
                  <w:b w:val="false"/>
                  <w:color w:val="0000FF"/>
                  <w:sz w:val="20"/>
                  <w:u w:val="single"/>
                </w:rPr>
                <w:t>Filing Fee Table</w:t>
              </w:r>
            </w:hyperlink>
            <w:r>
              <w:rPr>
                <w:color w:val="000000"/>
              </w:rPr>
              <w:t> </w:t>
            </w:r>
          </w:p>
        </w:tc>
      </w:tr>
    </w:tbl>
    <w:p>
      <w:pPr>
        <w:pStyle w:val="TextBody"/>
        <w:bidi w:val="0"/>
        <w:spacing w:lineRule="auto" w:line="333" w:before="0" w:after="0"/>
        <w:jc w:val="left"/>
        <w:rPr>
          <w:color w:val="000000"/>
        </w:rPr>
      </w:pPr>
      <w:r>
        <w:rPr>
          <w:color w:val="000000"/>
        </w:rPr>
        <w:t> </w:t>
      </w:r>
    </w:p>
    <w:tbl>
      <w:tblPr>
        <w:tblW w:w="21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48"/>
        <w:gridCol w:w="448"/>
        <w:gridCol w:w="6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Previously filed. </w:t>
            </w:r>
          </w:p>
        </w:tc>
      </w:tr>
    </w:tbl>
    <w:p>
      <w:pPr>
        <w:pStyle w:val="TextBody"/>
        <w:bidi w:val="0"/>
        <w:spacing w:before="0" w:after="0"/>
        <w:jc w:val="left"/>
        <w:rPr/>
      </w:pPr>
      <w:r>
        <w:rPr/>
      </w:r>
    </w:p>
    <w:tbl>
      <w:tblPr>
        <w:tblW w:w="2112"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413"/>
        <w:gridCol w:w="413"/>
        <w:gridCol w:w="5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 </w:t>
            </w:r>
          </w:p>
        </w:tc>
      </w:tr>
    </w:tbl>
    <w:p>
      <w:pPr>
        <w:pStyle w:val="TextBody"/>
        <w:bidi w:val="0"/>
        <w:spacing w:before="0" w:after="0"/>
        <w:jc w:val="left"/>
        <w:rPr/>
      </w:pPr>
      <w:r>
        <w:rPr/>
      </w:r>
    </w:p>
    <w:tbl>
      <w:tblPr>
        <w:tblW w:w="8052" w:type="dxa"/>
        <w:jc w:val="left"/>
        <w:tblInd w:w="0" w:type="dxa"/>
        <w:tblLayout w:type="fixed"/>
        <w:tblCellMar>
          <w:top w:w="28" w:type="dxa"/>
          <w:left w:w="28" w:type="dxa"/>
          <w:bottom w:w="28" w:type="dxa"/>
          <w:right w:w="28" w:type="dxa"/>
        </w:tblCellMar>
      </w:tblPr>
      <w:tblGrid>
        <w:gridCol w:w="124"/>
        <w:gridCol w:w="109"/>
        <w:gridCol w:w="109"/>
        <w:gridCol w:w="155"/>
        <w:gridCol w:w="155"/>
        <w:gridCol w:w="155"/>
        <w:gridCol w:w="2122"/>
        <w:gridCol w:w="2122"/>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72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required, to be filed by amendment or under subsequent Current Report on Form 8-K. </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pPr>
      <w:r>
        <w:rPr>
          <w:rFonts w:ascii="Times New Roman;serif" w:hAnsi="Times New Roman;serif"/>
          <w:b w:val="false"/>
          <w:color w:val="000000"/>
          <w:sz w:val="20"/>
        </w:rPr>
        <w:t xml:space="preserve">(b) </w:t>
      </w:r>
      <w:r>
        <w:rPr>
          <w:rFonts w:ascii="Times New Roman;serif" w:hAnsi="Times New Roman;serif"/>
          <w:b w:val="false"/>
          <w:i/>
          <w:color w:val="000000"/>
          <w:sz w:val="20"/>
        </w:rPr>
        <w:t>Financial Statements</w:t>
      </w:r>
      <w:r>
        <w:rPr>
          <w:rFonts w:ascii="Times New Roman;serif" w:hAnsi="Times New Roman;serif"/>
          <w:b w:val="false"/>
          <w:color w:val="000000"/>
          <w:sz w:val="20"/>
        </w:rPr>
        <w:t>. The financial statements filed as part of this registration statement are listed in the index to the financial statements immediately preceding such financial statements, which index to the financial statements is incorporated herein by reference.</w:t>
      </w:r>
    </w:p>
    <w:p>
      <w:pPr>
        <w:pStyle w:val="TextBody"/>
        <w:bidi w:val="0"/>
        <w:spacing w:lineRule="auto" w:line="333"/>
        <w:ind w:left="0" w:right="0" w:firstLine="72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012825"/>
                <wp:effectExtent l="0" t="0" r="0" b="0"/>
                <wp:wrapNone/>
                <wp:docPr id="47" name="Frame45"/>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left"/>
        <w:rPr>
          <w:color w:val="000000"/>
        </w:rPr>
      </w:pPr>
      <w:r>
        <w:rPr>
          <w:color w:val="000000"/>
        </w:rPr>
        <w:t>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lineRule="auto" w:line="333" w:before="0" w:after="0"/>
        <w:ind w:left="0" w:right="0" w:firstLine="1102"/>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(1)(i), (1)(ii), and (1)(iii)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remove from registration by means of a post-effective amendment any of the securities being registered which remain unsold at the termination of the offering.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333" w:before="43" w:after="20"/>
              <w:jc w:val="both"/>
              <w:rPr/>
            </w:pPr>
            <w:r>
              <w:rPr>
                <w:rFonts w:ascii="Times New Roman;serif" w:hAnsi="Times New Roman;serif"/>
                <w:b w:val="false"/>
                <w:color w:val="000000"/>
                <w:sz w:val="20"/>
              </w:rPr>
              <w:t>That, for the purpose of determining liability under the Securities Act to any purchaser: (i) each prospectus filed by the registrant pursuant to Rule 424(b)(3) shall be deemed to be part of the registration statement as of the date the filed prospectus was deemed part of and included in the registration statement; and (ii) e</w:t>
            </w:r>
            <w:r>
              <w:rPr>
                <w:rFonts w:ascii="Times New Roman;serif" w:hAnsi="Times New Roman;serif"/>
                <w:b w:val="false"/>
                <w:color w:val="000000"/>
                <w:sz w:val="20"/>
                <w:shd w:fill="FFFFFF" w:val="clear"/>
              </w:rPr>
              <w:t xml:space="preserv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serif" w:hAnsi="Times New Roman;serif"/>
                <w:b w:val="false"/>
                <w:i/>
                <w:color w:val="000000"/>
                <w:sz w:val="20"/>
                <w:shd w:fill="FFFFFF" w:val="clear"/>
              </w:rPr>
              <w:t>bona fide</w:t>
            </w:r>
            <w:r>
              <w:rPr>
                <w:color w:val="000000"/>
                <w:shd w:fill="FFFFFF" w:val="clear"/>
              </w:rPr>
              <w:t xml:space="preserve"> </w:t>
            </w:r>
            <w:r>
              <w:rPr>
                <w:rFonts w:ascii="Times New Roman;serif" w:hAnsi="Times New Roman;serif"/>
                <w:b w:val="false"/>
                <w:color w:val="000000"/>
                <w:sz w:val="20"/>
                <w:shd w:fill="FFFFFF" w:val="clear"/>
              </w:rPr>
              <w:t xml:space="preserve">offering thereof. </w:t>
            </w:r>
            <w:r>
              <w:rPr>
                <w:rFonts w:ascii="Times New Roman;serif" w:hAnsi="Times New Roman;serif"/>
                <w:b w:val="false"/>
                <w:i/>
                <w:color w:val="000000"/>
                <w:sz w:val="20"/>
                <w:shd w:fill="FFFFFF" w:val="clear"/>
              </w:rPr>
              <w:t>Provided, however,</w:t>
            </w:r>
            <w:r>
              <w:rPr>
                <w:color w:val="000000"/>
                <w:shd w:fill="FFFFFF" w:val="clear"/>
              </w:rPr>
              <w:t xml:space="preserve"> </w:t>
            </w:r>
            <w:r>
              <w:rPr>
                <w:rFonts w:ascii="Times New Roman;serif" w:hAnsi="Times New Roman;serif"/>
                <w:b w:val="false"/>
                <w:color w:val="000000"/>
                <w:sz w:val="20"/>
                <w:shd w:fill="FFFFFF" w:val="clear"/>
              </w:rPr>
              <w:t>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012825"/>
                <wp:effectExtent l="0" t="0" r="0" b="0"/>
                <wp:wrapNone/>
                <wp:docPr id="48" name="Frame46"/>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333" w:before="43"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That, for the purpose of determining liability of the registrant under the Securities Act of 1933 to any purchaser in the initial distribution of the securities: </w:t>
            </w:r>
          </w:p>
          <w:p>
            <w:pPr>
              <w:pStyle w:val="TableContents"/>
              <w:bidi w:val="0"/>
              <w:spacing w:before="0" w:after="0"/>
              <w:jc w:val="both"/>
              <w:rPr/>
            </w:pPr>
            <w:r>
              <w:rPr/>
            </w:r>
          </w:p>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ableContents"/>
              <w:bidi w:val="0"/>
              <w:spacing w:before="0" w:after="0"/>
              <w:jc w:val="both"/>
              <w:rPr/>
            </w:pPr>
            <w:r>
              <w:rPr/>
            </w:r>
          </w:p>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 (§ 230.424 of this chapter);</w:t>
            </w:r>
          </w:p>
          <w:p>
            <w:pPr>
              <w:pStyle w:val="TableContents"/>
              <w:bidi w:val="0"/>
              <w:spacing w:before="0" w:after="0"/>
              <w:jc w:val="both"/>
              <w:rPr/>
            </w:pPr>
            <w:r>
              <w:rPr/>
            </w:r>
          </w:p>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ableContents"/>
              <w:bidi w:val="0"/>
              <w:spacing w:before="0" w:after="0"/>
              <w:jc w:val="both"/>
              <w:rPr/>
            </w:pPr>
            <w:r>
              <w:rPr/>
            </w:r>
          </w:p>
          <w:p>
            <w:pPr>
              <w:pStyle w:val="TableContents"/>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ableContents"/>
              <w:bidi w:val="0"/>
              <w:spacing w:before="0" w:after="0"/>
              <w:jc w:val="both"/>
              <w:rPr/>
            </w:pPr>
            <w:r>
              <w:rPr/>
            </w:r>
          </w:p>
          <w:p>
            <w:pPr>
              <w:pStyle w:val="TableContents"/>
              <w:bidi w:val="0"/>
              <w:spacing w:lineRule="auto" w:line="333" w:before="0" w:after="20"/>
              <w:jc w:val="both"/>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0"/>
        <w:jc w:val="left"/>
        <w:rPr>
          <w:color w:val="000000"/>
        </w:rPr>
      </w:pPr>
      <w:r>
        <w:rPr>
          <w:color w:val="000000"/>
        </w:rPr>
        <w:t> </w:t>
      </w:r>
    </w:p>
    <w:p>
      <w:pPr>
        <w:pStyle w:val="TextBody"/>
        <w:bidi w:val="0"/>
        <w:spacing w:lineRule="auto" w:line="33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White Plains, State of New York, on September 14, 2026.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012825"/>
                <wp:effectExtent l="0" t="0" r="0" b="0"/>
                <wp:wrapNone/>
                <wp:docPr id="49" name="Frame47"/>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both"/>
        <w:rPr>
          <w:color w:val="000000"/>
        </w:rPr>
      </w:pPr>
      <w:r>
        <w:rPr>
          <w:color w:val="000000"/>
        </w:rPr>
        <w:t> </w:t>
      </w:r>
    </w:p>
    <w:tbl>
      <w:tblPr>
        <w:tblW w:w="4103" w:type="dxa"/>
        <w:jc w:val="left"/>
        <w:tblInd w:w="0" w:type="dxa"/>
        <w:tblLayout w:type="fixed"/>
        <w:tblCellMar>
          <w:top w:w="28" w:type="dxa"/>
          <w:left w:w="28" w:type="dxa"/>
          <w:bottom w:w="28" w:type="dxa"/>
          <w:right w:w="28" w:type="dxa"/>
        </w:tblCellMar>
      </w:tblPr>
      <w:tblGrid>
        <w:gridCol w:w="124"/>
        <w:gridCol w:w="109"/>
        <w:gridCol w:w="109"/>
        <w:gridCol w:w="191"/>
        <w:gridCol w:w="191"/>
        <w:gridCol w:w="191"/>
        <w:gridCol w:w="273"/>
        <w:gridCol w:w="273"/>
        <w:gridCol w:w="273"/>
        <w:gridCol w:w="693"/>
        <w:gridCol w:w="693"/>
        <w:gridCol w:w="9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3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Maurer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spacing w:lineRule="auto" w:line="333"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p>
      <w:pPr>
        <w:pStyle w:val="TextBody"/>
        <w:bidi w:val="0"/>
        <w:spacing w:lineRule="auto" w:line="333"/>
        <w:ind w:left="0" w:right="0" w:firstLine="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012825"/>
                <wp:effectExtent l="0" t="0" r="0" b="0"/>
                <wp:wrapNone/>
                <wp:docPr id="50" name="Frame48"/>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9336" w:type="dxa"/>
        <w:jc w:val="left"/>
        <w:tblInd w:w="0" w:type="dxa"/>
        <w:tblLayout w:type="fixed"/>
        <w:tblCellMar>
          <w:top w:w="28" w:type="dxa"/>
          <w:left w:w="28" w:type="dxa"/>
          <w:bottom w:w="28" w:type="dxa"/>
          <w:right w:w="28" w:type="dxa"/>
        </w:tblCellMar>
      </w:tblPr>
      <w:tblGrid>
        <w:gridCol w:w="640"/>
        <w:gridCol w:w="563"/>
        <w:gridCol w:w="566"/>
        <w:gridCol w:w="109"/>
        <w:gridCol w:w="109"/>
        <w:gridCol w:w="109"/>
        <w:gridCol w:w="1707"/>
        <w:gridCol w:w="1707"/>
        <w:gridCol w:w="1730"/>
        <w:gridCol w:w="109"/>
        <w:gridCol w:w="109"/>
        <w:gridCol w:w="109"/>
        <w:gridCol w:w="517"/>
        <w:gridCol w:w="517"/>
        <w:gridCol w:w="735"/>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333" w:before="43" w:after="20"/>
              <w:jc w:val="center"/>
              <w:rPr/>
            </w:pPr>
            <w:r>
              <w:rPr>
                <w:rFonts w:ascii="Times New Roman;serif" w:hAnsi="Times New Roman;serif"/>
                <w:b/>
                <w:color w:val="000000"/>
                <w:sz w:val="20"/>
              </w:rPr>
              <w:t>Signature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333" w:before="43" w:after="20"/>
              <w:jc w:val="center"/>
              <w:rPr/>
            </w:pPr>
            <w:r>
              <w:rPr>
                <w:rFonts w:ascii="Times New Roman;serif" w:hAnsi="Times New Roman;serif"/>
                <w:b/>
                <w:color w:val="000000"/>
                <w:sz w:val="20"/>
              </w:rPr>
              <w:t>Title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33" w:before="43" w:after="20"/>
              <w:jc w:val="center"/>
              <w:rPr/>
            </w:pPr>
            <w:r>
              <w:rPr>
                <w:rFonts w:ascii="Times New Roman;serif" w:hAnsi="Times New Roman;serif"/>
                <w:b/>
                <w:color w:val="000000"/>
                <w:sz w:val="20"/>
              </w:rPr>
              <w:t>Date</w:t>
            </w:r>
            <w:r>
              <w:rPr>
                <w:color w:val="000000"/>
              </w:rPr>
              <w:t> </w:t>
            </w:r>
          </w:p>
        </w:tc>
      </w:tr>
      <w:tr>
        <w:trPr/>
        <w:tc>
          <w:tcPr>
            <w:tcW w:w="17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Co-Chief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Maurer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Co-Chief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Comora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Kazi Hasan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Comora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Betsy L. Battle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Dols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Martell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Lance Moll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Nadeem Nisar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Sutton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Ashok Vemuri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The undersigned by signing his name hereto does sign and execute this Amendment No. 1 to the registration statement on Form S-3 pursuant to the Power of Attorney executed by the above-named directors and officers of the registrant, which has been filed with the initial filing of this registration statement on behalf of such directors and officers.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012825"/>
                <wp:effectExtent l="0" t="0" r="0" b="0"/>
                <wp:wrapNone/>
                <wp:docPr id="51" name="Frame49"/>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2747" w:type="dxa"/>
        <w:jc w:val="left"/>
        <w:tblInd w:w="0" w:type="dxa"/>
        <w:tblLayout w:type="fixed"/>
        <w:tblCellMar>
          <w:top w:w="28" w:type="dxa"/>
          <w:left w:w="28" w:type="dxa"/>
          <w:bottom w:w="28" w:type="dxa"/>
          <w:right w:w="28" w:type="dxa"/>
        </w:tblCellMar>
      </w:tblPr>
      <w:tblGrid>
        <w:gridCol w:w="151"/>
        <w:gridCol w:w="134"/>
        <w:gridCol w:w="135"/>
        <w:gridCol w:w="271"/>
        <w:gridCol w:w="271"/>
        <w:gridCol w:w="271"/>
        <w:gridCol w:w="437"/>
        <w:gridCol w:w="437"/>
        <w:gridCol w:w="64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151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Maurer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Attorney-in-fact</w:t>
            </w:r>
          </w:p>
        </w:tc>
      </w:tr>
    </w:tbl>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II-5</w:t>
      </w:r>
    </w:p>
    <w:p>
      <w:pPr>
        <w:pStyle w:val="TextBody"/>
        <w:bidi w:val="0"/>
        <w:spacing w:lineRule="auto" w:line="333" w:before="0" w:after="0"/>
        <w:jc w:val="left"/>
        <w:rPr>
          <w:color w:val="000000"/>
        </w:rPr>
      </w:pPr>
      <w:r>
        <w:rPr>
          <w:color w:val="000000"/>
        </w:rPr>
        <w:t> </w:t>
      </w:r>
    </w:p>
    <w:p>
      <w:pPr>
        <w:pStyle w:val="TextBody"/>
        <w:bidi w:val="0"/>
        <w:spacing w:lineRule="auto" w:line="33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012825"/>
                <wp:effectExtent l="0" t="0" r="0" b="0"/>
                <wp:wrapNone/>
                <wp:docPr id="52" name="Frame50"/>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rebuchet MS;sans-serif" w:hAnsi="Trebuchet MS;sans-serif"/>
          <w:b w:val="false"/>
          <w:color w:val="000000"/>
          <w:sz w:val="21"/>
          <w:u w:val="single"/>
        </w:rPr>
      </w:pPr>
      <w:r>
        <w:rPr>
          <w:rFonts w:ascii="Trebuchet MS;sans-serif" w:hAnsi="Trebuchet MS;sans-serif"/>
          <w:b w:val="false"/>
          <w:color w:val="000000"/>
          <w:sz w:val="21"/>
          <w:u w:val="single"/>
        </w:rPr>
        <w:t>Consent of Independent Registered Public Accounting Firm</w:t>
      </w:r>
    </w:p>
    <w:p>
      <w:pPr>
        <w:pStyle w:val="TextBody"/>
        <w:bidi w:val="0"/>
        <w:spacing w:before="240" w:after="283"/>
        <w:jc w:val="both"/>
        <w:rPr/>
      </w:pPr>
      <w:r>
        <w:rPr/>
      </w:r>
    </w:p>
    <w:p>
      <w:pPr>
        <w:pStyle w:val="TextBody"/>
        <w:bidi w:val="0"/>
        <w:spacing w:lineRule="auto" w:line="288" w:before="240" w:after="283"/>
        <w:jc w:val="both"/>
        <w:rPr>
          <w:rFonts w:ascii="Trebuchet MS;sans-serif" w:hAnsi="Trebuchet MS;sans-serif"/>
          <w:b w:val="false"/>
          <w:color w:val="000000"/>
          <w:sz w:val="21"/>
        </w:rPr>
      </w:pPr>
      <w:r>
        <w:rPr>
          <w:rFonts w:ascii="Trebuchet MS;sans-serif" w:hAnsi="Trebuchet MS;sans-serif"/>
          <w:b w:val="false"/>
          <w:color w:val="000000"/>
          <w:sz w:val="21"/>
        </w:rPr>
        <w:t xml:space="preserve">We hereby consent to the incorporation by reference in the Prospectus constituting a part of this Registration Statement of our report dated March 16, 2026, relating to the consolidated financial statements of OPAL Fuels Inc., (the Company) appearing in the Company’s Annual Report on Form 10-K for the year ended December 31, 2025. </w:t>
      </w:r>
    </w:p>
    <w:p>
      <w:pPr>
        <w:pStyle w:val="TextBody"/>
        <w:bidi w:val="0"/>
        <w:spacing w:before="0" w:after="0"/>
        <w:jc w:val="both"/>
        <w:rPr/>
      </w:pPr>
      <w:r>
        <w:rPr/>
      </w:r>
    </w:p>
    <w:p>
      <w:pPr>
        <w:pStyle w:val="TextBody"/>
        <w:bidi w:val="0"/>
        <w:spacing w:lineRule="auto" w:line="288" w:before="0" w:after="0"/>
        <w:jc w:val="both"/>
        <w:rPr>
          <w:rFonts w:ascii="Trebuchet MS;sans-serif" w:hAnsi="Trebuchet MS;sans-serif"/>
          <w:b w:val="false"/>
          <w:color w:val="000000"/>
          <w:sz w:val="21"/>
        </w:rPr>
      </w:pPr>
      <w:r>
        <w:rPr>
          <w:rFonts w:ascii="Trebuchet MS;sans-serif" w:hAnsi="Trebuchet MS;sans-serif"/>
          <w:b w:val="false"/>
          <w:color w:val="000000"/>
          <w:sz w:val="21"/>
        </w:rPr>
        <w:t>We also consent to the reference to us under the caption “Experts” in the Prospectus.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rebuchet MS;sans-serif" w:hAnsi="Trebuchet MS;sans-serif"/>
          <w:b w:val="false"/>
          <w:color w:val="000000"/>
          <w:sz w:val="21"/>
        </w:rPr>
      </w:pPr>
      <w:r>
        <w:rPr>
          <w:rFonts w:ascii="Trebuchet MS;sans-serif" w:hAnsi="Trebuchet MS;sans-serif"/>
          <w:b w:val="false"/>
          <w:color w:val="000000"/>
          <w:sz w:val="21"/>
        </w:rPr>
        <w:t>/s/ BDO USA, P.C.</w:t>
      </w:r>
    </w:p>
    <w:p>
      <w:pPr>
        <w:pStyle w:val="TextBody"/>
        <w:bidi w:val="0"/>
        <w:spacing w:lineRule="auto" w:line="288" w:before="0" w:after="0"/>
        <w:jc w:val="both"/>
        <w:rPr>
          <w:rFonts w:ascii="Trebuchet MS;sans-serif" w:hAnsi="Trebuchet MS;sans-serif"/>
          <w:b w:val="false"/>
          <w:color w:val="000000"/>
          <w:sz w:val="21"/>
        </w:rPr>
      </w:pPr>
      <w:r>
        <w:rPr>
          <w:rFonts w:ascii="Trebuchet MS;sans-serif" w:hAnsi="Trebuchet MS;sans-serif"/>
          <w:b w:val="false"/>
          <w:color w:val="000000"/>
          <w:sz w:val="21"/>
        </w:rPr>
        <w:t>Melville, New York</w:t>
      </w:r>
    </w:p>
    <w:p>
      <w:pPr>
        <w:pStyle w:val="TextBody"/>
        <w:bidi w:val="0"/>
        <w:spacing w:lineRule="auto" w:line="288" w:before="240" w:after="283"/>
        <w:jc w:val="both"/>
        <w:rPr>
          <w:rFonts w:ascii="Trebuchet MS;sans-serif" w:hAnsi="Trebuchet MS;sans-serif"/>
          <w:b w:val="false"/>
          <w:color w:val="000000"/>
          <w:sz w:val="21"/>
        </w:rPr>
      </w:pPr>
      <w:r>
        <w:rPr>
          <w:rFonts w:ascii="Trebuchet MS;sans-serif" w:hAnsi="Trebuchet MS;sans-serif"/>
          <w:b w:val="false"/>
          <w:color w:val="000000"/>
          <w:sz w:val="21"/>
        </w:rPr>
        <w:t>September 14, 2026</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5780"/>
                <wp:effectExtent l="0" t="0" r="0" b="0"/>
                <wp:wrapNone/>
                <wp:docPr id="53" name="Frame5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42279/000162828026017908/wdq-20251231.htm" TargetMode="External"/><Relationship Id="rId4" Type="http://schemas.openxmlformats.org/officeDocument/2006/relationships/hyperlink" Target="https://www.sec.gov/ix?doc=/Archives/edgar/data/1842279/000162828026033091/wdq-20260331.htm" TargetMode="External"/><Relationship Id="rId5" Type="http://schemas.openxmlformats.org/officeDocument/2006/relationships/hyperlink" Target="https://www.sec.gov/ix?doc=/Archives/edgar/data/1842279/000162828026054995/wdq-20260630.htm" TargetMode="External"/><Relationship Id="rId6" Type="http://schemas.openxmlformats.org/officeDocument/2006/relationships/hyperlink" Target="https://www.sec.gov/ix?doc=/Archives/edgar/data/1842279/000162828026016131/opal-20260306.htm" TargetMode="External"/><Relationship Id="rId7" Type="http://schemas.openxmlformats.org/officeDocument/2006/relationships/hyperlink" Target="https://www.sec.gov/ix?doc=/Archives/edgar/data/1842279/000162828026036906/opal-20260518.htm" TargetMode="External"/><Relationship Id="rId8" Type="http://schemas.openxmlformats.org/officeDocument/2006/relationships/hyperlink" Target="https://www.sec.gov/ix?doc=/Archives/edgar/data/1842279/000162828026040255/opal-20260603.htm" TargetMode="External"/><Relationship Id="rId9" Type="http://schemas.openxmlformats.org/officeDocument/2006/relationships/hyperlink" Target="https://www.sec.gov/ix?doc=/Archives/edgar/data/1842279/000162828026044625/opal-20260617.htm" TargetMode="External"/><Relationship Id="rId10" Type="http://schemas.openxmlformats.org/officeDocument/2006/relationships/image" Target="media/image2.jpeg"/><Relationship Id="rId11" Type="http://schemas.openxmlformats.org/officeDocument/2006/relationships/hyperlink" Target="http://www.sec.gov/Archives/edgar/data/1842279/000121390022046338/ea164030ex3-1_opal.htm" TargetMode="External"/><Relationship Id="rId12" Type="http://schemas.openxmlformats.org/officeDocument/2006/relationships/hyperlink" Target="http://www.sec.gov/Archives/edgar/data/1842279/000121390022042020/ea163248ex3-2_opal.htm" TargetMode="External"/><Relationship Id="rId13" Type="http://schemas.openxmlformats.org/officeDocument/2006/relationships/hyperlink" Target="https://www.sec.gov/Archives/edgar/data/1842279/000162828026016131/a31opalfuelsllc-amendedand.htm" TargetMode="External"/><Relationship Id="rId14" Type="http://schemas.openxmlformats.org/officeDocument/2006/relationships/hyperlink" Target="https://www.sec.gov/Archives/edgar/data/1842279/000162828026060724/opal-shelfsx3x51opinionsep.htm" TargetMode="External"/><Relationship Id="rId15" Type="http://schemas.openxmlformats.org/officeDocument/2006/relationships/hyperlink" Target="https://www.sec.gov/Archives/edgar/data/1842279/000162828026060724/opal-shelfsx3x51opinionsep.htm" TargetMode="External"/><Relationship Id="rId16" Type="http://schemas.openxmlformats.org/officeDocument/2006/relationships/hyperlink" Target="https://www.sec.gov/Archives/edgar/data/1842279/000162828026060724/exfilingfees.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20899</Words>
  <Characters>108292</Characters>
  <CharactersWithSpaces>129039</CharactersWithSpaces>
  <Paragraphs>1113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