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53"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_______________ to ____________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001-40272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OPAL FUELS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20"/>
              </w:rPr>
            </w:pPr>
            <w:r>
              <w:rPr>
                <w:rFonts w:ascii="Times New Roman;serif" w:hAnsi="Times New Roman;serif"/>
                <w:b/>
                <w:color w:val="000000"/>
                <w:sz w:val="20"/>
              </w:rPr>
              <w:t>80-0990453</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2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20"/>
              </w:rPr>
            </w:pPr>
            <w:r>
              <w:rPr>
                <w:rFonts w:ascii="Times New Roman;serif" w:hAnsi="Times New Roman;serif"/>
                <w:b/>
                <w:color w:val="000000"/>
                <w:sz w:val="20"/>
              </w:rPr>
              <w:t>One North Lexington Avenue, Suite 1450</w:t>
            </w:r>
          </w:p>
        </w:tc>
        <w:tc>
          <w:tcPr>
            <w:tcW w:w="327"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White Plains,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20"/>
              </w:rPr>
            </w:pPr>
            <w:r>
              <w:rPr>
                <w:rFonts w:ascii="Times New Roman;serif" w:hAnsi="Times New Roman;serif"/>
                <w:b/>
                <w:color w:val="000000"/>
                <w:sz w:val="20"/>
              </w:rPr>
              <w:t>10601</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(914) 705-4000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884" w:type="dxa"/>
        <w:jc w:val="left"/>
        <w:tblInd w:w="0" w:type="dxa"/>
        <w:tblLayout w:type="fixed"/>
        <w:tblCellMar>
          <w:top w:w="28" w:type="dxa"/>
          <w:left w:w="28" w:type="dxa"/>
          <w:bottom w:w="28" w:type="dxa"/>
          <w:right w:w="28" w:type="dxa"/>
        </w:tblCellMar>
      </w:tblPr>
      <w:tblGrid>
        <w:gridCol w:w="1577"/>
        <w:gridCol w:w="1386"/>
        <w:gridCol w:w="1402"/>
        <w:gridCol w:w="564"/>
        <w:gridCol w:w="564"/>
        <w:gridCol w:w="566"/>
        <w:gridCol w:w="1118"/>
        <w:gridCol w:w="1118"/>
        <w:gridCol w:w="1589"/>
      </w:tblGrid>
      <w:tr>
        <w:trPr/>
        <w:tc>
          <w:tcPr>
            <w:tcW w:w="1577"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36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16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OPAL</w:t>
            </w:r>
          </w:p>
        </w:tc>
        <w:tc>
          <w:tcPr>
            <w:tcW w:w="382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 shell company (as defined in Rule 12b-2 of the Exchange Act).     Yes   ☐     No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As of August 6, 2026</w:t>
      </w:r>
      <w:r>
        <w:rPr>
          <w:rFonts w:ascii="Times New Roman;serif" w:hAnsi="Times New Roman;serif"/>
          <w:b w:val="false"/>
          <w:color w:val="000000"/>
          <w:sz w:val="24"/>
        </w:rPr>
        <w:t xml:space="preserve">, </w:t>
      </w:r>
      <w:r>
        <w:rPr>
          <w:rFonts w:ascii="Times New Roman;serif" w:hAnsi="Times New Roman;serif"/>
          <w:b w:val="false"/>
          <w:color w:val="000000"/>
          <w:sz w:val="20"/>
        </w:rPr>
        <w:t>a total of 30,357,544 shares of Class A common stock, par value $0.0001 per share, 121,500,000 shares of Class B common stock, par value of $0.0001 per share and 22,899,037 shares of Class D common stock, par value $0.0001 per share were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the Private Securities Litigation Reform Act of 1995, that involve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Words such as “anticipates,” “believes,” “could,” “estimates,” “expects,” “forecasts,” “future,” “goal,” “intends,” “may,” “objective,” “outlook,” “plans,” "potential," “projected,” “propose,” “seeks,” “should,” “target,” “will,” “would”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which could cause actual results or outcomes to differ materially from those discussed in the forward-looking statements. Important factors, among others, which may affect actual results or outcomes include: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our ability to grow and manage growth profitably, and maintain relationships with customers and suppliers;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our success in retaining or recruiting, our principal officers, key employees or directors;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intense competition and competitive pressures from other companies in the industry in which we operate;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increased costs of, or delays in obtaining, key components or labor for the construction and completion of LFG (as defined below) and livestock waste projects that generate electricity and RNG (as defined below), CNG (as defined below) and hydrogen dispensing stations;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factors relating to our business, operations and financial performance, including market conditions and global and economic factors beyond our control;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reduction or elimination of government economic incentives to the renewable energy market;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factors associated with companies that are engaged in the production and integration of RNG, including (i) anticipated trends, growth rates and challenges in those businesses and in the markets in which they operate, (ii) contractual arrangements with, and the cooperation of, owners and operators of the landfill and livestock biogas conversion project facilities, on which we operate our LFG and livestock waste projects that generate electricity and (iii) RNG prices for Environmental Attributes (as defined below), LCFS (as defined below) credits and other incentives;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ability to identify, acquire, develop and operate renewable projects and Fueling Stations (as defined below);</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our ability to issue equity or equity-linked securities or obtain or amend debt financing;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demand for renewable energy not being sustained;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impacts of climate change, changing weather patterns and conditions and natural disasters;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effect of legal, tax and regulatory changes.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Quarterly Report on Form 10-Q and in our Annual Report on Form 10-K, which was filed with the SEC on March 16, 2026 (our “Annual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20"/>
        <w:gridCol w:w="369"/>
        <w:gridCol w:w="369"/>
        <w:gridCol w:w="2961"/>
        <w:gridCol w:w="2797"/>
        <w:gridCol w:w="2670"/>
        <w:gridCol w:w="180"/>
        <w:gridCol w:w="180"/>
        <w:gridCol w:w="259"/>
      </w:tblGrid>
      <w:tr>
        <w:trPr/>
        <w:tc>
          <w:tcPr>
            <w:tcW w:w="42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958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fce235237cb4f36b3483a0a75157ec7_13">
              <w:r>
                <w:rPr>
                  <w:rStyle w:val="InternetLink"/>
                  <w:rFonts w:ascii="Times New Roman;serif" w:hAnsi="Times New Roman;serif"/>
                  <w:b/>
                  <w:color w:val="000000"/>
                  <w:sz w:val="20"/>
                  <w:u w:val="single"/>
                </w:rPr>
                <w:t>PART I. FINANCIAL INFORMATION</w:t>
              </w:r>
            </w:hyperlink>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16">
              <w:r>
                <w:rPr>
                  <w:rStyle w:val="InternetLink"/>
                  <w:rFonts w:ascii="Times New Roman;serif" w:hAnsi="Times New Roman;serif"/>
                  <w:b w:val="false"/>
                  <w:color w:val="3051F2"/>
                  <w:sz w:val="20"/>
                  <w:u w:val="single"/>
                </w:rPr>
                <w:t>ITEM 1.</w:t>
              </w:r>
            </w:hyperlink>
          </w:p>
        </w:tc>
        <w:tc>
          <w:tcPr>
            <w:tcW w:w="8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13">
              <w:r>
                <w:rPr>
                  <w:rStyle w:val="InternetLink"/>
                  <w:rFonts w:ascii="Times New Roman;serif" w:hAnsi="Times New Roman;serif"/>
                  <w:b w:val="false"/>
                  <w:color w:val="000080"/>
                  <w:sz w:val="20"/>
                  <w:u w:val="single"/>
                </w:rPr>
                <w:t>FINANCIAL STATEMENTS</w:t>
              </w:r>
            </w:hyperlink>
            <w:r>
              <w:rPr>
                <w:rFonts w:ascii="Times New Roman;serif" w:hAnsi="Times New Roman;serif"/>
                <w:b w:val="false"/>
                <w:color w:val="3051F2"/>
                <w:sz w:val="20"/>
                <w:u w:val="single"/>
              </w:rPr>
              <w:t xml:space="preserve"> (Unaudited)</w:t>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fce235237cb4f36b3483a0a75157ec7_16">
              <w:r>
                <w:rPr>
                  <w:rStyle w:val="InternetLink"/>
                  <w:rFonts w:ascii="Times New Roman;serif" w:hAnsi="Times New Roman;serif"/>
                  <w:b w:val="false"/>
                  <w:color w:val="3051F2"/>
                  <w:sz w:val="20"/>
                  <w:u w:val="single"/>
                </w:rPr>
                <w:t>1</w:t>
              </w:r>
            </w:hyperlink>
          </w:p>
        </w:tc>
      </w:tr>
      <w:tr>
        <w:trPr/>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19">
              <w:r>
                <w:rPr>
                  <w:rStyle w:val="InternetLink"/>
                  <w:rFonts w:ascii="Times New Roman;serif" w:hAnsi="Times New Roman;serif"/>
                  <w:b w:val="false"/>
                  <w:color w:val="000080"/>
                  <w:sz w:val="20"/>
                  <w:u w:val="single"/>
                </w:rPr>
                <w:t xml:space="preserve">Condensed Consolidated Balance Sheets as of </w:t>
              </w:r>
            </w:hyperlink>
            <w:r>
              <w:rPr>
                <w:rFonts w:ascii="Times New Roman;serif" w:hAnsi="Times New Roman;serif"/>
                <w:b w:val="false"/>
                <w:color w:val="3051F2"/>
                <w:sz w:val="20"/>
                <w:u w:val="single"/>
              </w:rPr>
              <w:t>June 30, 2026</w:t>
            </w:r>
            <w:hyperlink w:anchor="i9fce235237cb4f36b3483a0a75157ec7_19">
              <w:r>
                <w:rPr>
                  <w:rStyle w:val="InternetLink"/>
                  <w:rFonts w:ascii="Times New Roman;serif" w:hAnsi="Times New Roman;serif"/>
                  <w:b w:val="false"/>
                  <w:color w:val="000080"/>
                  <w:sz w:val="20"/>
                  <w:u w:val="single"/>
                </w:rPr>
                <w:t xml:space="preserve"> and December 31, 202</w:t>
              </w:r>
            </w:hyperlink>
            <w:r>
              <w:rPr>
                <w:rFonts w:ascii="Times New Roman;serif" w:hAnsi="Times New Roman;serif"/>
                <w:b w:val="false"/>
                <w:color w:val="3051F2"/>
                <w:sz w:val="20"/>
                <w:u w:val="single"/>
              </w:rPr>
              <w:t>5</w:t>
            </w:r>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fce235237cb4f36b3483a0a75157ec7_19">
              <w:r>
                <w:rPr>
                  <w:rStyle w:val="InternetLink"/>
                  <w:rFonts w:ascii="Times New Roman;serif" w:hAnsi="Times New Roman;serif"/>
                  <w:b w:val="false"/>
                  <w:color w:val="3051F2"/>
                  <w:sz w:val="20"/>
                  <w:u w:val="single"/>
                </w:rPr>
                <w:t>1</w:t>
              </w:r>
            </w:hyperlink>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25">
              <w:r>
                <w:rPr>
                  <w:rStyle w:val="InternetLink"/>
                  <w:rFonts w:ascii="Times New Roman;serif" w:hAnsi="Times New Roman;serif"/>
                  <w:b w:val="false"/>
                  <w:color w:val="000080"/>
                  <w:sz w:val="20"/>
                  <w:u w:val="single"/>
                </w:rPr>
                <w:t xml:space="preserve">Condensed Consolidated Statements of Operations for the </w:t>
              </w:r>
            </w:hyperlink>
            <w:r>
              <w:rPr>
                <w:rFonts w:ascii="Times New Roman;serif" w:hAnsi="Times New Roman;serif"/>
                <w:b w:val="false"/>
                <w:color w:val="3051F2"/>
                <w:sz w:val="20"/>
                <w:u w:val="single"/>
              </w:rPr>
              <w:t xml:space="preserve">three and six </w:t>
            </w:r>
            <w:hyperlink w:anchor="i9fce235237cb4f36b3483a0a75157ec7_25">
              <w:r>
                <w:rPr>
                  <w:rStyle w:val="InternetLink"/>
                  <w:rFonts w:ascii="Times New Roman;serif" w:hAnsi="Times New Roman;serif"/>
                  <w:b w:val="false"/>
                  <w:color w:val="000080"/>
                  <w:sz w:val="20"/>
                  <w:u w:val="single"/>
                </w:rPr>
                <w:t xml:space="preserve">months ended </w:t>
              </w:r>
            </w:hyperlink>
            <w:r>
              <w:rPr>
                <w:rFonts w:ascii="Times New Roman;serif" w:hAnsi="Times New Roman;serif"/>
                <w:b w:val="false"/>
                <w:color w:val="3051F2"/>
                <w:sz w:val="20"/>
                <w:u w:val="single"/>
              </w:rPr>
              <w:t>June 30, 2026 and 2025</w:t>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fce235237cb4f36b3483a0a75157ec7_25">
              <w:r>
                <w:rPr>
                  <w:rStyle w:val="InternetLink"/>
                  <w:rFonts w:ascii="Times New Roman;serif" w:hAnsi="Times New Roman;serif"/>
                  <w:b w:val="false"/>
                  <w:color w:val="3051F2"/>
                  <w:sz w:val="20"/>
                  <w:u w:val="single"/>
                </w:rPr>
                <w:t>3</w:t>
              </w:r>
            </w:hyperlink>
          </w:p>
        </w:tc>
      </w:tr>
      <w:tr>
        <w:trPr/>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49">
              <w:r>
                <w:rPr>
                  <w:rStyle w:val="InternetLink"/>
                  <w:rFonts w:ascii="Times New Roman;serif" w:hAnsi="Times New Roman;serif"/>
                  <w:b w:val="false"/>
                  <w:color w:val="000080"/>
                  <w:sz w:val="20"/>
                  <w:u w:val="single"/>
                </w:rPr>
                <w:t xml:space="preserve">Condensed Consolidated Statements of Comprehensive (Loss) Income for the </w:t>
              </w:r>
            </w:hyperlink>
            <w:r>
              <w:rPr>
                <w:rFonts w:ascii="Times New Roman;serif" w:hAnsi="Times New Roman;serif"/>
                <w:b w:val="false"/>
                <w:color w:val="3051F2"/>
                <w:sz w:val="20"/>
                <w:u w:val="single"/>
              </w:rPr>
              <w:t xml:space="preserve">three and six </w:t>
            </w:r>
            <w:hyperlink w:anchor="i9fce235237cb4f36b3483a0a75157ec7_49">
              <w:r>
                <w:rPr>
                  <w:rStyle w:val="InternetLink"/>
                  <w:rFonts w:ascii="Times New Roman;serif" w:hAnsi="Times New Roman;serif"/>
                  <w:b w:val="false"/>
                  <w:color w:val="000080"/>
                  <w:sz w:val="20"/>
                  <w:u w:val="single"/>
                </w:rPr>
                <w:t xml:space="preserve">months ended </w:t>
              </w:r>
            </w:hyperlink>
            <w:r>
              <w:rPr>
                <w:rFonts w:ascii="Times New Roman;serif" w:hAnsi="Times New Roman;serif"/>
                <w:b w:val="false"/>
                <w:color w:val="3051F2"/>
                <w:sz w:val="20"/>
                <w:u w:val="single"/>
              </w:rPr>
              <w:t>June 30, 2026 and 2025</w:t>
            </w:r>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fce235237cb4f36b3483a0a75157ec7_49">
              <w:r>
                <w:rPr>
                  <w:rStyle w:val="InternetLink"/>
                  <w:rFonts w:ascii="Times New Roman;serif" w:hAnsi="Times New Roman;serif"/>
                  <w:b w:val="false"/>
                  <w:color w:val="3051F2"/>
                  <w:sz w:val="20"/>
                  <w:u w:val="single"/>
                </w:rPr>
                <w:t>4</w:t>
              </w:r>
            </w:hyperlink>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52">
              <w:r>
                <w:rPr>
                  <w:rStyle w:val="InternetLink"/>
                  <w:rFonts w:ascii="Times New Roman;serif" w:hAnsi="Times New Roman;serif"/>
                  <w:b w:val="false"/>
                  <w:color w:val="000080"/>
                  <w:sz w:val="20"/>
                  <w:u w:val="single"/>
                </w:rPr>
                <w:t>Condensed Consolidated Statements of Changes In Redeemable Non-Controlling Interest, Redeemable Preferred Non-Controlling Interest And Stockholders</w:t>
              </w:r>
            </w:hyperlink>
            <w:hyperlink w:anchor="i9fce235237cb4f36b3483a0a75157ec7_52">
              <w:r>
                <w:rPr>
                  <w:rStyle w:val="InternetLink"/>
                  <w:rFonts w:ascii="Times New Roman;serif" w:hAnsi="Times New Roman;serif"/>
                  <w:b w:val="false"/>
                  <w:color w:val="000080"/>
                  <w:sz w:val="20"/>
                  <w:u w:val="single"/>
                </w:rPr>
                <w:t xml:space="preserve">' Equity (Deficit) for the </w:t>
              </w:r>
            </w:hyperlink>
            <w:r>
              <w:rPr>
                <w:rFonts w:ascii="Times New Roman;serif" w:hAnsi="Times New Roman;serif"/>
                <w:b w:val="false"/>
                <w:color w:val="3051F2"/>
                <w:sz w:val="20"/>
                <w:u w:val="single"/>
              </w:rPr>
              <w:t>three and six months ended</w:t>
            </w:r>
            <w:hyperlink w:anchor="i9fce235237cb4f36b3483a0a75157ec7_52">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3051F2"/>
                <w:sz w:val="20"/>
                <w:u w:val="single"/>
              </w:rPr>
              <w:t>June 30, 2026 and 2025</w:t>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fce235237cb4f36b3483a0a75157ec7_52">
              <w:r>
                <w:rPr>
                  <w:rStyle w:val="InternetLink"/>
                  <w:rFonts w:ascii="Times New Roman;serif" w:hAnsi="Times New Roman;serif"/>
                  <w:b w:val="false"/>
                  <w:color w:val="3051F2"/>
                  <w:sz w:val="20"/>
                  <w:u w:val="single"/>
                </w:rPr>
                <w:t>5</w:t>
              </w:r>
            </w:hyperlink>
          </w:p>
        </w:tc>
      </w:tr>
      <w:tr>
        <w:trPr/>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55">
              <w:r>
                <w:rPr>
                  <w:rStyle w:val="InternetLink"/>
                  <w:rFonts w:ascii="Times New Roman;serif" w:hAnsi="Times New Roman;serif"/>
                  <w:b w:val="false"/>
                  <w:color w:val="000080"/>
                  <w:sz w:val="20"/>
                  <w:u w:val="single"/>
                </w:rPr>
                <w:t xml:space="preserve">Condensed Consolidated Statements of Cash Flows for the </w:t>
              </w:r>
            </w:hyperlink>
            <w:hyperlink w:anchor="i9fce235237cb4f36b3483a0a75157ec7_55">
              <w:r>
                <w:rPr>
                  <w:rStyle w:val="InternetLink"/>
                  <w:rFonts w:ascii="Times New Roman;serif" w:hAnsi="Times New Roman;serif"/>
                  <w:b w:val="false"/>
                  <w:color w:val="000080"/>
                  <w:sz w:val="20"/>
                  <w:u w:val="single"/>
                </w:rPr>
                <w:t xml:space="preserve">six </w:t>
              </w:r>
            </w:hyperlink>
            <w:hyperlink w:anchor="i9fce235237cb4f36b3483a0a75157ec7_55">
              <w:r>
                <w:rPr>
                  <w:rStyle w:val="InternetLink"/>
                  <w:rFonts w:ascii="Times New Roman;serif" w:hAnsi="Times New Roman;serif"/>
                  <w:b w:val="false"/>
                  <w:color w:val="000080"/>
                  <w:sz w:val="20"/>
                  <w:u w:val="single"/>
                </w:rPr>
                <w:t xml:space="preserve">months ended </w:t>
              </w:r>
            </w:hyperlink>
            <w:hyperlink w:anchor="i9fce235237cb4f36b3483a0a75157ec7_55">
              <w:r>
                <w:rPr>
                  <w:rStyle w:val="InternetLink"/>
                  <w:rFonts w:ascii="Times New Roman;serif" w:hAnsi="Times New Roman;serif"/>
                  <w:b w:val="false"/>
                  <w:color w:val="000080"/>
                  <w:sz w:val="20"/>
                  <w:u w:val="single"/>
                </w:rPr>
                <w:t>June 30</w:t>
              </w:r>
            </w:hyperlink>
            <w:hyperlink w:anchor="i9fce235237cb4f36b3483a0a75157ec7_55">
              <w:r>
                <w:rPr>
                  <w:rStyle w:val="InternetLink"/>
                  <w:rFonts w:ascii="Times New Roman;serif" w:hAnsi="Times New Roman;serif"/>
                  <w:b w:val="false"/>
                  <w:color w:val="000080"/>
                  <w:sz w:val="20"/>
                  <w:u w:val="single"/>
                </w:rPr>
                <w:t>, 2026 and 202</w:t>
              </w:r>
            </w:hyperlink>
            <w:r>
              <w:rPr>
                <w:rFonts w:ascii="Times New Roman;serif" w:hAnsi="Times New Roman;serif"/>
                <w:b w:val="false"/>
                <w:color w:val="3051F2"/>
                <w:sz w:val="20"/>
                <w:u w:val="single"/>
              </w:rPr>
              <w:t>5</w:t>
            </w:r>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fce235237cb4f36b3483a0a75157ec7_55">
              <w:r>
                <w:rPr>
                  <w:rStyle w:val="InternetLink"/>
                  <w:rFonts w:ascii="Times New Roman;serif" w:hAnsi="Times New Roman;serif"/>
                  <w:b w:val="false"/>
                  <w:color w:val="3051F2"/>
                  <w:sz w:val="20"/>
                  <w:u w:val="single"/>
                </w:rPr>
                <w:t>7</w:t>
              </w:r>
            </w:hyperlink>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58">
              <w:r>
                <w:rPr>
                  <w:rStyle w:val="InternetLink"/>
                  <w:rFonts w:ascii="Times New Roman;serif" w:hAnsi="Times New Roman;serif"/>
                  <w:b w:val="false"/>
                  <w:color w:val="3051F2"/>
                  <w:sz w:val="20"/>
                  <w:u w:val="single"/>
                </w:rPr>
                <w:t>Notes To Condensed Consolidated Financial Statements</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fce235237cb4f36b3483a0a75157ec7_58">
              <w:r>
                <w:rPr>
                  <w:rStyle w:val="InternetLink"/>
                  <w:rFonts w:ascii="Times New Roman;serif" w:hAnsi="Times New Roman;serif"/>
                  <w:b w:val="false"/>
                  <w:color w:val="3051F2"/>
                  <w:sz w:val="20"/>
                  <w:u w:val="single"/>
                </w:rPr>
                <w:t>9</w:t>
              </w:r>
            </w:hyperlink>
          </w:p>
        </w:tc>
      </w:tr>
      <w:tr>
        <w:trPr/>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196">
              <w:r>
                <w:rPr>
                  <w:rStyle w:val="InternetLink"/>
                  <w:rFonts w:ascii="Times New Roman;serif" w:hAnsi="Times New Roman;serif"/>
                  <w:b w:val="false"/>
                  <w:color w:val="3051F2"/>
                  <w:sz w:val="20"/>
                  <w:u w:val="single"/>
                </w:rPr>
                <w:t>ITEM 2.</w:t>
              </w:r>
            </w:hyperlink>
          </w:p>
        </w:tc>
        <w:tc>
          <w:tcPr>
            <w:tcW w:w="8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196">
              <w:r>
                <w:rPr>
                  <w:rStyle w:val="InternetLink"/>
                  <w:rFonts w:ascii="Times New Roman;serif" w:hAnsi="Times New Roman;serif"/>
                  <w:b w:val="false"/>
                  <w:color w:val="3051F2"/>
                  <w:sz w:val="20"/>
                  <w:u w:val="single"/>
                </w:rPr>
                <w:t>MANAGEMENT'S DISCUSSION AND ANALYSIS OF FINANCIAL CONDITION AND RESULTS OF OPERATIONS</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fce235237cb4f36b3483a0a75157ec7_196">
              <w:r>
                <w:rPr>
                  <w:rStyle w:val="InternetLink"/>
                  <w:rFonts w:ascii="Times New Roman;serif" w:hAnsi="Times New Roman;serif"/>
                  <w:b w:val="false"/>
                  <w:color w:val="3051F2"/>
                  <w:sz w:val="20"/>
                  <w:u w:val="single"/>
                </w:rPr>
                <w:t>30</w:t>
              </w:r>
            </w:hyperlink>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3051F2"/>
                <w:sz w:val="20"/>
                <w:u w:val="single"/>
              </w:rPr>
            </w:pPr>
            <w:r>
              <w:rPr>
                <w:rFonts w:ascii="Times New Roman;serif" w:hAnsi="Times New Roman;serif"/>
                <w:b w:val="false"/>
                <w:color w:val="3051F2"/>
                <w:sz w:val="20"/>
                <w:u w:val="single"/>
              </w:rPr>
              <w:t>ITEM 3.</w:t>
            </w:r>
          </w:p>
        </w:tc>
        <w:tc>
          <w:tcPr>
            <w:tcW w:w="8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385">
              <w:r>
                <w:rPr>
                  <w:rStyle w:val="InternetLink"/>
                  <w:rFonts w:ascii="Times New Roman;serif" w:hAnsi="Times New Roman;serif"/>
                  <w:b w:val="false"/>
                  <w:color w:val="3051F2"/>
                  <w:sz w:val="20"/>
                  <w:u w:val="single"/>
                </w:rPr>
                <w:t>QUANTITATIVE AND QUALITATIVE DISCLOSURES ABOUT MARKET RISK</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fce235237cb4f36b3483a0a75157ec7_385">
              <w:r>
                <w:rPr>
                  <w:rStyle w:val="InternetLink"/>
                  <w:rFonts w:ascii="Times New Roman;serif" w:hAnsi="Times New Roman;serif"/>
                  <w:b w:val="false"/>
                  <w:color w:val="3051F2"/>
                  <w:sz w:val="20"/>
                  <w:u w:val="single"/>
                </w:rPr>
                <w:t>45</w:t>
              </w:r>
            </w:hyperlink>
          </w:p>
        </w:tc>
      </w:tr>
      <w:tr>
        <w:trPr/>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388">
              <w:r>
                <w:rPr>
                  <w:rStyle w:val="InternetLink"/>
                  <w:rFonts w:ascii="Times New Roman;serif" w:hAnsi="Times New Roman;serif"/>
                  <w:b w:val="false"/>
                  <w:color w:val="3051F2"/>
                  <w:sz w:val="20"/>
                  <w:u w:val="single"/>
                </w:rPr>
                <w:t>ITEM 4.</w:t>
              </w:r>
            </w:hyperlink>
          </w:p>
        </w:tc>
        <w:tc>
          <w:tcPr>
            <w:tcW w:w="8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388">
              <w:r>
                <w:rPr>
                  <w:rStyle w:val="InternetLink"/>
                  <w:rFonts w:ascii="Times New Roman;serif" w:hAnsi="Times New Roman;serif"/>
                  <w:b w:val="false"/>
                  <w:color w:val="3051F2"/>
                  <w:sz w:val="20"/>
                  <w:u w:val="single"/>
                </w:rPr>
                <w:t>CONTROLS AND PROCEDURES</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fce235237cb4f36b3483a0a75157ec7_388">
              <w:r>
                <w:rPr>
                  <w:rStyle w:val="InternetLink"/>
                  <w:rFonts w:ascii="Times New Roman;serif" w:hAnsi="Times New Roman;serif"/>
                  <w:b w:val="false"/>
                  <w:color w:val="3051F2"/>
                  <w:sz w:val="20"/>
                  <w:u w:val="single"/>
                </w:rPr>
                <w:t>45</w:t>
              </w:r>
            </w:hyperlink>
          </w:p>
        </w:tc>
      </w:tr>
      <w:tr>
        <w:trPr/>
        <w:tc>
          <w:tcPr>
            <w:tcW w:w="958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fce235237cb4f36b3483a0a75157ec7_391">
              <w:r>
                <w:rPr>
                  <w:rStyle w:val="InternetLink"/>
                  <w:rFonts w:ascii="Times New Roman;serif" w:hAnsi="Times New Roman;serif"/>
                  <w:b/>
                  <w:color w:val="3051F2"/>
                  <w:sz w:val="20"/>
                  <w:u w:val="single"/>
                </w:rPr>
                <w:t>PART II. OTHER INFORMATION</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394">
              <w:r>
                <w:rPr>
                  <w:rStyle w:val="InternetLink"/>
                  <w:rFonts w:ascii="Times New Roman;serif" w:hAnsi="Times New Roman;serif"/>
                  <w:b w:val="false"/>
                  <w:color w:val="3051F2"/>
                  <w:sz w:val="20"/>
                  <w:u w:val="single"/>
                </w:rPr>
                <w:t>ITEM 1.</w:t>
              </w:r>
            </w:hyperlink>
          </w:p>
        </w:tc>
        <w:tc>
          <w:tcPr>
            <w:tcW w:w="8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394">
              <w:r>
                <w:rPr>
                  <w:rStyle w:val="InternetLink"/>
                  <w:rFonts w:ascii="Times New Roman;serif" w:hAnsi="Times New Roman;serif"/>
                  <w:b w:val="false"/>
                  <w:color w:val="3051F2"/>
                  <w:sz w:val="20"/>
                  <w:u w:val="single"/>
                </w:rPr>
                <w:t>LEGAL PROCEEDINGS</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fce235237cb4f36b3483a0a75157ec7_394">
              <w:r>
                <w:rPr>
                  <w:rStyle w:val="InternetLink"/>
                  <w:rFonts w:ascii="Times New Roman;serif" w:hAnsi="Times New Roman;serif"/>
                  <w:b w:val="false"/>
                  <w:color w:val="3051F2"/>
                  <w:sz w:val="20"/>
                  <w:u w:val="single"/>
                </w:rPr>
                <w:t>46</w:t>
              </w:r>
            </w:hyperlink>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397">
              <w:r>
                <w:rPr>
                  <w:rStyle w:val="InternetLink"/>
                  <w:rFonts w:ascii="Times New Roman;serif" w:hAnsi="Times New Roman;serif"/>
                  <w:b w:val="false"/>
                  <w:color w:val="3051F2"/>
                  <w:sz w:val="20"/>
                  <w:u w:val="single"/>
                </w:rPr>
                <w:t>ITEM 1A.</w:t>
              </w:r>
            </w:hyperlink>
          </w:p>
        </w:tc>
        <w:tc>
          <w:tcPr>
            <w:tcW w:w="8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397">
              <w:r>
                <w:rPr>
                  <w:rStyle w:val="InternetLink"/>
                  <w:rFonts w:ascii="Times New Roman;serif" w:hAnsi="Times New Roman;serif"/>
                  <w:b w:val="false"/>
                  <w:color w:val="3051F2"/>
                  <w:sz w:val="20"/>
                  <w:u w:val="single"/>
                </w:rPr>
                <w:t>RISK FACTORS</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fce235237cb4f36b3483a0a75157ec7_397">
              <w:r>
                <w:rPr>
                  <w:rStyle w:val="InternetLink"/>
                  <w:rFonts w:ascii="Times New Roman;serif" w:hAnsi="Times New Roman;serif"/>
                  <w:b w:val="false"/>
                  <w:color w:val="3051F2"/>
                  <w:sz w:val="20"/>
                  <w:u w:val="single"/>
                </w:rPr>
                <w:t>46</w:t>
              </w:r>
            </w:hyperlink>
          </w:p>
        </w:tc>
      </w:tr>
      <w:tr>
        <w:trPr/>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400">
              <w:r>
                <w:rPr>
                  <w:rStyle w:val="InternetLink"/>
                  <w:rFonts w:ascii="Times New Roman;serif" w:hAnsi="Times New Roman;serif"/>
                  <w:b w:val="false"/>
                  <w:color w:val="3051F2"/>
                  <w:sz w:val="20"/>
                  <w:u w:val="single"/>
                </w:rPr>
                <w:t>ITEM 2.</w:t>
              </w:r>
            </w:hyperlink>
          </w:p>
        </w:tc>
        <w:tc>
          <w:tcPr>
            <w:tcW w:w="8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400">
              <w:r>
                <w:rPr>
                  <w:rStyle w:val="InternetLink"/>
                  <w:rFonts w:ascii="Times New Roman;serif" w:hAnsi="Times New Roman;serif"/>
                  <w:b w:val="false"/>
                  <w:color w:val="3051F2"/>
                  <w:sz w:val="20"/>
                  <w:u w:val="single"/>
                </w:rPr>
                <w:t>UNREGISTERED SALES OF EQUITY SECURITIES AND USE OF PROCEEDS</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fce235237cb4f36b3483a0a75157ec7_400">
              <w:r>
                <w:rPr>
                  <w:rStyle w:val="InternetLink"/>
                  <w:rFonts w:ascii="Times New Roman;serif" w:hAnsi="Times New Roman;serif"/>
                  <w:b w:val="false"/>
                  <w:color w:val="3051F2"/>
                  <w:sz w:val="20"/>
                  <w:u w:val="single"/>
                </w:rPr>
                <w:t>46</w:t>
              </w:r>
            </w:hyperlink>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403">
              <w:r>
                <w:rPr>
                  <w:rStyle w:val="InternetLink"/>
                  <w:rFonts w:ascii="Times New Roman;serif" w:hAnsi="Times New Roman;serif"/>
                  <w:b w:val="false"/>
                  <w:color w:val="3051F2"/>
                  <w:sz w:val="20"/>
                  <w:u w:val="single"/>
                </w:rPr>
                <w:t>ITEM 3.</w:t>
              </w:r>
            </w:hyperlink>
          </w:p>
        </w:tc>
        <w:tc>
          <w:tcPr>
            <w:tcW w:w="8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403">
              <w:r>
                <w:rPr>
                  <w:rStyle w:val="InternetLink"/>
                  <w:rFonts w:ascii="Times New Roman;serif" w:hAnsi="Times New Roman;serif"/>
                  <w:b w:val="false"/>
                  <w:color w:val="3051F2"/>
                  <w:sz w:val="20"/>
                  <w:u w:val="single"/>
                </w:rPr>
                <w:t>DEFAULTS UPON SENIOR SECURITIES</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fce235237cb4f36b3483a0a75157ec7_403">
              <w:r>
                <w:rPr>
                  <w:rStyle w:val="InternetLink"/>
                  <w:rFonts w:ascii="Times New Roman;serif" w:hAnsi="Times New Roman;serif"/>
                  <w:b w:val="false"/>
                  <w:color w:val="3051F2"/>
                  <w:sz w:val="20"/>
                  <w:u w:val="single"/>
                </w:rPr>
                <w:t>46</w:t>
              </w:r>
            </w:hyperlink>
          </w:p>
        </w:tc>
      </w:tr>
      <w:tr>
        <w:trPr/>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406">
              <w:r>
                <w:rPr>
                  <w:rStyle w:val="InternetLink"/>
                  <w:rFonts w:ascii="Times New Roman;serif" w:hAnsi="Times New Roman;serif"/>
                  <w:b w:val="false"/>
                  <w:color w:val="3051F2"/>
                  <w:sz w:val="20"/>
                  <w:u w:val="single"/>
                </w:rPr>
                <w:t>ITEM 4.</w:t>
              </w:r>
            </w:hyperlink>
          </w:p>
        </w:tc>
        <w:tc>
          <w:tcPr>
            <w:tcW w:w="8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406">
              <w:r>
                <w:rPr>
                  <w:rStyle w:val="InternetLink"/>
                  <w:rFonts w:ascii="Times New Roman;serif" w:hAnsi="Times New Roman;serif"/>
                  <w:b w:val="false"/>
                  <w:color w:val="3051F2"/>
                  <w:sz w:val="20"/>
                  <w:u w:val="single"/>
                </w:rPr>
                <w:t>MINE SAFETY DISCLOSURES</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fce235237cb4f36b3483a0a75157ec7_406">
              <w:r>
                <w:rPr>
                  <w:rStyle w:val="InternetLink"/>
                  <w:rFonts w:ascii="Times New Roman;serif" w:hAnsi="Times New Roman;serif"/>
                  <w:b w:val="false"/>
                  <w:color w:val="3051F2"/>
                  <w:sz w:val="20"/>
                  <w:u w:val="single"/>
                </w:rPr>
                <w:t>46</w:t>
              </w:r>
            </w:hyperlink>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409">
              <w:r>
                <w:rPr>
                  <w:rStyle w:val="InternetLink"/>
                  <w:rFonts w:ascii="Times New Roman;serif" w:hAnsi="Times New Roman;serif"/>
                  <w:b w:val="false"/>
                  <w:color w:val="3051F2"/>
                  <w:sz w:val="20"/>
                  <w:u w:val="single"/>
                </w:rPr>
                <w:t>ITEM 5.</w:t>
              </w:r>
            </w:hyperlink>
          </w:p>
        </w:tc>
        <w:tc>
          <w:tcPr>
            <w:tcW w:w="8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409">
              <w:r>
                <w:rPr>
                  <w:rStyle w:val="InternetLink"/>
                  <w:rFonts w:ascii="Times New Roman;serif" w:hAnsi="Times New Roman;serif"/>
                  <w:b w:val="false"/>
                  <w:color w:val="3051F2"/>
                  <w:sz w:val="20"/>
                  <w:u w:val="single"/>
                </w:rPr>
                <w:t>OTHER INFORMATION</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fce235237cb4f36b3483a0a75157ec7_409">
              <w:r>
                <w:rPr>
                  <w:rStyle w:val="InternetLink"/>
                  <w:rFonts w:ascii="Times New Roman;serif" w:hAnsi="Times New Roman;serif"/>
                  <w:b w:val="false"/>
                  <w:color w:val="3051F2"/>
                  <w:sz w:val="20"/>
                  <w:u w:val="single"/>
                </w:rPr>
                <w:t>46</w:t>
              </w:r>
            </w:hyperlink>
          </w:p>
        </w:tc>
      </w:tr>
      <w:tr>
        <w:trPr/>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412">
              <w:r>
                <w:rPr>
                  <w:rStyle w:val="InternetLink"/>
                  <w:rFonts w:ascii="Times New Roman;serif" w:hAnsi="Times New Roman;serif"/>
                  <w:b w:val="false"/>
                  <w:color w:val="3051F2"/>
                  <w:sz w:val="20"/>
                  <w:u w:val="single"/>
                </w:rPr>
                <w:t>ITEM 6.</w:t>
              </w:r>
            </w:hyperlink>
          </w:p>
        </w:tc>
        <w:tc>
          <w:tcPr>
            <w:tcW w:w="8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412">
              <w:r>
                <w:rPr>
                  <w:rStyle w:val="InternetLink"/>
                  <w:rFonts w:ascii="Times New Roman;serif" w:hAnsi="Times New Roman;serif"/>
                  <w:b w:val="false"/>
                  <w:color w:val="3051F2"/>
                  <w:sz w:val="20"/>
                  <w:u w:val="single"/>
                </w:rPr>
                <w:t>EXHIBITS</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fce235237cb4f36b3483a0a75157ec7_412">
              <w:r>
                <w:rPr>
                  <w:rStyle w:val="InternetLink"/>
                  <w:rFonts w:ascii="Times New Roman;serif" w:hAnsi="Times New Roman;serif"/>
                  <w:b w:val="false"/>
                  <w:color w:val="3051F2"/>
                  <w:sz w:val="20"/>
                  <w:u w:val="single"/>
                </w:rPr>
                <w:t>47</w:t>
              </w:r>
            </w:hyperlink>
          </w:p>
        </w:tc>
      </w:tr>
      <w:tr>
        <w:trPr/>
        <w:tc>
          <w:tcPr>
            <w:tcW w:w="958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ce235237cb4f36b3483a0a75157ec7_415">
              <w:r>
                <w:rPr>
                  <w:rStyle w:val="InternetLink"/>
                  <w:rFonts w:ascii="Times New Roman;serif" w:hAnsi="Times New Roman;serif"/>
                  <w:b w:val="false"/>
                  <w:color w:val="3051F2"/>
                  <w:sz w:val="20"/>
                  <w:u w:val="single"/>
                </w:rPr>
                <w:t>SIGNATURES</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fce235237cb4f36b3483a0a75157ec7_415">
              <w:r>
                <w:rPr>
                  <w:rStyle w:val="InternetLink"/>
                  <w:rFonts w:ascii="Times New Roman;serif" w:hAnsi="Times New Roman;serif"/>
                  <w:b w:val="false"/>
                  <w:color w:val="3051F2"/>
                  <w:sz w:val="20"/>
                  <w:u w:val="single"/>
                </w:rPr>
                <w:t>48</w:t>
              </w:r>
            </w:hyperlink>
          </w:p>
        </w:tc>
      </w:tr>
    </w:tbl>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Glossary of Key Terms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uses several terms of art that are specific to our industry and business. For the convenience of the reader, a glossary of such terms is provided here. Capitalized terms that are used in this Quarterly Report on Form 10-Q are either defined when they are first used or in the Glossary. Unless we otherwise indicate, or unless the context requires otherwise, any references in this Quarterly Report on Form 10-Q to:</w:t>
      </w:r>
    </w:p>
    <w:p>
      <w:pPr>
        <w:pStyle w:val="TextBody"/>
        <w:bidi w:val="0"/>
        <w:spacing w:lineRule="auto" w:line="288" w:before="0" w:after="0"/>
        <w:jc w:val="left"/>
        <w:rPr>
          <w:color w:val="000000"/>
        </w:rPr>
      </w:pPr>
      <w:r>
        <w:rPr>
          <w:color w:val="000000"/>
        </w:rPr>
        <w:t>“</w:t>
      </w:r>
      <w:r>
        <w:rPr>
          <w:rFonts w:ascii="Times New Roman;serif" w:hAnsi="Times New Roman;serif"/>
          <w:b w:val="false"/>
          <w:i/>
          <w:color w:val="000000"/>
          <w:sz w:val="20"/>
        </w:rPr>
        <w:t>ArcLight” refers to ArcLight Clean Transition Corp. II, a blank check company incorporated as a Cayman Islands exempt company, and our previous name prior to the closing of the Business Combination.</w:t>
        <w:br/>
        <w:br/>
        <w:t>“Business Combination” refers to the transactions contemplated by the Business Combination Agreement dated as of December 2, 2021 (as the same has been or may be amended, modified, supplemented or waived from time to time), by and among ArcLight, OPAL Fuels and OPAL Holdco LLC.</w:t>
        <w:br/>
        <w:br/>
        <w:t>“Central Valley” refers to the consolidated variable interest entity of Central Valley RNG Holdings LLC and its subsidiaries.</w:t>
        <w:br/>
        <w:br/>
        <w:t>“Class A common stock” refers to the shares of Class A common stock, par value $0.0001 per share, of OPAL.</w:t>
        <w:br/>
        <w:br/>
        <w:t>“Class B common stock” refers to the shares of Class B common stock, par value $0.0001 per share, of OPAL.</w:t>
        <w:br/>
        <w:br/>
        <w:t>“Class C common stock” refers to the shares of Class C common stock, par value $0.0001 per share, of OPAL.</w:t>
        <w:br/>
        <w:br/>
        <w:t>“Class D common stock” refers to the shares of Class D common stock, par value $0.0001 per share, of OPAL.</w:t>
        <w:br/>
        <w:br/>
        <w:t>“CMS” refers to CMS RNG LLC, a consolidated variable interest entity formed on May 9, 2025 as a joint venture to develop, construct, own, and operate a renewable natural gas facility. The Company holds a 70% membership interest in CMS, with the remaining 30% owned by a third</w:t>
        <w:noBreakHyphen/>
        <w:t>party partner.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br/>
        <w:t>“Company”, “we”, “our”, “us” or similar terms refers to OPAL Fuels Inc. individually or on a consolidated basis, as the context may require.</w:t>
        <w:br/>
        <w:br/>
        <w:t>“Exchange Act” refers to the Securities Exchange Act of 1934, as amended.</w:t>
      </w:r>
    </w:p>
    <w:p>
      <w:pPr>
        <w:pStyle w:val="TextBody"/>
        <w:bidi w:val="0"/>
        <w:spacing w:lineRule="auto" w:line="288" w:before="0" w:after="0"/>
        <w:jc w:val="left"/>
        <w:rPr>
          <w:color w:val="000000"/>
        </w:rPr>
      </w:pPr>
      <w:r>
        <w:rPr>
          <w:color w:val="000000"/>
        </w:rPr>
        <w:t>“</w:t>
      </w:r>
      <w:r>
        <w:rPr>
          <w:rFonts w:ascii="Times New Roman;serif" w:hAnsi="Times New Roman;serif"/>
          <w:b w:val="false"/>
          <w:i/>
          <w:color w:val="000000"/>
          <w:sz w:val="20"/>
        </w:rPr>
        <w:t>FASB” refers to the Financial Accounting Standards Board.</w:t>
        <w:br/>
        <w:br/>
        <w:t>“Fortistar” refers to Fortistar LLC, a Delaware limited liability company.</w:t>
        <w:br/>
        <w:br/>
        <w:t>“Fueling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CNG. Because Environmental Attributes associated with RNG are nominated/assigned to the physical quantity of CNG dispensed at the Fueling Station, when the CNG is dispensed into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br/>
        <w:br/>
        <w:t>“Hillman” refers to Hillman RNG Investments, LLC, a Delaware limited liability company and an affiliate of Fortistar.</w:t>
        <w:br/>
        <w:br/>
        <w:t>“OPAL Intermediate Holdco” refers to OPAL Fuels Intermediate Holding Company LLC an indirect wholly owned subsidiary of the Company.</w:t>
        <w:br/>
        <w:br/>
        <w:t>“OPAL Term Loan” refers to the term loan agreement entered into on October 22, 2021, by OPAL Intermediate Holdco with a syndicate of lenders.</w:t>
        <w:br/>
        <w:br/>
        <w:t>“Paragon Loan” refers to the senior secured delayed</w:t>
        <w:noBreakHyphen/>
        <w:t>draw term loan and related revolving loan facilities governed by the Amended and Restated Credit Agreement, under which Paragon RNG LLC, the Company’s joint venture, is the borrower and certain of its subsidiaries are guarantors.</w:t>
        <w:br/>
        <w:br/>
        <w:t>"Preferred Coupon" refers to the 12% per annum preferred quarterly distribution rate applicable to the Series A preferred units, compounding quarterly.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"Preferred Units" refers, collectively, to the Series A-1 preferred units held by Hillman, the Series A preferred units previously held by a NextEra affiliated entity, and the new Series A preferred units held by Preferred Fuels.</w:t>
      </w:r>
    </w:p>
    <w:p>
      <w:pPr>
        <w:pStyle w:val="TextBody"/>
        <w:bidi w:val="0"/>
        <w:spacing w:before="0" w:after="0"/>
        <w:jc w:val="left"/>
        <w:rPr/>
      </w:pPr>
      <w:r>
        <w:rPr/>
      </w:r>
    </w:p>
    <w:p>
      <w:pPr>
        <w:pStyle w:val="TextBody"/>
        <w:bidi w:val="0"/>
        <w:spacing w:lineRule="auto" w:line="288" w:before="0" w:after="100"/>
        <w:jc w:val="left"/>
        <w:rPr>
          <w:color w:val="000000"/>
        </w:rPr>
      </w:pPr>
      <w:r>
        <w:rPr>
          <w:color w:val="000000"/>
        </w:rPr>
        <w:t>“</w:t>
      </w:r>
      <w:r>
        <w:rPr>
          <w:rFonts w:ascii="Times New Roman;serif" w:hAnsi="Times New Roman;serif"/>
          <w:b w:val="false"/>
          <w:i/>
          <w:color w:val="000000"/>
          <w:sz w:val="20"/>
        </w:rPr>
        <w:t>Sarbanes-Oxley Act” refers to the Sarbanes-Oxley Act of 2002.</w:t>
        <w:br/>
        <w:br/>
        <w:t>“Securities Act” refers to the Securities Act of 1933, as amended.</w:t>
        <w:br/>
        <w:br/>
        <w:t>“Sunoma” refers to Sunoma Holdings LLC and its wholly</w:t>
        <w:noBreakHyphen/>
        <w:t>owned subsidiary, Sunoma Renewable Biofuel LLC, which together are owned 90% by OPAL Fuels Inc. and 10% by Paloma Dairy LLC.</w:t>
        <w:br/>
        <w:br/>
        <w:t>“Sunoma Loan” refers to the debt agreement entered into on August 27, 2020 by Sunoma Renewable Biofuel LLC, an indirect wholly</w:t>
        <w:noBreakHyphen/>
        <w:t>owned subsidiary of the Company, with Live Oak Banking Company.</w:t>
      </w:r>
    </w:p>
    <w:p>
      <w:pPr>
        <w:pStyle w:val="TextBody"/>
        <w:bidi w:val="0"/>
        <w:spacing w:lineRule="auto" w:line="288" w:before="0" w:after="100"/>
        <w:jc w:val="left"/>
        <w:rPr/>
      </w:pPr>
      <w:r>
        <w:rPr>
          <w:color w:val="000000"/>
        </w:rPr>
        <w:t>“</w:t>
      </w:r>
      <w:r>
        <w:rPr>
          <w:rFonts w:ascii="Times New Roman;serif" w:hAnsi="Times New Roman;serif"/>
          <w:b w:val="false"/>
          <w:i/>
          <w:color w:val="000000"/>
          <w:sz w:val="20"/>
        </w:rPr>
        <w:t>45Z” refers to Production Tax Credits.</w:t>
        <w:br/>
        <w:br/>
      </w:r>
      <w:r>
        <w:rPr>
          <w:rFonts w:ascii="Times New Roman;serif" w:hAnsi="Times New Roman;serif"/>
          <w:b w:val="false"/>
          <w:color w:val="000000"/>
          <w:sz w:val="20"/>
        </w:rPr>
        <w:t>In addition, the following is a glossary of key industry terms used herein:</w:t>
      </w:r>
    </w:p>
    <w:p>
      <w:pPr>
        <w:pStyle w:val="TextBody"/>
        <w:bidi w:val="0"/>
        <w:spacing w:lineRule="auto" w:line="276" w:before="0" w:after="0"/>
        <w:jc w:val="left"/>
        <w:rPr>
          <w:color w:val="000000"/>
        </w:rPr>
      </w:pPr>
      <w:r>
        <w:rPr>
          <w:color w:val="000000"/>
        </w:rPr>
        <w:t>“</w:t>
      </w:r>
      <w:r>
        <w:rPr>
          <w:rFonts w:ascii="Times New Roman;serif" w:hAnsi="Times New Roman;serif"/>
          <w:b w:val="false"/>
          <w:i/>
          <w:color w:val="000000"/>
          <w:sz w:val="20"/>
        </w:rPr>
        <w:t>AAA” refers to the American Arbitration Association.</w:t>
        <w:br/>
        <w:br/>
        <w:t>“ATM” refers to At Market Issuance Sales Agreement.</w:t>
        <w:br/>
        <w:br/>
        <w:t>“Btu” refers to British thermal units.</w:t>
        <w:br/>
        <w:br/>
        <w:t>“CI” refers to carbon intensity.</w:t>
        <w:br/>
        <w:br/>
        <w:t>“CNG” refers to compressed natural gas.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br/>
        <w:t>“D3” refers to cellulosic biofuel with a 60% GHG reduction requirement.</w:t>
        <w:br/>
        <w:b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br/>
        <w:br/>
        <w:t>“EPA” refers to the U.S. Environmental Protection Agency.</w:t>
        <w:br/>
        <w:br/>
        <w:t>"GGE" or "GGEs" refers to gasoline gallon equivalent(s), a unit of measurement used to compare the energy content of alternative fuels to that of gasoline.</w:t>
      </w:r>
    </w:p>
    <w:p>
      <w:pPr>
        <w:pStyle w:val="TextBody"/>
        <w:bidi w:val="0"/>
        <w:spacing w:before="0" w:after="0"/>
        <w:jc w:val="left"/>
        <w:rPr/>
      </w:pPr>
      <w:r>
        <w:rPr/>
      </w:r>
    </w:p>
    <w:p>
      <w:pPr>
        <w:pStyle w:val="TextBody"/>
        <w:bidi w:val="0"/>
        <w:spacing w:lineRule="auto" w:line="288" w:before="0" w:after="100"/>
        <w:jc w:val="left"/>
        <w:rPr>
          <w:color w:val="000000"/>
        </w:rPr>
      </w:pPr>
      <w:r>
        <w:rPr>
          <w:color w:val="000000"/>
        </w:rPr>
        <w:t>“</w:t>
      </w:r>
      <w:r>
        <w:rPr>
          <w:rFonts w:ascii="Times New Roman;serif" w:hAnsi="Times New Roman;serif"/>
          <w:b w:val="false"/>
          <w:i/>
          <w:color w:val="000000"/>
          <w:sz w:val="20"/>
        </w:rPr>
        <w:t>GHG” refers to greenhouse gases.</w:t>
        <w:br/>
        <w:br/>
        <w:t>“ITC” refers to Investment Tax Credit.</w:t>
        <w:br/>
        <w:br/>
        <w:t>“LCFS” refers to Low Carbon Fuel Standard or similar types of federal and state programs.</w:t>
        <w:br/>
        <w:br/>
        <w:t>“LFG” refers to landfill gas.</w:t>
        <w:br/>
        <w:br/>
        <w:t>“RECs” refers to renewable energy credits.</w:t>
        <w:br/>
        <w:br/>
        <w:t>“Renewable Power” refers to electricity generated from renewable sources.</w:t>
        <w:br/>
        <w:br/>
        <w:t>“RFS” refers to the EPA’s Renewable Fuel Standard.</w:t>
        <w:br/>
        <w:br/>
        <w:t>“RINs” refers to Renewable Identification Numbers.</w:t>
        <w:br/>
        <w:br/>
        <w:t>“RNG” refers to renewable natural gas.</w:t>
        <w:br/>
        <w:br/>
        <w:t>“RVOs” refers to renewable volume obligations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i/>
          <w:color w:val="000000"/>
          <w:sz w:val="20"/>
        </w:rPr>
        <w:t>VIEs” refers to variable interest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before="0" w:after="200"/>
        <w:jc w:val="center"/>
        <w:rPr/>
      </w:pPr>
      <w:r>
        <w:rPr/>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OPAL FUELS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of U.S. dollars, except share and per share data)</w:t>
      </w:r>
    </w:p>
    <w:tbl>
      <w:tblPr>
        <w:tblW w:w="10205" w:type="dxa"/>
        <w:jc w:val="center"/>
        <w:tblInd w:w="0" w:type="dxa"/>
        <w:tblLayout w:type="fixed"/>
        <w:tblCellMar>
          <w:top w:w="28" w:type="dxa"/>
          <w:left w:w="28" w:type="dxa"/>
          <w:bottom w:w="28" w:type="dxa"/>
          <w:right w:w="28" w:type="dxa"/>
        </w:tblCellMar>
      </w:tblPr>
      <w:tblGrid>
        <w:gridCol w:w="3037"/>
        <w:gridCol w:w="2466"/>
        <w:gridCol w:w="2417"/>
        <w:gridCol w:w="196"/>
        <w:gridCol w:w="871"/>
        <w:gridCol w:w="109"/>
        <w:gridCol w:w="199"/>
        <w:gridCol w:w="751"/>
        <w:gridCol w:w="159"/>
      </w:tblGrid>
      <w:tr>
        <w:trPr/>
        <w:tc>
          <w:tcPr>
            <w:tcW w:w="3037"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color w:val="000000"/>
                <w:sz w:val="16"/>
              </w:rPr>
              <w:t>Assets</w:t>
            </w:r>
            <w:r>
              <w:rPr>
                <w:rFonts w:ascii="Times New Roman;serif" w:hAnsi="Times New Roman;serif"/>
                <w:b/>
                <w:color w:val="000000"/>
                <w:sz w:val="10"/>
              </w:rPr>
              <w:t>(1)</w:t>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00"/>
              <w:jc w:val="center"/>
              <w:rPr>
                <w:rFonts w:ascii="Times New Roman;serif" w:hAnsi="Times New Roman;serif"/>
                <w:b/>
                <w:color w:val="000000"/>
                <w:sz w:val="18"/>
              </w:rPr>
            </w:pPr>
            <w:r>
              <w:rPr>
                <w:rFonts w:ascii="Times New Roman;serif" w:hAnsi="Times New Roman;serif"/>
                <w:b/>
                <w:color w:val="000000"/>
                <w:sz w:val="18"/>
              </w:rPr>
              <w:t>(Unaudited)</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24,408 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6"/>
              </w:rPr>
              <w:t>Accounts receivable, net of allowances of $1,040 and $469, respectively</w:t>
            </w:r>
            <w:r>
              <w:rPr>
                <w:rFonts w:ascii="Times New Roman;serif" w:hAnsi="Times New Roman;serif"/>
                <w:b w:val="false"/>
                <w:color w:val="000000"/>
                <w:sz w:val="10"/>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61,806 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 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8,276 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Parts inventory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10,964 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16,018 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163,349 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122,682 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525,773 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495,634 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other entities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231,223 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 sales-type lease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8,224 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2,700 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54,608 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 xml:space="preserve">Other long-term assets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44,398 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1,040,244 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959,469 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color w:val="000000"/>
                <w:sz w:val="16"/>
              </w:rPr>
              <w:t>Liabilities and Stockholders' Equity (Deficit)</w:t>
            </w:r>
            <w:r>
              <w:rPr>
                <w:rFonts w:ascii="Times New Roman;serif" w:hAnsi="Times New Roman;serif"/>
                <w:b/>
                <w:color w:val="000000"/>
                <w:sz w:val="10"/>
              </w:rPr>
              <w:t>(1)</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6"/>
              </w:rPr>
              <w:t>Accounts payable</w:t>
            </w:r>
            <w:r>
              <w:rPr>
                <w:rFonts w:ascii="Times New Roman;serif" w:hAnsi="Times New Roman;serif"/>
                <w:b w:val="false"/>
                <w:color w:val="000000"/>
                <w:sz w:val="10"/>
              </w:rPr>
              <w:t>(3)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19,004 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6,296 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Loan,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15,062 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63,857 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104,219 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Loans, net of debt issuance costs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412,809 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337,063 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20,430 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523,892 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461,712 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6"/>
              </w:rPr>
              <w:t xml:space="preserve">Commitments and contingencies </w:t>
            </w:r>
            <w:r>
              <w:rPr>
                <w:rFonts w:ascii="Times New Roman;serif" w:hAnsi="Times New Roman;serif"/>
                <w:b w:val="false"/>
                <w:i/>
                <w:color w:val="000000"/>
                <w:sz w:val="16"/>
              </w:rPr>
              <w:t>Note 12</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preferred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377,898 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Stockholders' equity (deficit)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shares issued: 31,993,327 and 30,633,161 as of June 30, 2026 and December 31, 2025, respectively; shares outstanding: 30,357,544 and 28,997,378 as of June 30,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Class B common stock, $0.0001 par value, 121,500,000 issued and outstanding as of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Class C common stock, $0.0001 par value; none issued and outstanding as of June 30,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Class D common stock, $0.0001 par value, 22,899,037 shares issued and outstanding as of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Class A common stock in treasury, at cost; 1,635,783 as of June 30,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 (deficit) attributable to the Company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26,354 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(12,930)</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Non-redeemable non-controlling interests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11,545 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2,789 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 (deficit)</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37,899 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(10,141)</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redeemable preferred, redeemable non-controlling interests and stockholders' equity (deficit)</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1,040,244 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959,469 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amounts related to consolidated VIEs, which are presented separately in the table below.</w:t>
      </w:r>
    </w:p>
    <w:p>
      <w:pPr>
        <w:pStyle w:val="TextBody"/>
        <w:bidi w:val="0"/>
        <w:spacing w:lineRule="auto" w:line="288" w:before="0" w:after="60"/>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related</w:t>
        <w:noBreakHyphen/>
        <w:t>party amounts of $1,016 and $13,318 as of June 30, 2026 and December 31, 2025, respectively.</w:t>
      </w:r>
    </w:p>
    <w:p>
      <w:pPr>
        <w:pStyle w:val="TextBody"/>
        <w:bidi w:val="0"/>
        <w:spacing w:lineRule="auto" w:line="288" w:before="0" w:after="200"/>
        <w:ind w:left="0" w:right="0" w:hanging="18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Includes related</w:t>
        <w:noBreakHyphen/>
        <w:t>party amounts of $2,715 and $8,951 as of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3685"/>
                <wp:effectExtent l="0" t="0" r="0" b="0"/>
                <wp:wrapNone/>
                <wp:docPr id="6" name="Frame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00"/>
        <w:jc w:val="left"/>
        <w:rPr/>
      </w:pPr>
      <w:r>
        <w:rPr/>
      </w:r>
    </w:p>
    <w:p>
      <w:pPr>
        <w:pStyle w:val="TextBody"/>
        <w:bidi w:val="0"/>
        <w:spacing w:before="0" w:after="20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aggregated assets and liabilities of consolidated VIEs, which are included in the consolidated balance sheets above.</w:t>
      </w:r>
    </w:p>
    <w:tbl>
      <w:tblPr>
        <w:tblW w:w="7034" w:type="dxa"/>
        <w:jc w:val="center"/>
        <w:tblInd w:w="0" w:type="dxa"/>
        <w:tblLayout w:type="fixed"/>
        <w:tblCellMar>
          <w:top w:w="28" w:type="dxa"/>
          <w:left w:w="28" w:type="dxa"/>
          <w:bottom w:w="28" w:type="dxa"/>
          <w:right w:w="28" w:type="dxa"/>
        </w:tblCellMar>
      </w:tblPr>
      <w:tblGrid>
        <w:gridCol w:w="1756"/>
        <w:gridCol w:w="1542"/>
        <w:gridCol w:w="1547"/>
        <w:gridCol w:w="216"/>
        <w:gridCol w:w="713"/>
        <w:gridCol w:w="120"/>
        <w:gridCol w:w="224"/>
        <w:gridCol w:w="740"/>
        <w:gridCol w:w="176"/>
      </w:tblGrid>
      <w:tr>
        <w:trPr/>
        <w:tc>
          <w:tcPr>
            <w:tcW w:w="175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00"/>
              <w:jc w:val="center"/>
              <w:rPr>
                <w:rFonts w:ascii="Times New Roman;serif" w:hAnsi="Times New Roman;serif"/>
                <w:b/>
                <w:color w:val="000000"/>
                <w:sz w:val="18"/>
              </w:rPr>
            </w:pPr>
            <w:r>
              <w:rPr>
                <w:rFonts w:ascii="Times New Roman;serif" w:hAnsi="Times New Roman;serif"/>
                <w:b/>
                <w:color w:val="000000"/>
                <w:sz w:val="18"/>
              </w:rPr>
              <w:t>(Unaudited)</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Assets of consolidated VIEs, included in total assets above:</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 current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1,210 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 and other current assets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64,407 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42,643 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 non-current</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2,700 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 of consolidated VIEs</w:t>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69,558 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46,809 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Liabilities of consolidated VIEs, included in total liabilities above:</w:t>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related party</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Loan, current portion</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2,457 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12,431 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Loan, net of debt issuance costs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15,756 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16,618 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of consolidated VIEs</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28,606 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32,705 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80"/>
        <w:jc w:val="center"/>
        <w:rPr/>
      </w:pPr>
      <w:r>
        <w:rPr/>
      </w:r>
    </w:p>
    <w:p>
      <w:pPr>
        <w:pStyle w:val="TextBody"/>
        <w:bidi w:val="0"/>
        <w:spacing w:lineRule="auto" w:line="288" w:before="0" w:after="8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unaudited condensed consolidated financial statements.</w:t>
      </w:r>
    </w:p>
    <w:p>
      <w:pPr>
        <w:pStyle w:val="TextBody"/>
        <w:bidi w:val="0"/>
        <w:spacing w:before="20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73685"/>
                <wp:effectExtent l="0" t="0" r="0" b="0"/>
                <wp:wrapNone/>
                <wp:docPr id="7" name="Frame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00"/>
        <w:jc w:val="left"/>
        <w:rPr/>
      </w:pPr>
      <w:r>
        <w:rPr/>
      </w:r>
    </w:p>
    <w:p>
      <w:pPr>
        <w:pStyle w:val="TextBody"/>
        <w:bidi w:val="0"/>
        <w:spacing w:before="0" w:after="20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OPAL FUELS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of U.S. dollars, except share and per share data)</w:t>
      </w:r>
    </w:p>
    <w:p>
      <w:pPr>
        <w:pStyle w:val="TextBody"/>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107"/>
        <w:gridCol w:w="1813"/>
        <w:gridCol w:w="1829"/>
        <w:gridCol w:w="233"/>
        <w:gridCol w:w="764"/>
        <w:gridCol w:w="127"/>
        <w:gridCol w:w="233"/>
        <w:gridCol w:w="764"/>
        <w:gridCol w:w="127"/>
        <w:gridCol w:w="223"/>
        <w:gridCol w:w="738"/>
        <w:gridCol w:w="117"/>
        <w:gridCol w:w="223"/>
        <w:gridCol w:w="738"/>
        <w:gridCol w:w="169"/>
      </w:tblGrid>
      <w:tr>
        <w:trPr/>
        <w:tc>
          <w:tcPr>
            <w:tcW w:w="2107"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20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6"/>
              </w:rPr>
              <w:t>RNG fuel</w:t>
            </w:r>
            <w:r>
              <w:rPr>
                <w:rFonts w:ascii="Times New Roman;serif" w:hAnsi="Times New Roman;serif"/>
                <w:b w:val="false"/>
                <w:color w:val="000000"/>
                <w:sz w:val="10"/>
              </w:rPr>
              <w:t>(1)</w:t>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23,821 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25,130 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45,459 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52,729 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6"/>
              </w:rPr>
              <w:t>Fuel station services</w:t>
            </w:r>
            <w:r>
              <w:rPr>
                <w:rFonts w:ascii="Times New Roman;serif" w:hAnsi="Times New Roman;serif"/>
                <w:b w:val="false"/>
                <w:color w:val="000000"/>
                <w:sz w:val="10"/>
              </w:rPr>
              <w:t>(2)</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53,064 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47,026 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97,630 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97,704 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6"/>
              </w:rPr>
              <w:t>Renewable power</w:t>
            </w:r>
            <w:r>
              <w:rPr>
                <w:rFonts w:ascii="Times New Roman;serif" w:hAnsi="Times New Roman;serif"/>
                <w:b w:val="false"/>
                <w:color w:val="000000"/>
                <w:sz w:val="10"/>
              </w:rPr>
              <w:t>(3)</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15,430 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83,399 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80,456 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156,774 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165,863 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 RNG fuel</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25,111 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23,567 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 Fuel station services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40,362 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38,731 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75,752 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78,453 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 Renewable power</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13,661 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Project development and startup costs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9,558 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14,274 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17,460 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29,458 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33,427 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11,206 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loss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(income) from equity method investments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(1,962)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(1,240)</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86,410 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81,283 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164,628 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168,632 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loss</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(3,011)</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(827)</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(7,854)</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(2,769)</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Other expense</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financing expense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(8,647)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(6,637)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(15,291)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(13,087)</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655 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2,321 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expenses</w:t>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(5,874)</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(5,300)</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(12,333)</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(10,111)</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before income tax benefit</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(8,885)</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(6,127)</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(20,187)</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(12,880)</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w:t>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4,738 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13,686 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10,447 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21,723 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(4,147)</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7,559 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(9,740)</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8,843 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redeemable non-controlling interest</w:t>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(7,136)</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3,982 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(19,703)</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2,808 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non-redeemable non-controlling interest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the redeemable preferred non-controlling interest to its redemption amount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5,234 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Class A common stockholders</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(1,501)</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(4,143)</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Weighted average shares outstanding of Class A common stock:</w:t>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29,641,216 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28,265,710 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28,966,490 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27,995,258 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29,641,216 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29,229,245 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28,966,490 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28,688,505 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Per share amounts: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(0.14)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(0.14)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revenues from related parties of $125 and $17,878 for the three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Includes revenues from related parties of $17,167 and $37,979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revenues from related parties of $3,251 and $12,826 for the three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Includes revenues from related parties of $16,358 and $29,429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18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Includes revenues from related parties of $0 and $1,488 for the three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Includes revenues from related parties of $872 and $2,654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80"/>
        <w:jc w:val="center"/>
        <w:rPr/>
      </w:pPr>
      <w:r>
        <w:rPr/>
      </w:r>
    </w:p>
    <w:p>
      <w:pPr>
        <w:pStyle w:val="TextBody"/>
        <w:bidi w:val="0"/>
        <w:spacing w:before="0" w:after="80"/>
        <w:jc w:val="center"/>
        <w:rPr/>
      </w:pPr>
      <w:r>
        <w:rPr/>
      </w:r>
    </w:p>
    <w:p>
      <w:pPr>
        <w:pStyle w:val="TextBody"/>
        <w:bidi w:val="0"/>
        <w:spacing w:lineRule="auto" w:line="288" w:before="0" w:after="80"/>
        <w:jc w:val="center"/>
        <w:rPr>
          <w:rFonts w:ascii="Times New Roman;serif" w:hAnsi="Times New Roman;serif"/>
          <w:b w:val="false"/>
          <w:color w:val="000000"/>
          <w:sz w:val="16"/>
        </w:rPr>
      </w:pPr>
      <w:r>
        <w:rPr>
          <w:rFonts w:ascii="Times New Roman;serif" w:hAnsi="Times New Roman;serif"/>
          <w:b w:val="false"/>
          <w:color w:val="000000"/>
          <w:sz w:val="16"/>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73685"/>
                <wp:effectExtent l="0" t="0" r="0" b="0"/>
                <wp:wrapNone/>
                <wp:docPr id="8" name="Frame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200"/>
        <w:jc w:val="left"/>
        <w:rPr/>
      </w:pPr>
      <w:r>
        <w:rPr/>
      </w:r>
    </w:p>
    <w:p>
      <w:pPr>
        <w:pStyle w:val="TextBody"/>
        <w:bidi w:val="0"/>
        <w:spacing w:before="0" w:after="2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OPAL FUELS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 INCOME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of U.S. dollars)</w:t>
      </w:r>
    </w:p>
    <w:p>
      <w:pPr>
        <w:pStyle w:val="TextBody"/>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134"/>
        <w:gridCol w:w="1876"/>
        <w:gridCol w:w="1877"/>
        <w:gridCol w:w="243"/>
        <w:gridCol w:w="779"/>
        <w:gridCol w:w="135"/>
        <w:gridCol w:w="243"/>
        <w:gridCol w:w="690"/>
        <w:gridCol w:w="135"/>
        <w:gridCol w:w="222"/>
        <w:gridCol w:w="713"/>
        <w:gridCol w:w="123"/>
        <w:gridCol w:w="222"/>
        <w:gridCol w:w="632"/>
        <w:gridCol w:w="181"/>
      </w:tblGrid>
      <w:tr>
        <w:trPr/>
        <w:tc>
          <w:tcPr>
            <w:tcW w:w="2134"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0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(4,147)</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7,559 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(9,740)</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8,843 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gain (loss)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gain (loss) on cash flow hedges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(loss) income</w:t>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(2,820)</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7,223 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(7,198)</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7,942 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(loss) income attributable to redeemable non-controlling interests</w:t>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(6,040)</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3,702 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(17,603)</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attributable to non-redeemable non-controlling interests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the redeemable preferred non-controlling interest to its redemption amount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(loss) income attributable to Class A common stockholders</w:t>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(3,701)</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unaudited condensed consolidated financial statements.</w:t>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73685"/>
                <wp:effectExtent l="0" t="0" r="0" b="0"/>
                <wp:wrapNone/>
                <wp:docPr id="9" name="Frame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200"/>
        <w:jc w:val="left"/>
        <w:rPr/>
      </w:pPr>
      <w:r>
        <w:rPr/>
      </w:r>
    </w:p>
    <w:p>
      <w:pPr>
        <w:pStyle w:val="TextBody"/>
        <w:bidi w:val="0"/>
        <w:spacing w:before="0" w:after="200"/>
        <w:jc w:val="center"/>
        <w:rPr/>
      </w:pPr>
      <w:r>
        <w:rPr/>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OPAL FUELS INC.</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CONDENSED CONSOLIDATED STATEMENTS OF CHANGES IN REDEEMABLE NON-CONTROLLING INTEREST, REDEEMABLE PREFERRED NON-CONTROLLING INTEREST AND STOCKHOLDERS' EQUITY (DEFICIT)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of U.S. dollars, except per share data)</w:t>
      </w:r>
    </w:p>
    <w:p>
      <w:pPr>
        <w:pStyle w:val="TextBody"/>
        <w:bidi w:val="0"/>
        <w:spacing w:lineRule="auto" w:line="288" w:before="0" w:after="60"/>
        <w:jc w:val="center"/>
        <w:rPr/>
      </w:pPr>
      <w:r>
        <w:rPr>
          <w:rFonts w:ascii="Times New Roman;serif" w:hAnsi="Times New Roman;serif"/>
          <w:b/>
          <w:color w:val="000000"/>
          <w:sz w:val="18"/>
        </w:rPr>
        <w:t>(Unaudited)</w:t>
      </w:r>
      <w:r>
        <w:rPr>
          <w:color w:val="000000"/>
        </w:rPr>
        <w:t xml:space="preserve"> </w:t>
      </w:r>
    </w:p>
    <w:tbl>
      <w:tblPr>
        <w:tblW w:w="16312" w:type="dxa"/>
        <w:jc w:val="center"/>
        <w:tblInd w:w="0" w:type="dxa"/>
        <w:tblLayout w:type="fixed"/>
        <w:tblCellMar>
          <w:top w:w="28" w:type="dxa"/>
          <w:left w:w="28" w:type="dxa"/>
          <w:bottom w:w="28" w:type="dxa"/>
          <w:right w:w="28" w:type="dxa"/>
        </w:tblCellMar>
      </w:tblPr>
      <w:tblGrid>
        <w:gridCol w:w="622"/>
        <w:gridCol w:w="355"/>
        <w:gridCol w:w="269"/>
        <w:gridCol w:w="481"/>
        <w:gridCol w:w="480"/>
        <w:gridCol w:w="109"/>
        <w:gridCol w:w="326"/>
        <w:gridCol w:w="241"/>
        <w:gridCol w:w="109"/>
        <w:gridCol w:w="525"/>
        <w:gridCol w:w="526"/>
        <w:gridCol w:w="152"/>
        <w:gridCol w:w="236"/>
        <w:gridCol w:w="331"/>
        <w:gridCol w:w="109"/>
        <w:gridCol w:w="481"/>
        <w:gridCol w:w="480"/>
        <w:gridCol w:w="109"/>
        <w:gridCol w:w="326"/>
        <w:gridCol w:w="241"/>
        <w:gridCol w:w="109"/>
        <w:gridCol w:w="231"/>
        <w:gridCol w:w="480"/>
        <w:gridCol w:w="130"/>
        <w:gridCol w:w="213"/>
        <w:gridCol w:w="703"/>
        <w:gridCol w:w="120"/>
        <w:gridCol w:w="312"/>
        <w:gridCol w:w="670"/>
        <w:gridCol w:w="174"/>
        <w:gridCol w:w="259"/>
        <w:gridCol w:w="856"/>
        <w:gridCol w:w="146"/>
        <w:gridCol w:w="443"/>
        <w:gridCol w:w="443"/>
        <w:gridCol w:w="136"/>
        <w:gridCol w:w="196"/>
        <w:gridCol w:w="661"/>
        <w:gridCol w:w="109"/>
        <w:gridCol w:w="196"/>
        <w:gridCol w:w="661"/>
        <w:gridCol w:w="109"/>
        <w:gridCol w:w="226"/>
        <w:gridCol w:w="849"/>
        <w:gridCol w:w="126"/>
        <w:gridCol w:w="224"/>
        <w:gridCol w:w="844"/>
        <w:gridCol w:w="178"/>
      </w:tblGrid>
      <w:tr>
        <w:trPr/>
        <w:tc>
          <w:tcPr>
            <w:tcW w:w="62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187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174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D Common Stock</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 in treasury</w:t>
            </w:r>
          </w:p>
        </w:tc>
        <w:tc>
          <w:tcPr>
            <w:tcW w:w="96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44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Mezzanine Equity</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Non-redeemable non-controlling interests</w:t>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Total Equity (Deficit)</w:t>
            </w:r>
          </w:p>
        </w:tc>
        <w:tc>
          <w:tcPr>
            <w:tcW w:w="12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Redeemable preferred non-controlling interests</w:t>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30,633,161 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121,500,000 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22,899,037 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2,789 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(1,635,783)</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377,898 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(4,689)</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for vesting of equity awards net of tax withholdings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23,581 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preferred dividend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 from non-redeemable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preferred non-controlling interest issuance, net of issuance costs and warrants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redeemable preferred non</w:t>
              <w:noBreakHyphen/>
              <w:t>controlling interest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the redeemable preferred non-controlling interest to its redemption amount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31,993,327 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121,500,000 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22,899,037 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10,208 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(1,635,783)</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343,467 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(3,539)</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for vesting of equity awards net of tax withholdings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(19,075)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preferred dividend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 from non-redeemable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preferred non-controlling interest issuance, net of issuance costs and warrants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the redeemable preferred non-controlling interest to its redemption amount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96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31,993,327 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121,500,000 </w:t>
            </w:r>
          </w:p>
        </w:tc>
        <w:tc>
          <w:tcPr>
            <w:tcW w:w="15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22,899,037 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37,535 </w:t>
            </w:r>
          </w:p>
        </w:tc>
        <w:tc>
          <w:tcPr>
            <w:tcW w:w="12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17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11,545 </w:t>
            </w:r>
          </w:p>
        </w:tc>
        <w:tc>
          <w:tcPr>
            <w:tcW w:w="1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(1,635,783)</w:t>
            </w:r>
          </w:p>
        </w:tc>
        <w:tc>
          <w:tcPr>
            <w:tcW w:w="1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37,899 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158,400 </w:t>
            </w:r>
          </w:p>
        </w:tc>
        <w:tc>
          <w:tcPr>
            <w:tcW w:w="1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320,053 </w:t>
            </w:r>
          </w:p>
        </w:tc>
        <w:tc>
          <w:tcPr>
            <w:tcW w:w="17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73685"/>
                <wp:effectExtent l="0" t="0" r="0" b="0"/>
                <wp:wrapNone/>
                <wp:docPr id="10" name="Frame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200"/>
        <w:jc w:val="left"/>
        <w:rPr/>
      </w:pPr>
      <w:r>
        <w:rPr/>
      </w:r>
    </w:p>
    <w:p>
      <w:pPr>
        <w:pStyle w:val="TextBody"/>
        <w:bidi w:val="0"/>
        <w:spacing w:before="0" w:after="200"/>
        <w:jc w:val="center"/>
        <w:rPr/>
      </w:pPr>
      <w:r>
        <w:rPr/>
      </w:r>
    </w:p>
    <w:tbl>
      <w:tblPr>
        <w:tblW w:w="16437" w:type="dxa"/>
        <w:jc w:val="center"/>
        <w:tblInd w:w="0" w:type="dxa"/>
        <w:tblLayout w:type="fixed"/>
        <w:tblCellMar>
          <w:top w:w="28" w:type="dxa"/>
          <w:left w:w="28" w:type="dxa"/>
          <w:bottom w:w="28" w:type="dxa"/>
          <w:right w:w="28" w:type="dxa"/>
        </w:tblCellMar>
      </w:tblPr>
      <w:tblGrid>
        <w:gridCol w:w="622"/>
        <w:gridCol w:w="355"/>
        <w:gridCol w:w="269"/>
        <w:gridCol w:w="481"/>
        <w:gridCol w:w="480"/>
        <w:gridCol w:w="109"/>
        <w:gridCol w:w="326"/>
        <w:gridCol w:w="241"/>
        <w:gridCol w:w="109"/>
        <w:gridCol w:w="524"/>
        <w:gridCol w:w="527"/>
        <w:gridCol w:w="152"/>
        <w:gridCol w:w="236"/>
        <w:gridCol w:w="331"/>
        <w:gridCol w:w="109"/>
        <w:gridCol w:w="488"/>
        <w:gridCol w:w="488"/>
        <w:gridCol w:w="109"/>
        <w:gridCol w:w="326"/>
        <w:gridCol w:w="241"/>
        <w:gridCol w:w="109"/>
        <w:gridCol w:w="231"/>
        <w:gridCol w:w="480"/>
        <w:gridCol w:w="130"/>
        <w:gridCol w:w="196"/>
        <w:gridCol w:w="751"/>
        <w:gridCol w:w="109"/>
        <w:gridCol w:w="312"/>
        <w:gridCol w:w="670"/>
        <w:gridCol w:w="174"/>
        <w:gridCol w:w="287"/>
        <w:gridCol w:w="814"/>
        <w:gridCol w:w="160"/>
        <w:gridCol w:w="443"/>
        <w:gridCol w:w="443"/>
        <w:gridCol w:w="136"/>
        <w:gridCol w:w="196"/>
        <w:gridCol w:w="661"/>
        <w:gridCol w:w="109"/>
        <w:gridCol w:w="196"/>
        <w:gridCol w:w="751"/>
        <w:gridCol w:w="109"/>
        <w:gridCol w:w="226"/>
        <w:gridCol w:w="849"/>
        <w:gridCol w:w="126"/>
        <w:gridCol w:w="224"/>
        <w:gridCol w:w="844"/>
        <w:gridCol w:w="178"/>
      </w:tblGrid>
      <w:tr>
        <w:trPr/>
        <w:tc>
          <w:tcPr>
            <w:tcW w:w="62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187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176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D Common Stock</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 A Common stock in treasury</w:t>
            </w:r>
          </w:p>
        </w:tc>
        <w:tc>
          <w:tcPr>
            <w:tcW w:w="105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44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Mezzanine Equity</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Non-redeemable non-controlling interests</w:t>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(Deficit) Equity</w:t>
            </w:r>
          </w:p>
        </w:tc>
        <w:tc>
          <w:tcPr>
            <w:tcW w:w="12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Redeemable preferred non-controlling interests</w:t>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30,065,260 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71,500,000 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72,899,037 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(137,004)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(1,635,783)</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482,863 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for vesting of equity awards net of tax withholdings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the redeemable preferred non-controlling interest to its redemption amount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(205,959)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preferred dividend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2025</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30,607,664 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71,500,000 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72,899,037 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(1,635,783)</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57,726 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276,719 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under the ATM program</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 conversion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for vesting of equity awards net of tax withholdings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non-redeemable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the redeemable preferred non-controlling interest to its redemption amount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 from non-redeemable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83,294 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preferred dividend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2025</w:t>
            </w:r>
          </w:p>
        </w:tc>
        <w:tc>
          <w:tcPr>
            <w:tcW w:w="96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30,631,960 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121,500,000 </w:t>
            </w:r>
          </w:p>
        </w:tc>
        <w:tc>
          <w:tcPr>
            <w:tcW w:w="15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22,899,037 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(13,442)</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7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2,735 </w:t>
            </w:r>
          </w:p>
        </w:tc>
        <w:tc>
          <w:tcPr>
            <w:tcW w:w="16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(1,635,783)</w:t>
            </w:r>
          </w:p>
        </w:tc>
        <w:tc>
          <w:tcPr>
            <w:tcW w:w="1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(22,302)</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1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365,548 </w:t>
            </w:r>
          </w:p>
        </w:tc>
        <w:tc>
          <w:tcPr>
            <w:tcW w:w="17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73685"/>
                <wp:effectExtent l="0" t="0" r="0" b="0"/>
                <wp:wrapNone/>
                <wp:docPr id="11" name="Frame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200"/>
        <w:jc w:val="left"/>
        <w:rPr/>
      </w:pPr>
      <w:r>
        <w:rPr/>
      </w:r>
    </w:p>
    <w:p>
      <w:pPr>
        <w:pStyle w:val="TextBody"/>
        <w:bidi w:val="0"/>
        <w:spacing w:before="0" w:after="2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OPAL FUELS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of U.S. dollars)</w:t>
      </w:r>
    </w:p>
    <w:p>
      <w:pPr>
        <w:pStyle w:val="TextBody"/>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(Unaudited)</w:t>
      </w:r>
    </w:p>
    <w:tbl>
      <w:tblPr>
        <w:tblW w:w="9312" w:type="dxa"/>
        <w:jc w:val="center"/>
        <w:tblInd w:w="0" w:type="dxa"/>
        <w:tblLayout w:type="fixed"/>
        <w:tblCellMar>
          <w:top w:w="28" w:type="dxa"/>
          <w:left w:w="28" w:type="dxa"/>
          <w:bottom w:w="28" w:type="dxa"/>
          <w:right w:w="28" w:type="dxa"/>
        </w:tblCellMar>
      </w:tblPr>
      <w:tblGrid>
        <w:gridCol w:w="2666"/>
        <w:gridCol w:w="2346"/>
        <w:gridCol w:w="2353"/>
        <w:gridCol w:w="196"/>
        <w:gridCol w:w="646"/>
        <w:gridCol w:w="109"/>
        <w:gridCol w:w="196"/>
        <w:gridCol w:w="646"/>
        <w:gridCol w:w="154"/>
      </w:tblGrid>
      <w:tr>
        <w:trPr/>
        <w:tc>
          <w:tcPr>
            <w:tcW w:w="2666"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income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Assets' impairment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income from investments in other entities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from return on investments in other entities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3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3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3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6"/>
              </w:rPr>
              <w:t>Accounts receivable</w:t>
            </w:r>
            <w:r>
              <w:rPr>
                <w:rFonts w:ascii="Times New Roman;serif" w:hAnsi="Times New Roman;serif"/>
                <w:b w:val="false"/>
                <w:color w:val="000000"/>
                <w:sz w:val="10"/>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Parts inventory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and long-term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6"/>
              </w:rPr>
              <w:t>Accounts payable</w:t>
            </w:r>
            <w:r>
              <w:rPr>
                <w:rFonts w:ascii="Times New Roman;serif" w:hAnsi="Times New Roman;serif"/>
                <w:b w:val="false"/>
                <w:color w:val="000000"/>
                <w:sz w:val="10"/>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and non-current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23,677 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21,805 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plant,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from return of investments in other entities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related to investments in other entities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disposal of property, plant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(58,456)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(36,026)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redeemable preferred non-controlling interest and warrants issuance, net of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redeemable preferred non</w:t>
              <w:noBreakHyphen/>
              <w:t>controlling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costs paid to other third parties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shares of Class A common stock under the ATM program,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principal portion of finance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preferred dividends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non-redeemable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taxes related to net share settlement of equity awards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 from non-redeemable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101,653 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18,498 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cash, restricted cash, and cash equivalents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66,874 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4,277 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restricted cash, and cash equivalents, beginning of period</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29,228 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restricted cash, and cash equivalents, end of period</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95,192 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33,505 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decrease (increase) from related parties of $12,302 and $(10,974) for the six months ended June 30, 2026 and 2025, respectively</w:t>
      </w:r>
    </w:p>
    <w:p>
      <w:pPr>
        <w:pStyle w:val="TextBody"/>
        <w:bidi w:val="0"/>
        <w:spacing w:lineRule="auto" w:line="288" w:before="0" w:after="200"/>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(decrease) increase from related parties of $(6,236) and $356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73685"/>
                <wp:effectExtent l="0" t="0" r="0" b="0"/>
                <wp:wrapNone/>
                <wp:docPr id="12" name="Frame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200"/>
        <w:jc w:val="left"/>
        <w:rPr/>
      </w:pPr>
      <w:r>
        <w:rPr/>
      </w:r>
    </w:p>
    <w:p>
      <w:pPr>
        <w:pStyle w:val="TextBody"/>
        <w:bidi w:val="0"/>
        <w:spacing w:before="0" w:after="200"/>
        <w:jc w:val="center"/>
        <w:rPr/>
      </w:pPr>
      <w:r>
        <w:rPr/>
      </w:r>
    </w:p>
    <w:tbl>
      <w:tblPr>
        <w:tblW w:w="9012" w:type="dxa"/>
        <w:jc w:val="center"/>
        <w:tblInd w:w="0" w:type="dxa"/>
        <w:tblLayout w:type="fixed"/>
        <w:tblCellMar>
          <w:top w:w="28" w:type="dxa"/>
          <w:left w:w="28" w:type="dxa"/>
          <w:bottom w:w="28" w:type="dxa"/>
          <w:right w:w="28" w:type="dxa"/>
        </w:tblCellMar>
      </w:tblPr>
      <w:tblGrid>
        <w:gridCol w:w="2559"/>
        <w:gridCol w:w="2250"/>
        <w:gridCol w:w="2256"/>
        <w:gridCol w:w="196"/>
        <w:gridCol w:w="646"/>
        <w:gridCol w:w="109"/>
        <w:gridCol w:w="196"/>
        <w:gridCol w:w="646"/>
        <w:gridCol w:w="154"/>
      </w:tblGrid>
      <w:tr>
        <w:trPr/>
        <w:tc>
          <w:tcPr>
            <w:tcW w:w="2559"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Interest paid, net of $1,327 and $1,241 capitalized, respectively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warrants in connection with redeemable preferred non-controlling interest financing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plant and equipment included in accrued expenses and other current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0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3685"/>
                <wp:effectExtent l="0" t="0" r="0" b="0"/>
                <wp:wrapNone/>
                <wp:docPr id="13" name="Frame1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OPAL FUELS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 SUMMARY OF SIGNIFICANT ACCOUNTING POLICIES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Basis of Presentation and Principles of Consolidation</w:t>
      </w:r>
    </w:p>
    <w:p>
      <w:pPr>
        <w:pStyle w:val="TextBody"/>
        <w:bidi w:val="0"/>
        <w:spacing w:lineRule="auto" w:line="288" w:before="0" w:after="200"/>
        <w:jc w:val="both"/>
        <w:rPr/>
      </w:pPr>
      <w:r>
        <w:rPr>
          <w:rFonts w:ascii="Times New Roman;serif" w:hAnsi="Times New Roman;serif"/>
          <w:b w:val="false"/>
          <w:color w:val="000000"/>
          <w:sz w:val="20"/>
          <w:shd w:fill="FFFFFF" w:val="clear"/>
        </w:rPr>
        <w:t xml:space="preserve">The unaudited condensed </w:t>
      </w:r>
      <w:r>
        <w:rPr>
          <w:rFonts w:ascii="Times New Roman;serif" w:hAnsi="Times New Roman;serif"/>
          <w:b w:val="false"/>
          <w:color w:val="000000"/>
          <w:sz w:val="20"/>
        </w:rPr>
        <w:t>consolidated financial statements</w:t>
      </w:r>
      <w:r>
        <w:rPr>
          <w:color w:val="000000"/>
          <w:shd w:fill="FFFFFF" w:val="clear"/>
        </w:rPr>
        <w:t xml:space="preserve"> </w:t>
      </w:r>
      <w:r>
        <w:rPr>
          <w:rFonts w:ascii="Times New Roman;serif" w:hAnsi="Times New Roman;serif"/>
          <w:b w:val="false"/>
          <w:color w:val="000000"/>
          <w:sz w:val="20"/>
        </w:rPr>
        <w:t xml:space="preserve">are prepared in accordance with generally accepted accounting principles in the United States ("U.S. GAAP"). The Company’s </w:t>
      </w:r>
      <w:r>
        <w:rPr>
          <w:rFonts w:ascii="Times New Roman;serif" w:hAnsi="Times New Roman;serif"/>
          <w:b w:val="false"/>
          <w:color w:val="000000"/>
          <w:sz w:val="20"/>
          <w:shd w:fill="FFFFFF" w:val="clear"/>
        </w:rPr>
        <w:t xml:space="preserve">unaudited condensed </w:t>
      </w:r>
      <w:r>
        <w:rPr>
          <w:rFonts w:ascii="Times New Roman;serif" w:hAnsi="Times New Roman;serif"/>
          <w:b w:val="false"/>
          <w:color w:val="000000"/>
          <w:sz w:val="20"/>
        </w:rPr>
        <w:t xml:space="preserve">consolidated financial statements include the assets and liabilities of these subsidiaries. All intercompany transactions and balances have been eliminated in consolidation. In the opinion of management, the Company's financial statements include all normal and recurring adjustments necessary in order to make the financial statements not misleading and to provide a fair presentation of the Company's financial results for the interim period included in this Quarterly Report. The information included in this Quarterly Report should be read in conjunction with the Company's audited consolidated financial statements and notes thereto included in the Company’s Annual Report on Form 10-K for the fiscal year ended December 31, 2025.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consolidates all entities in which it holds a majority voting interest, as well as variable interest entities ("VIEs") for which it is determined to be the primary beneficiary. The Company's variable interests in each of the VIEs arise primarily from ownership of membership interests, construction commitments, the provision of operating and maintenance services, and the provision of environmental credit processing services to VIEs. The Company reassesses its primary beneficiary status on an ongoing basis.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Noncontrolling interests related to the Company’s VIEs are presented separately from stockholders' equity (deficit) on the condensed consolidated balance sheets and are reported as non-redeemable non-controlling interests within the condensed consolidated statements of changes in redeemable non-controlling interest, redeemable preferred non-controlling interest and stockholders' equity (deficit).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Certain amounts in the prior</w:t>
        <w:noBreakHyphen/>
        <w:t>period financial statements have been reclassified to conform to the current</w:t>
        <w:noBreakHyphen/>
        <w:t>period presentation. These reclassifications had no impact on previously reported total assets, total liabilities, stockholders' deficit, net loss, or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significant estimates and assumptions of the Company include the residual value of the useful lives of property, plant and equipment, the fair value of long-lived assets, asset retirement obligations, percentage completion for revenue recognition, incremental borrowing rate for calculating the right-of-use assets and lease liabilities, and the fair value of the reporting units of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Accounting Pronouncements Not Yet Adopted</w:t>
      </w:r>
    </w:p>
    <w:p>
      <w:pPr>
        <w:pStyle w:val="TextBody"/>
        <w:bidi w:val="0"/>
        <w:spacing w:lineRule="auto" w:line="288" w:before="0" w:after="20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w:t>
      </w:r>
      <w:r>
        <w:rPr>
          <w:rFonts w:ascii="Times New Roman;serif" w:hAnsi="Times New Roman;serif"/>
          <w:b w:val="false"/>
          <w:color w:val="000000"/>
          <w:sz w:val="20"/>
        </w:rPr>
        <w:t>(Subtopic 220-40): Disaggregation of Income Statement Expenses, which requires additional, disaggregated disclosure about certain income statement expense line items. The ASU is effective for annual periods beginning after December 15, 2026, and interim periods beginning after December 15, 2027. The amendments are to be applied prospectively with the option for retrospective application. The Company is currently evaluating the impact that this guidance will have on the disclosures within our condensed consolidated financial statements.</w:t>
      </w:r>
    </w:p>
    <w:p>
      <w:pPr>
        <w:pStyle w:val="TextBody"/>
        <w:bidi w:val="0"/>
        <w:spacing w:lineRule="auto" w:line="288" w:before="0" w:after="200"/>
        <w:jc w:val="both"/>
        <w:rPr/>
      </w:pPr>
      <w:r>
        <w:rPr>
          <w:rFonts w:ascii="Times New Roman;serif" w:hAnsi="Times New Roman;serif"/>
          <w:b w:val="false"/>
          <w:color w:val="000000"/>
          <w:sz w:val="20"/>
        </w:rPr>
        <w:t>In December 2025, the FASB issued ASU 2025-10,</w:t>
      </w:r>
      <w:r>
        <w:rPr>
          <w:color w:val="000000"/>
        </w:rPr>
        <w:t xml:space="preserve"> </w:t>
      </w:r>
      <w:r>
        <w:rPr>
          <w:rFonts w:ascii="Times New Roman;serif" w:hAnsi="Times New Roman;serif"/>
          <w:b w:val="false"/>
          <w:i/>
          <w:color w:val="000000"/>
          <w:sz w:val="20"/>
        </w:rPr>
        <w:t xml:space="preserve">Accounting for Government Grants Received by Business Entities </w:t>
      </w:r>
      <w:r>
        <w:rPr>
          <w:rFonts w:ascii="Times New Roman;serif" w:hAnsi="Times New Roman;serif"/>
          <w:b w:val="false"/>
          <w:color w:val="000000"/>
          <w:sz w:val="20"/>
        </w:rPr>
        <w:t xml:space="preserve">(Topic 832). This ASU establishes a unified accounting model for business entities when recognizing, measuring, and presenting government grants. The ASU categorizes grants as either related to an asset or related to income. A grant related to income is recognized in earnings in a systematic and rational manner over the periods in which the entity recognizes the related expenses for which the grant is intended to compensate. Presentation of the grant on the income statement can be either as a component of other income or as a deduction from the related expenses. The standard is effective for annual periods beginning after December 15, 2028 and interim periods within those annual periods. However, the ASU permits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73685"/>
                <wp:effectExtent l="0" t="0" r="0" b="0"/>
                <wp:wrapNone/>
                <wp:docPr id="14" name="Frame1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early adoption. The Company is considering early adoption of ASU 2025-10 in the third quarter of 2026 and retrospective application of its provisions. The Company is currently evaluating the impact of adoption on its financial statements, including the presentation of Section 45z production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Parts Inventory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Parts inventory, also referred to as supplies inventory, consists of shop spare parts inventory and construction site parts inventory. Parts inventory is stated at historical cost, which is determined using the average cost method, and is recorded at the lower of cost or net realizable value. An annual review of inventory is performed to identify obsolete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Environmental Credits Held for Sale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 Company recorded $1,992 and $4,693 as part of Cost of sales - Fuel Station Services in the condensed consolidated statements of operations to adjust environmental credits held for sale to lower of cost and net realizable value. For the six months ended June 30, 2026 and 2025, the Company recorded $4,202 and $10,540,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Accrued Expenses and Other Current Liabilities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primarily of accrued capital expenditures, accrued payroll and related benefits, accrued environmental credit rebates, and other miscellaneous accrued operating expenses. Accrued environmental credit rebates represent the Company's liabilities for dispensing services provided by third-party vendors.</w:t>
      </w:r>
    </w:p>
    <w:tbl>
      <w:tblPr>
        <w:tblW w:w="6606" w:type="dxa"/>
        <w:jc w:val="center"/>
        <w:tblInd w:w="0" w:type="dxa"/>
        <w:tblLayout w:type="fixed"/>
        <w:tblCellMar>
          <w:top w:w="28" w:type="dxa"/>
          <w:left w:w="28" w:type="dxa"/>
          <w:bottom w:w="28" w:type="dxa"/>
          <w:right w:w="28" w:type="dxa"/>
        </w:tblCellMar>
      </w:tblPr>
      <w:tblGrid>
        <w:gridCol w:w="1542"/>
        <w:gridCol w:w="1357"/>
        <w:gridCol w:w="1361"/>
        <w:gridCol w:w="211"/>
        <w:gridCol w:w="721"/>
        <w:gridCol w:w="109"/>
        <w:gridCol w:w="253"/>
        <w:gridCol w:w="867"/>
        <w:gridCol w:w="185"/>
      </w:tblGrid>
      <w:tr>
        <w:trPr/>
        <w:tc>
          <w:tcPr>
            <w:tcW w:w="15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24,629 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7,719 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environmental credit rebates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4,993 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12,062 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14,454 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54,843 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63,857 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Amounts become billable in accordance with contract terms, generally based on progress toward completion and the achievement of contractual milestones. Cost and estimated earnings in excess of billings amounted to $5,140 and $6,489 as of June 30, 2026 and December 31, 2025,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Contract liabilities consist of billings in excess of costs and estimated earnings and other deferred construction revenue. Billings in excess of costs and estimated earnings represent amounts billed to or collected from customers in advance of the satisfaction of the related performance obligations. These amounts are recognized as revenue as the Company satisfies its performance obligations over the remaining contract term.</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recognized revenue of $3,510 that was included in contract liabilities at December 31, 2025. During the six months ended June 30, 2025, the Company recognized revenue of $3,404 that was included in contract liabilities at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Impairment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the Company recognized impairment charges of $3,595 related to certain long-lived assets in its Renewable Power segment and $547 related to certain long-lived assets in its Fuel Station Services segment. The impairment within its Renewable Power segment resulted from the Company's decision to repurpose a renewable power facility for use as an RNG facility. As a result of the change in intended use, certain assets associated with the renewable power facility were no longer expected to be utilized and had no alternative future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3685"/>
                <wp:effectExtent l="0" t="0" r="0" b="0"/>
                <wp:wrapNone/>
                <wp:docPr id="15" name="Frame1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Accordingly, the Company determined that the fair value of the affected assets was zero and recorded an impairment charge equal to their carrying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remaining performance obligations represent the unrecognized revenue value of its contract commitments. The Company's remaining performance obligations may significantly vary each reporting period based on the timing of major new contract commitments. As of June 30, 2026, the Company had a remaining performance obligation of $32,653 of which $12,068 is expected to be recognized within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Significant Customers, Vendors and Concentration of Credit Risk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two customers accounted for 42% of accounts receivable. At December 31, 2025, four customers accounted for 63% of accounts receivable. </w:t>
      </w:r>
    </w:p>
    <w:p>
      <w:pPr>
        <w:pStyle w:val="TextBody"/>
        <w:bidi w:val="0"/>
        <w:spacing w:lineRule="auto" w:line="288" w:before="0" w:after="200"/>
        <w:jc w:val="both"/>
        <w:rPr/>
      </w:pPr>
      <w:r>
        <w:rPr>
          <w:rFonts w:ascii="Times New Roman;serif" w:hAnsi="Times New Roman;serif"/>
          <w:b w:val="false"/>
          <w:color w:val="000000"/>
          <w:sz w:val="20"/>
        </w:rPr>
        <w:t>During the three and six months ended June 30, 2026</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and three months ended June 30, 2025 no individual vendor accounted for more than 10% of the Company's total volume of total purchases. During the six months ended June 30, 2025, there was one supplier that accounted for approximately 13% of the Company’s total purchases. </w:t>
      </w:r>
    </w:p>
    <w:p>
      <w:pPr>
        <w:pStyle w:val="TextBody"/>
        <w:bidi w:val="0"/>
        <w:spacing w:lineRule="auto" w:line="288" w:before="0" w:after="200"/>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7. Reportable Segments and Geographic Information</w:t>
      </w:r>
      <w:r>
        <w:rPr>
          <w:color w:val="000000"/>
        </w:rPr>
        <w:t xml:space="preserve"> </w:t>
      </w:r>
      <w:r>
        <w:rPr>
          <w:rFonts w:ascii="Times New Roman;serif" w:hAnsi="Times New Roman;serif"/>
          <w:b w:val="false"/>
          <w:color w:val="000000"/>
          <w:sz w:val="20"/>
        </w:rPr>
        <w:t>for details on revenue concentration.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2. INVESTMENTS IN OTHER ENTITIES AND VARIABLE INTEREST ENTITIES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VIEs consist of landfill or dairy manure RNG facilities that are either under construction or in operation. OPAL’s share of design capacity for these facilities ranges from approximately 43,750 MMBtu to 1,327,140 MMBtu per year. These entities are financed through the Opal Term Loan, the Sunoma Loan, or the Paragon Loan. The Paragon Loan was obtained directly by the joint venture and is not consolidated.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VIEs for which the Company is not the primary beneficiary are accounted for under the equity method. As of June 30, 2026, Sunoma, Central Valley and CMS were consolidated VIEs.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sheets summarize the major consolidated balance sheet items for consolidated VIEs as of June 30, 2026 and December 31, 2025. The information is presented on an aggregate basis based on similar risk and reward characteristics and the nature of our involvement with the VIEs. All VIEs are RNG facilities reported under the RNG Fuel Supply segment, and the Company’s interests are primarily equity-based.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ownership interests and carrying values of Investment in Other Entities:</w:t>
      </w:r>
    </w:p>
    <w:tbl>
      <w:tblPr>
        <w:tblW w:w="10205" w:type="dxa"/>
        <w:jc w:val="center"/>
        <w:tblInd w:w="0" w:type="dxa"/>
        <w:tblLayout w:type="fixed"/>
        <w:tblCellMar>
          <w:top w:w="28" w:type="dxa"/>
          <w:left w:w="28" w:type="dxa"/>
          <w:bottom w:w="28" w:type="dxa"/>
          <w:right w:w="28" w:type="dxa"/>
        </w:tblCellMar>
      </w:tblPr>
      <w:tblGrid>
        <w:gridCol w:w="742"/>
        <w:gridCol w:w="652"/>
        <w:gridCol w:w="656"/>
        <w:gridCol w:w="211"/>
        <w:gridCol w:w="721"/>
        <w:gridCol w:w="271"/>
        <w:gridCol w:w="211"/>
        <w:gridCol w:w="721"/>
        <w:gridCol w:w="271"/>
        <w:gridCol w:w="211"/>
        <w:gridCol w:w="466"/>
        <w:gridCol w:w="271"/>
        <w:gridCol w:w="211"/>
        <w:gridCol w:w="721"/>
        <w:gridCol w:w="271"/>
        <w:gridCol w:w="211"/>
        <w:gridCol w:w="826"/>
        <w:gridCol w:w="271"/>
        <w:gridCol w:w="211"/>
        <w:gridCol w:w="616"/>
        <w:gridCol w:w="271"/>
        <w:gridCol w:w="211"/>
        <w:gridCol w:w="826"/>
        <w:gridCol w:w="155"/>
      </w:tblGrid>
      <w:tr>
        <w:trPr/>
        <w:tc>
          <w:tcPr>
            <w:tcW w:w="74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Pine Bend</w:t>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Noble Road</w:t>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GREP</w:t>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Land2Gas</w:t>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Paragon</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ownership</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153,456 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231,223 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20"/>
        </w:rPr>
        <w:t>As of June 30, 2026 and December 31, 2025, the carrying value of the Company’s equity method investments exceeded its proportionate share of the underlying net assets of its investees by $118,746 and $122,165, respectively. This basis difference primarily relates to the gain recognized upon the deconsolidation of certain RNG project entities, which increased the Company’s investment basis. The Company determined that this basis difference is attributable to construction in progress and will be amortized over the related assets’ estimated useful life of 20 years beginning when the assets are placed in service. The amortization of this basis difference, which reduces equity in earnings, was $1,719 and $1,719, reflected in income from equity method investments in the condensed consolidated statements of operations for the three months ended</w:t>
      </w:r>
      <w:r>
        <w:rPr>
          <w:color w:val="000000"/>
        </w:rPr>
        <w:t xml:space="preserve"> </w:t>
      </w:r>
      <w:r>
        <w:rPr>
          <w:rFonts w:ascii="Times New Roman;serif" w:hAnsi="Times New Roman;serif"/>
          <w:b w:val="false"/>
          <w:color w:val="000000"/>
          <w:sz w:val="20"/>
        </w:rPr>
        <w:t>June 30, 2026 and 2025, respectively. The amortization of this basis difference was $3,419 and $3,419 for the six months ended</w:t>
      </w:r>
      <w:r>
        <w:rPr>
          <w:color w:val="000000"/>
        </w:rPr>
        <w:t xml:space="preserve"> </w:t>
      </w:r>
      <w:r>
        <w:rPr>
          <w:rFonts w:ascii="Times New Roman;serif" w:hAnsi="Times New Roman;serif"/>
          <w:b w:val="false"/>
          <w:color w:val="000000"/>
          <w:sz w:val="20"/>
        </w:rPr>
        <w:t>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73685"/>
                <wp:effectExtent l="0" t="0" r="0" b="0"/>
                <wp:wrapNone/>
                <wp:docPr id="16" name="Frame1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(loss) income from equity method investments:</w:t>
      </w:r>
    </w:p>
    <w:tbl>
      <w:tblPr>
        <w:tblW w:w="5948" w:type="dxa"/>
        <w:jc w:val="center"/>
        <w:tblInd w:w="0" w:type="dxa"/>
        <w:tblLayout w:type="fixed"/>
        <w:tblCellMar>
          <w:top w:w="28" w:type="dxa"/>
          <w:left w:w="28" w:type="dxa"/>
          <w:bottom w:w="28" w:type="dxa"/>
          <w:right w:w="28" w:type="dxa"/>
        </w:tblCellMar>
      </w:tblPr>
      <w:tblGrid>
        <w:gridCol w:w="629"/>
        <w:gridCol w:w="554"/>
        <w:gridCol w:w="556"/>
        <w:gridCol w:w="211"/>
        <w:gridCol w:w="721"/>
        <w:gridCol w:w="109"/>
        <w:gridCol w:w="211"/>
        <w:gridCol w:w="721"/>
        <w:gridCol w:w="109"/>
        <w:gridCol w:w="211"/>
        <w:gridCol w:w="721"/>
        <w:gridCol w:w="109"/>
        <w:gridCol w:w="211"/>
        <w:gridCol w:w="721"/>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212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61,910 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54,274 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(loss) income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Represents the Company's portion of the net (loss) income from equity method investments including amortization of any basis differences.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 summary of financial information for our portion of the assets and liabilities in equity method investees in the aggregate is as follows:</w:t>
      </w:r>
    </w:p>
    <w:tbl>
      <w:tblPr>
        <w:tblW w:w="4309" w:type="dxa"/>
        <w:jc w:val="center"/>
        <w:tblInd w:w="0" w:type="dxa"/>
        <w:tblLayout w:type="fixed"/>
        <w:tblCellMar>
          <w:top w:w="28" w:type="dxa"/>
          <w:left w:w="28" w:type="dxa"/>
          <w:bottom w:w="28" w:type="dxa"/>
          <w:right w:w="28" w:type="dxa"/>
        </w:tblCellMar>
      </w:tblPr>
      <w:tblGrid>
        <w:gridCol w:w="672"/>
        <w:gridCol w:w="591"/>
        <w:gridCol w:w="596"/>
        <w:gridCol w:w="211"/>
        <w:gridCol w:w="826"/>
        <w:gridCol w:w="109"/>
        <w:gridCol w:w="231"/>
        <w:gridCol w:w="905"/>
        <w:gridCol w:w="168"/>
      </w:tblGrid>
      <w:tr>
        <w:trPr/>
        <w:tc>
          <w:tcPr>
            <w:tcW w:w="6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27,566 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305,900 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344,479 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333,466 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35,874 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81,288 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118,804 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117,162 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maximum exposure to loss is limited to its equity investment in the unconsolidated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3. LOANS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borrowings under the various loan facilities as of June 30, 2026 and December 31, 2025:</w:t>
      </w:r>
    </w:p>
    <w:tbl>
      <w:tblPr>
        <w:tblW w:w="7809" w:type="dxa"/>
        <w:jc w:val="center"/>
        <w:tblInd w:w="0" w:type="dxa"/>
        <w:tblLayout w:type="fixed"/>
        <w:tblCellMar>
          <w:top w:w="28" w:type="dxa"/>
          <w:left w:w="28" w:type="dxa"/>
          <w:bottom w:w="28" w:type="dxa"/>
          <w:right w:w="28" w:type="dxa"/>
        </w:tblCellMar>
      </w:tblPr>
      <w:tblGrid>
        <w:gridCol w:w="1206"/>
        <w:gridCol w:w="1059"/>
        <w:gridCol w:w="1065"/>
        <w:gridCol w:w="426"/>
        <w:gridCol w:w="426"/>
        <w:gridCol w:w="1068"/>
        <w:gridCol w:w="211"/>
        <w:gridCol w:w="826"/>
        <w:gridCol w:w="109"/>
        <w:gridCol w:w="109"/>
        <w:gridCol w:w="231"/>
        <w:gridCol w:w="905"/>
        <w:gridCol w:w="168"/>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Effective interest rate</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OPAL Term Loan</w:t>
            </w:r>
          </w:p>
        </w:tc>
        <w:tc>
          <w:tcPr>
            <w:tcW w:w="8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321,618 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w:t>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Sunoma Loan</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19,090 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Loan</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(9,142)</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loans</w:t>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(15,062)</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loan</w:t>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412,809 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337,063 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4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principal maturities of debt are expected as follows, excluding any undrawn debt facilities: </w:t>
      </w:r>
    </w:p>
    <w:tbl>
      <w:tblPr>
        <w:tblW w:w="4460" w:type="dxa"/>
        <w:jc w:val="center"/>
        <w:tblInd w:w="0" w:type="dxa"/>
        <w:tblLayout w:type="fixed"/>
        <w:tblCellMar>
          <w:top w:w="28" w:type="dxa"/>
          <w:left w:w="28" w:type="dxa"/>
          <w:bottom w:w="28" w:type="dxa"/>
          <w:right w:w="28" w:type="dxa"/>
        </w:tblCellMar>
      </w:tblPr>
      <w:tblGrid>
        <w:gridCol w:w="1181"/>
        <w:gridCol w:w="1041"/>
        <w:gridCol w:w="1047"/>
        <w:gridCol w:w="211"/>
        <w:gridCol w:w="826"/>
        <w:gridCol w:w="154"/>
      </w:tblGrid>
      <w:tr>
        <w:trPr/>
        <w:tc>
          <w:tcPr>
            <w:tcW w:w="118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Fiscal year:</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ending December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440,106 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OPAL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73685"/>
                <wp:effectExtent l="0" t="0" r="0" b="0"/>
                <wp:wrapNone/>
                <wp:docPr id="17" name="Frame1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drew $128,382 under its term loan facility pursuant to its existing credit agreement. A portion of the proceeds from the borrowing was used to repay $20,000 outstanding under the revolving loan facility. As of June 30, 2026, the Company had utilized $30,747 of availability under the revolver loan to provide for the issuance of letters of credit to support the operations of OPAL Fuels Intermediate HoldCo LLC (the “Borrower”) and certain subsidiaries of the Borrower (the “Guarantors”).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Beginning in the first quarter of 2026, the Company commenced principal payments under its credit agreement and became subject to a quarterly cash sweep pursuant to which, within two business days after the required delivery of quarterly financial statements, a percentage of distributable cash is required to be applied to repay outstanding borrowings, with the applicable percentage determined based on the Company’s consolidated debt to cash flow ratio. If the required financial statements are not delivered within the specified timeframe, 100% of distributable cash is required to be applied to the cash sweep.</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May 30, 2026, OPAL Fuels Inc. exercised its right pursuant to that certain Credit and Guarantee Agreement dated as of September 1, 2023 among the Borrower, direct and indirect subsidiaries of the Borrower as guarantors, the lenders party thereto as lenders, and Bank of America, N.A., as administrative agent, to contribute approximately $7,965 to Borrower in order for Borrower to maintain compliance with certain financial covenants under its credit facility.</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Sunoma Loan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utilized $927 for the issuance of letters of credit to support the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4. LEASES</w:t>
      </w:r>
    </w:p>
    <w:p>
      <w:pPr>
        <w:pStyle w:val="TextBody"/>
        <w:bidi w:val="0"/>
        <w:spacing w:lineRule="auto" w:line="288" w:before="0" w:after="200"/>
        <w:ind w:left="0" w:right="0" w:hanging="480"/>
        <w:jc w:val="both"/>
        <w:rPr>
          <w:rFonts w:ascii="Times New Roman;serif" w:hAnsi="Times New Roman;serif"/>
          <w:b/>
          <w:i/>
          <w:color w:val="000000"/>
          <w:sz w:val="20"/>
        </w:rPr>
      </w:pPr>
      <w:r>
        <w:rPr>
          <w:rFonts w:ascii="Times New Roman;serif" w:hAnsi="Times New Roman;serif"/>
          <w:b/>
          <w:i/>
          <w:color w:val="000000"/>
          <w:sz w:val="20"/>
        </w:rPr>
        <w:t>Lessor contracts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Sales-Type Leases</w:t>
      </w:r>
    </w:p>
    <w:p>
      <w:pPr>
        <w:pStyle w:val="TextBody"/>
        <w:bidi w:val="0"/>
        <w:spacing w:lineRule="auto" w:line="288" w:before="0" w:after="200"/>
        <w:jc w:val="both"/>
        <w:rPr/>
      </w:pPr>
      <w:r>
        <w:rPr>
          <w:rFonts w:ascii="Times New Roman;serif" w:hAnsi="Times New Roman;serif"/>
          <w:b w:val="false"/>
          <w:color w:val="000000"/>
          <w:sz w:val="20"/>
        </w:rPr>
        <w:t>During the six months ended</w:t>
      </w:r>
      <w:r>
        <w:rPr>
          <w:color w:val="000000"/>
        </w:rPr>
        <w:t xml:space="preserve"> </w:t>
      </w:r>
      <w:r>
        <w:rPr>
          <w:rFonts w:ascii="Times New Roman;serif" w:hAnsi="Times New Roman;serif"/>
          <w:b w:val="false"/>
          <w:color w:val="000000"/>
          <w:sz w:val="20"/>
        </w:rPr>
        <w:t>June 30, 2026, the Company entered into a new sales-type lease. Upon commencement, the carrying value of the underlying assets was removed from the balance sheet and a net investment in lease was recognized, measured at the present value of future lease payments discounted at the rate implicit in the lease. During the first quarter of 2026, $2,246 was recognized within fuel station services revenues and $1,838 was recorded in cost of sales - fuel station services.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June 30, 2026, a maturity analysis of lease receivables reflecting undiscounted cash flows to be received on an annual basis are as follows:</w:t>
      </w:r>
    </w:p>
    <w:tbl>
      <w:tblPr>
        <w:tblW w:w="4355" w:type="dxa"/>
        <w:jc w:val="center"/>
        <w:tblInd w:w="0" w:type="dxa"/>
        <w:tblLayout w:type="fixed"/>
        <w:tblCellMar>
          <w:top w:w="28" w:type="dxa"/>
          <w:left w:w="28" w:type="dxa"/>
          <w:bottom w:w="28" w:type="dxa"/>
          <w:right w:w="28" w:type="dxa"/>
        </w:tblCellMar>
      </w:tblPr>
      <w:tblGrid>
        <w:gridCol w:w="1181"/>
        <w:gridCol w:w="1041"/>
        <w:gridCol w:w="1047"/>
        <w:gridCol w:w="211"/>
        <w:gridCol w:w="721"/>
        <w:gridCol w:w="154"/>
      </w:tblGrid>
      <w:tr>
        <w:trPr/>
        <w:tc>
          <w:tcPr>
            <w:tcW w:w="118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ending December 31,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cash flows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Discount based on implicit rate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Unguaranteed residual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 sales-type lease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5. DERIVATIVE FINANCIAL INSTRUMENTS AND FAIR VALUE MEASUREMENTS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50"/>
        <w:jc w:val="both"/>
        <w:rPr>
          <w:rFonts w:ascii="Times New Roman;serif" w:hAnsi="Times New Roman;serif"/>
          <w:b/>
          <w:color w:val="000000"/>
          <w:sz w:val="20"/>
        </w:rPr>
      </w:pPr>
      <w:r>
        <w:rPr>
          <w:rFonts w:ascii="Times New Roman;serif" w:hAnsi="Times New Roman;serif"/>
          <w:b/>
          <w:color w:val="000000"/>
          <w:sz w:val="20"/>
        </w:rPr>
        <w:t>Interest Rate Swap Contracts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expects to release $1,116 from the other comprehensive income in the next twelve months.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location and amounts of interest rate swaps and their fair values in the condensed consolidated balance sheets 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73685"/>
                <wp:effectExtent l="0" t="0" r="0" b="0"/>
                <wp:wrapNone/>
                <wp:docPr id="18" name="Frame1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200"/>
        <w:jc w:val="center"/>
        <w:rPr/>
      </w:pPr>
      <w:r>
        <w:rPr/>
      </w:r>
    </w:p>
    <w:tbl>
      <w:tblPr>
        <w:tblW w:w="10205" w:type="dxa"/>
        <w:jc w:val="center"/>
        <w:tblInd w:w="0" w:type="dxa"/>
        <w:tblLayout w:type="fixed"/>
        <w:tblCellMar>
          <w:top w:w="28" w:type="dxa"/>
          <w:left w:w="28" w:type="dxa"/>
          <w:bottom w:w="28" w:type="dxa"/>
          <w:right w:w="28" w:type="dxa"/>
        </w:tblCellMar>
      </w:tblPr>
      <w:tblGrid>
        <w:gridCol w:w="1319"/>
        <w:gridCol w:w="1160"/>
        <w:gridCol w:w="1163"/>
        <w:gridCol w:w="211"/>
        <w:gridCol w:w="616"/>
        <w:gridCol w:w="109"/>
        <w:gridCol w:w="327"/>
        <w:gridCol w:w="748"/>
        <w:gridCol w:w="169"/>
        <w:gridCol w:w="1282"/>
        <w:gridCol w:w="1281"/>
        <w:gridCol w:w="1820"/>
      </w:tblGrid>
      <w:tr>
        <w:trPr/>
        <w:tc>
          <w:tcPr>
            <w:tcW w:w="131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3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438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Location of Fair Value Recognized in Balance Sheet</w:t>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Derivatives designated as cash flow hedges: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 term portion of the 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Prepaid expense and other current assets</w:t>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portion of the interest rate swaps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portion of the interest rate swaps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r>
      <w:tr>
        <w:trPr/>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6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Commodity Swap Contracts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 of commodity swaps on the condensed consolidated statements of operations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1369"/>
        <w:gridCol w:w="1205"/>
        <w:gridCol w:w="1208"/>
        <w:gridCol w:w="944"/>
        <w:gridCol w:w="899"/>
        <w:gridCol w:w="902"/>
        <w:gridCol w:w="225"/>
        <w:gridCol w:w="499"/>
        <w:gridCol w:w="116"/>
        <w:gridCol w:w="225"/>
        <w:gridCol w:w="660"/>
        <w:gridCol w:w="116"/>
        <w:gridCol w:w="211"/>
        <w:gridCol w:w="529"/>
        <w:gridCol w:w="109"/>
        <w:gridCol w:w="211"/>
        <w:gridCol w:w="616"/>
        <w:gridCol w:w="161"/>
      </w:tblGrid>
      <w:tr>
        <w:trPr/>
        <w:tc>
          <w:tcPr>
            <w:tcW w:w="136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8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 of Gain (Loss) Recognized</w:t>
            </w:r>
          </w:p>
        </w:tc>
        <w:tc>
          <w:tcPr>
            <w:tcW w:w="184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83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782" w:type="dxa"/>
            <w:gridSpan w:val="3"/>
            <w:vMerge w:val="continue"/>
            <w:tcBorders/>
            <w:tcMar>
              <w:top w:w="0" w:type="dxa"/>
              <w:left w:w="0" w:type="dxa"/>
              <w:bottom w:w="0" w:type="dxa"/>
              <w:right w:w="0" w:type="dxa"/>
            </w:tcMar>
            <w:vAlign w:val="center"/>
          </w:tcPr>
          <w:p>
            <w:pPr>
              <w:pStyle w:val="Normal"/>
              <w:bidi w:val="0"/>
              <w:jc w:val="left"/>
              <w:rPr/>
            </w:pPr>
            <w:r>
              <w:rPr/>
            </w:r>
          </w:p>
        </w:tc>
        <w:tc>
          <w:tcPr>
            <w:tcW w:w="2745" w:type="dxa"/>
            <w:gridSpan w:val="3"/>
            <w:vMerge w:val="continue"/>
            <w:tcBorders/>
            <w:tcMar>
              <w:top w:w="0" w:type="dxa"/>
              <w:left w:w="0" w:type="dxa"/>
              <w:bottom w:w="0" w:type="dxa"/>
              <w:right w:w="0" w:type="dxa"/>
            </w:tcMar>
            <w:vAlign w:val="center"/>
          </w:tcPr>
          <w:p>
            <w:pPr>
              <w:pStyle w:val="Normal"/>
              <w:bidi w:val="0"/>
              <w:jc w:val="left"/>
              <w:rPr/>
            </w:pPr>
            <w:r>
              <w:rPr/>
            </w:r>
          </w:p>
        </w:tc>
        <w:tc>
          <w:tcPr>
            <w:tcW w:w="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swaps - realized</w:t>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 Renewable Power</w:t>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swaps - unrealized</w:t>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 Renewable Power</w:t>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swaps - realized</w:t>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 RNG Fuel</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swaps - unrealized</w:t>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 RNG Fuel</w:t>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realized and unrealized gain</w:t>
            </w:r>
          </w:p>
        </w:tc>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derivative assets and liabilities related to commodity swaps as of June 30, 2026 and December 31, 2025:</w:t>
      </w:r>
    </w:p>
    <w:tbl>
      <w:tblPr>
        <w:tblW w:w="10205" w:type="dxa"/>
        <w:jc w:val="center"/>
        <w:tblInd w:w="0" w:type="dxa"/>
        <w:tblLayout w:type="fixed"/>
        <w:tblCellMar>
          <w:top w:w="28" w:type="dxa"/>
          <w:left w:w="28" w:type="dxa"/>
          <w:bottom w:w="28" w:type="dxa"/>
          <w:right w:w="28" w:type="dxa"/>
        </w:tblCellMar>
      </w:tblPr>
      <w:tblGrid>
        <w:gridCol w:w="1571"/>
        <w:gridCol w:w="1383"/>
        <w:gridCol w:w="1388"/>
        <w:gridCol w:w="211"/>
        <w:gridCol w:w="616"/>
        <w:gridCol w:w="109"/>
        <w:gridCol w:w="248"/>
        <w:gridCol w:w="724"/>
        <w:gridCol w:w="127"/>
        <w:gridCol w:w="1118"/>
        <w:gridCol w:w="1118"/>
        <w:gridCol w:w="1592"/>
      </w:tblGrid>
      <w:tr>
        <w:trPr/>
        <w:tc>
          <w:tcPr>
            <w:tcW w:w="157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 of Fair value recognized in Balance Sheet</w:t>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unrealized gain on commodity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 and other current assets</w:t>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unrealized loss on commodity swaps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 - current portion of unrealized gain on commodity swaps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r>
      <w:tr>
        <w:trPr/>
        <w:tc>
          <w:tcPr>
            <w:tcW w:w="434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828" w:type="dxa"/>
            <w:gridSpan w:val="3"/>
            <w:tcBorders/>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commodity swaps - unrealized gain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 were no amounts offset in the condensed consolidated balance sheets as of the period-end dates. In addition, there were no collateral balances with counterparties outstanding as of the period-end dates.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issued the Warrants with an initial estimated fair value of $2,760. Changes in fair value of $(555) and $155 were recognized in other (expense) income, net, for the three and six months ended June 30, 2026, respectively, resulting in an estimated fair value of $2,915 as of June 30, 2026. The key inputs into the Black-Scholes option pricing model for the Warrants were as follows for the relevant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3685"/>
                <wp:effectExtent l="0" t="0" r="0" b="0"/>
                <wp:wrapNone/>
                <wp:docPr id="19" name="Frame1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200"/>
        <w:jc w:val="center"/>
        <w:rPr/>
      </w:pPr>
      <w:r>
        <w:rPr/>
      </w:r>
    </w:p>
    <w:tbl>
      <w:tblPr>
        <w:tblW w:w="5459" w:type="dxa"/>
        <w:jc w:val="center"/>
        <w:tblInd w:w="0" w:type="dxa"/>
        <w:tblLayout w:type="fixed"/>
        <w:tblCellMar>
          <w:top w:w="28" w:type="dxa"/>
          <w:left w:w="28" w:type="dxa"/>
          <w:bottom w:w="28" w:type="dxa"/>
          <w:right w:w="28" w:type="dxa"/>
        </w:tblCellMar>
      </w:tblPr>
      <w:tblGrid>
        <w:gridCol w:w="679"/>
        <w:gridCol w:w="596"/>
        <w:gridCol w:w="600"/>
        <w:gridCol w:w="621"/>
        <w:gridCol w:w="321"/>
        <w:gridCol w:w="798"/>
        <w:gridCol w:w="611"/>
        <w:gridCol w:w="314"/>
        <w:gridCol w:w="919"/>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18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6, 2026</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7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9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6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6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bl>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Recurring Fair Value Measurements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of assets between Level 1, Level 2, or Level 3 of the fair value hierarchy as of June 30, 2026 and December 31, 2025.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assets and liabilities that are measured at fair value on a recurring basis include the following as of June 30, 2026 and December 31, 2025, set forth by level, within the fair value hierarchy:</w:t>
      </w:r>
    </w:p>
    <w:tbl>
      <w:tblPr>
        <w:tblW w:w="6121" w:type="dxa"/>
        <w:jc w:val="center"/>
        <w:tblInd w:w="0" w:type="dxa"/>
        <w:tblLayout w:type="fixed"/>
        <w:tblCellMar>
          <w:top w:w="28" w:type="dxa"/>
          <w:left w:w="28" w:type="dxa"/>
          <w:bottom w:w="28" w:type="dxa"/>
          <w:right w:w="28" w:type="dxa"/>
        </w:tblCellMar>
      </w:tblPr>
      <w:tblGrid>
        <w:gridCol w:w="840"/>
        <w:gridCol w:w="737"/>
        <w:gridCol w:w="747"/>
        <w:gridCol w:w="211"/>
        <w:gridCol w:w="721"/>
        <w:gridCol w:w="109"/>
        <w:gridCol w:w="213"/>
        <w:gridCol w:w="411"/>
        <w:gridCol w:w="110"/>
        <w:gridCol w:w="211"/>
        <w:gridCol w:w="616"/>
        <w:gridCol w:w="109"/>
        <w:gridCol w:w="211"/>
        <w:gridCol w:w="721"/>
        <w:gridCol w:w="154"/>
      </w:tblGrid>
      <w:tr>
        <w:trPr/>
        <w:tc>
          <w:tcPr>
            <w:tcW w:w="84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12"/>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values as of June 30, 2026</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74,542 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swap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6121" w:type="dxa"/>
        <w:jc w:val="center"/>
        <w:tblInd w:w="0" w:type="dxa"/>
        <w:tblLayout w:type="fixed"/>
        <w:tblCellMar>
          <w:top w:w="28" w:type="dxa"/>
          <w:left w:w="28" w:type="dxa"/>
          <w:bottom w:w="28" w:type="dxa"/>
          <w:right w:w="28" w:type="dxa"/>
        </w:tblCellMar>
      </w:tblPr>
      <w:tblGrid>
        <w:gridCol w:w="839"/>
        <w:gridCol w:w="737"/>
        <w:gridCol w:w="748"/>
        <w:gridCol w:w="211"/>
        <w:gridCol w:w="721"/>
        <w:gridCol w:w="109"/>
        <w:gridCol w:w="211"/>
        <w:gridCol w:w="616"/>
        <w:gridCol w:w="109"/>
        <w:gridCol w:w="213"/>
        <w:gridCol w:w="411"/>
        <w:gridCol w:w="110"/>
        <w:gridCol w:w="211"/>
        <w:gridCol w:w="721"/>
        <w:gridCol w:w="154"/>
      </w:tblGrid>
      <w:tr>
        <w:trPr/>
        <w:tc>
          <w:tcPr>
            <w:tcW w:w="83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12"/>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values as of December 31, 2025</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swap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6. RELATED PARTIES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Related parties are represented by Fortistar LLC ("Fortistar") and other affiliates, subsidiaries and entities under common control with Fortistar or NextEra Energy Marketing, LLC (“NextEra”).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revenues recorded from related parties:</w:t>
      </w:r>
    </w:p>
    <w:tbl>
      <w:tblPr>
        <w:tblW w:w="10205" w:type="dxa"/>
        <w:jc w:val="center"/>
        <w:tblInd w:w="0" w:type="dxa"/>
        <w:tblLayout w:type="fixed"/>
        <w:tblCellMar>
          <w:top w:w="28" w:type="dxa"/>
          <w:left w:w="28" w:type="dxa"/>
          <w:bottom w:w="28" w:type="dxa"/>
          <w:right w:w="28" w:type="dxa"/>
        </w:tblCellMar>
      </w:tblPr>
      <w:tblGrid>
        <w:gridCol w:w="797"/>
        <w:gridCol w:w="700"/>
        <w:gridCol w:w="703"/>
        <w:gridCol w:w="247"/>
        <w:gridCol w:w="547"/>
        <w:gridCol w:w="127"/>
        <w:gridCol w:w="352"/>
        <w:gridCol w:w="1031"/>
        <w:gridCol w:w="181"/>
        <w:gridCol w:w="409"/>
        <w:gridCol w:w="789"/>
        <w:gridCol w:w="214"/>
        <w:gridCol w:w="211"/>
        <w:gridCol w:w="721"/>
        <w:gridCol w:w="109"/>
        <w:gridCol w:w="324"/>
        <w:gridCol w:w="1109"/>
        <w:gridCol w:w="167"/>
        <w:gridCol w:w="369"/>
        <w:gridCol w:w="816"/>
        <w:gridCol w:w="282"/>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410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4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4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Environmental Attributes </w:t>
            </w:r>
            <w:r>
              <w:rPr>
                <w:rFonts w:ascii="Times New Roman;serif" w:hAnsi="Times New Roman;serif"/>
                <w:b w:val="false"/>
                <w:color w:val="000000"/>
                <w:sz w:val="13"/>
              </w:rPr>
              <w:t>(1), (5)</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10,856 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Commodity swaps </w:t>
            </w:r>
            <w:r>
              <w:rPr>
                <w:rFonts w:ascii="Times New Roman;serif" w:hAnsi="Times New Roman;serif"/>
                <w:b w:val="false"/>
                <w:color w:val="000000"/>
                <w:sz w:val="13"/>
              </w:rPr>
              <w:t>(2), (5)</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Environmental processing</w:t>
            </w:r>
            <w:r>
              <w:rPr>
                <w:color w:val="000000"/>
              </w:rPr>
              <w:t xml:space="preserve"> </w:t>
            </w:r>
            <w:r>
              <w:rPr>
                <w:rFonts w:ascii="Times New Roman;serif" w:hAnsi="Times New Roman;serif"/>
                <w:b w:val="false"/>
                <w:color w:val="000000"/>
                <w:sz w:val="13"/>
              </w:rPr>
              <w:t>(3)</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Service agreements </w:t>
            </w:r>
            <w:r>
              <w:rPr>
                <w:rFonts w:ascii="Times New Roman;serif" w:hAnsi="Times New Roman;serif"/>
                <w:b w:val="false"/>
                <w:color w:val="000000"/>
                <w:sz w:val="13"/>
              </w:rPr>
              <w:t>(4)</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16,358 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73685"/>
                <wp:effectExtent l="0" t="0" r="0" b="0"/>
                <wp:wrapNone/>
                <wp:docPr id="20" name="Frame2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200"/>
        <w:jc w:val="center"/>
        <w:rPr/>
      </w:pPr>
      <w:r>
        <w:rPr/>
      </w:r>
    </w:p>
    <w:tbl>
      <w:tblPr>
        <w:tblW w:w="10205" w:type="dxa"/>
        <w:jc w:val="center"/>
        <w:tblInd w:w="0" w:type="dxa"/>
        <w:tblLayout w:type="fixed"/>
        <w:tblCellMar>
          <w:top w:w="28" w:type="dxa"/>
          <w:left w:w="28" w:type="dxa"/>
          <w:bottom w:w="28" w:type="dxa"/>
          <w:right w:w="28" w:type="dxa"/>
        </w:tblCellMar>
      </w:tblPr>
      <w:tblGrid>
        <w:gridCol w:w="753"/>
        <w:gridCol w:w="662"/>
        <w:gridCol w:w="665"/>
        <w:gridCol w:w="214"/>
        <w:gridCol w:w="732"/>
        <w:gridCol w:w="110"/>
        <w:gridCol w:w="321"/>
        <w:gridCol w:w="1099"/>
        <w:gridCol w:w="165"/>
        <w:gridCol w:w="315"/>
        <w:gridCol w:w="922"/>
        <w:gridCol w:w="164"/>
        <w:gridCol w:w="211"/>
        <w:gridCol w:w="721"/>
        <w:gridCol w:w="109"/>
        <w:gridCol w:w="321"/>
        <w:gridCol w:w="1099"/>
        <w:gridCol w:w="165"/>
        <w:gridCol w:w="310"/>
        <w:gridCol w:w="909"/>
        <w:gridCol w:w="238"/>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40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5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5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4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Environmental Attributes </w:t>
            </w:r>
            <w:r>
              <w:rPr>
                <w:rFonts w:ascii="Times New Roman;serif" w:hAnsi="Times New Roman;serif"/>
                <w:b w:val="false"/>
                <w:color w:val="000000"/>
                <w:sz w:val="13"/>
              </w:rPr>
              <w:t>(1)</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25,455 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Commodity swaps </w:t>
            </w:r>
            <w:r>
              <w:rPr>
                <w:rFonts w:ascii="Times New Roman;serif" w:hAnsi="Times New Roman;serif"/>
                <w:b w:val="false"/>
                <w:color w:val="000000"/>
                <w:sz w:val="13"/>
              </w:rPr>
              <w:t xml:space="preserve">(2) </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Environmental processing</w:t>
            </w:r>
            <w:r>
              <w:rPr>
                <w:color w:val="000000"/>
              </w:rPr>
              <w:t xml:space="preserve"> </w:t>
            </w:r>
            <w:r>
              <w:rPr>
                <w:rFonts w:ascii="Times New Roman;serif" w:hAnsi="Times New Roman;serif"/>
                <w:b w:val="false"/>
                <w:color w:val="000000"/>
                <w:sz w:val="13"/>
              </w:rPr>
              <w:t>(3)</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Service agreements </w:t>
            </w:r>
            <w:r>
              <w:rPr>
                <w:rFonts w:ascii="Times New Roman;serif" w:hAnsi="Times New Roman;serif"/>
                <w:b w:val="false"/>
                <w:color w:val="000000"/>
                <w:sz w:val="13"/>
              </w:rPr>
              <w:t>(4)</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17,878 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12,826 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29,429 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Represents RIN and LCFS sales to NextEra. Includes revenues of $5,586 recognized under the Green Gas Contract, which were recorded within RNG fuel revenues for the three months ended June 30, 2025. Includes revenues of $5,674 and $10,603 recognized under the Green Gas Contract, which were recorded within RNG fuel revenues for the six months ended June 30, 2026 and 2025, respectively. </w:t>
      </w:r>
    </w:p>
    <w:p>
      <w:pPr>
        <w:pStyle w:val="TextBody"/>
        <w:bidi w:val="0"/>
        <w:spacing w:lineRule="auto" w:line="288" w:before="0" w:after="60"/>
        <w:ind w:left="0" w:right="0" w:hanging="18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Represents revenue earned under ISDA and REC sales agreements with NextEra.</w:t>
      </w:r>
    </w:p>
    <w:p>
      <w:pPr>
        <w:pStyle w:val="TextBody"/>
        <w:bidi w:val="0"/>
        <w:spacing w:lineRule="auto" w:line="288" w:before="0" w:after="60"/>
        <w:ind w:left="0" w:right="0" w:hanging="18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Represents environmental processing fees earned under agreements with equity method investments, related to the generation and marketing of RINs and LCFS.</w:t>
      </w:r>
    </w:p>
    <w:p>
      <w:pPr>
        <w:pStyle w:val="TextBody"/>
        <w:bidi w:val="0"/>
        <w:spacing w:lineRule="auto" w:line="288" w:before="0" w:after="200"/>
        <w:ind w:left="0" w:right="0" w:hanging="180"/>
        <w:jc w:val="both"/>
        <w:rPr/>
      </w:pPr>
      <w:r>
        <w:rPr>
          <w:rFonts w:ascii="Times New Roman;serif" w:hAnsi="Times New Roman;serif"/>
          <w:b w:val="false"/>
          <w:color w:val="000000"/>
          <w:sz w:val="13"/>
        </w:rPr>
        <w:t xml:space="preserve">(4) </w:t>
      </w:r>
      <w:r>
        <w:rPr>
          <w:rFonts w:ascii="Times New Roman;serif" w:hAnsi="Times New Roman;serif"/>
          <w:b w:val="false"/>
          <w:color w:val="000000"/>
          <w:sz w:val="20"/>
        </w:rPr>
        <w:t>Represents management fees earned under an agreement with Fortistar.</w:t>
      </w:r>
    </w:p>
    <w:p>
      <w:pPr>
        <w:pStyle w:val="TextBody"/>
        <w:bidi w:val="0"/>
        <w:spacing w:lineRule="auto" w:line="288" w:before="0" w:after="200"/>
        <w:ind w:left="0" w:right="0" w:hanging="180"/>
        <w:jc w:val="both"/>
        <w:rPr/>
      </w:pPr>
      <w:r>
        <w:rPr>
          <w:rFonts w:ascii="Times New Roman;serif" w:hAnsi="Times New Roman;serif"/>
          <w:b w:val="false"/>
          <w:color w:val="000000"/>
          <w:sz w:val="13"/>
        </w:rPr>
        <w:t xml:space="preserve">(5) </w:t>
      </w:r>
      <w:r>
        <w:rPr>
          <w:rFonts w:ascii="Times New Roman;serif" w:hAnsi="Times New Roman;serif"/>
          <w:b w:val="false"/>
          <w:color w:val="000000"/>
          <w:sz w:val="20"/>
        </w:rPr>
        <w:t>Due to the repayment and redemption of NextEra's redeemable noncontrolling interest in March 2026, revenues and balances related to transactions with NextEra are no longer included in the Company's related-party disclosures beginning in the second quarter of 2026. Year-to-date amounts reported in subsequent quarters of 2026 will continue to include activity recognized during the first quarter of 2026, when NextEra was still considered a related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various fees recorded under the service agreements with related parties which are included in selling, general and administrative within the Company's condensed consolidated statements of operations:</w:t>
      </w:r>
    </w:p>
    <w:tbl>
      <w:tblPr>
        <w:tblW w:w="7931" w:type="dxa"/>
        <w:jc w:val="center"/>
        <w:tblInd w:w="0" w:type="dxa"/>
        <w:tblLayout w:type="fixed"/>
        <w:tblCellMar>
          <w:top w:w="28" w:type="dxa"/>
          <w:left w:w="28" w:type="dxa"/>
          <w:bottom w:w="28" w:type="dxa"/>
          <w:right w:w="28" w:type="dxa"/>
        </w:tblCellMar>
      </w:tblPr>
      <w:tblGrid>
        <w:gridCol w:w="1044"/>
        <w:gridCol w:w="917"/>
        <w:gridCol w:w="919"/>
        <w:gridCol w:w="295"/>
        <w:gridCol w:w="864"/>
        <w:gridCol w:w="152"/>
        <w:gridCol w:w="295"/>
        <w:gridCol w:w="864"/>
        <w:gridCol w:w="152"/>
        <w:gridCol w:w="267"/>
        <w:gridCol w:w="781"/>
        <w:gridCol w:w="138"/>
        <w:gridCol w:w="267"/>
        <w:gridCol w:w="781"/>
        <w:gridCol w:w="195"/>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4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Staffing and management services</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 fixed compensation</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 services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related party fees</w:t>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various balances for related parties included in the Company's condensed consolidated balance sheets as of June 30, 2026 and December 31, 2025:</w:t>
      </w:r>
    </w:p>
    <w:tbl>
      <w:tblPr>
        <w:tblW w:w="10093" w:type="dxa"/>
        <w:jc w:val="center"/>
        <w:tblInd w:w="0" w:type="dxa"/>
        <w:tblLayout w:type="fixed"/>
        <w:tblCellMar>
          <w:top w:w="28" w:type="dxa"/>
          <w:left w:w="28" w:type="dxa"/>
          <w:bottom w:w="28" w:type="dxa"/>
          <w:right w:w="28" w:type="dxa"/>
        </w:tblCellMar>
      </w:tblPr>
      <w:tblGrid>
        <w:gridCol w:w="1397"/>
        <w:gridCol w:w="1234"/>
        <w:gridCol w:w="1239"/>
        <w:gridCol w:w="1058"/>
        <w:gridCol w:w="1058"/>
        <w:gridCol w:w="1063"/>
        <w:gridCol w:w="287"/>
        <w:gridCol w:w="839"/>
        <w:gridCol w:w="148"/>
        <w:gridCol w:w="344"/>
        <w:gridCol w:w="1175"/>
        <w:gridCol w:w="251"/>
      </w:tblGrid>
      <w:tr>
        <w:trPr/>
        <w:tc>
          <w:tcPr>
            <w:tcW w:w="139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 in Balance Sheet</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0"/>
              <w:jc w:val="left"/>
              <w:rPr/>
            </w:pPr>
            <w:r>
              <w:rPr>
                <w:rFonts w:ascii="Times New Roman;serif" w:hAnsi="Times New Roman;serif"/>
                <w:b w:val="false"/>
                <w:color w:val="000000"/>
                <w:sz w:val="20"/>
              </w:rPr>
              <w:t xml:space="preserve">Trade AR - NextEra </w:t>
            </w:r>
            <w:r>
              <w:rPr>
                <w:rFonts w:ascii="Times New Roman;serif" w:hAnsi="Times New Roman;serif"/>
                <w:b w:val="false"/>
                <w:color w:val="000000"/>
                <w:sz w:val="13"/>
              </w:rPr>
              <w:t>(1)</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receivables - related party</w:t>
            </w:r>
          </w:p>
        </w:tc>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13,318 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Payables to equity method investment entities</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0"/>
              <w:jc w:val="left"/>
              <w:rPr/>
            </w:pP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13"/>
              </w:rPr>
              <w:t>(1)</w:t>
            </w:r>
          </w:p>
        </w:tc>
        <w:tc>
          <w:tcPr>
            <w:tcW w:w="3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 related party</w:t>
            </w:r>
          </w:p>
        </w:tc>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8,951 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Due to the repayment and redemption of NextEra's redeemable noncontrolling interest in March 2026, revenues and balances related to transactions with NextEra are no longer included in the Company's related-party disclosures beginning in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7. REPORTABLE SEGMENTS AND GEOGRAPHIC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73685"/>
                <wp:effectExtent l="0" t="0" r="0" b="0"/>
                <wp:wrapNone/>
                <wp:docPr id="21" name="Frame2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is organized into three operating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the Company changed the presentation of information reviewed by the Chief Operating Decision Makers (“CODM”) to allocate certain corporate general and administrative costs, including consulting, insurance, and payroll expenses, to the related reportable segments. Segment information has been retrospectively revised to reflect this change. All the assets and revenue-generating activities, aside from sales</w:t>
        <w:noBreakHyphen/>
        <w:t>type lease in Canada, were domiciled in the United States for the three and six months ended June 30, 2026 and 2025. Transactions between reportable segments are accounted for using market</w:t>
        <w:noBreakHyphen/>
        <w:t>based pricing. Intersegment revenues and expenses are eliminated in consolidation.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amounts reallocated from Corporate to RNG Fuel, Fuel Station Services, and Renewable Power were $2,834, $658, and $1,160, respectively. For the six months ended June 30, 2025, amounts reallocated from Corporate to RNG Fuel, Fuel Station Services, and Renewable Power were $5,126, $994, and $2,122,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financial data used to calculate each reportable segment’s income (loss) and includes reconciliations to the Company's consolidated revenue and consolidated net loss for the three months ended June 30, 2026:</w:t>
      </w:r>
    </w:p>
    <w:tbl>
      <w:tblPr>
        <w:tblW w:w="10205" w:type="dxa"/>
        <w:jc w:val="left"/>
        <w:tblInd w:w="0" w:type="dxa"/>
        <w:tblLayout w:type="fixed"/>
        <w:tblCellMar>
          <w:top w:w="28" w:type="dxa"/>
          <w:left w:w="28" w:type="dxa"/>
          <w:bottom w:w="28" w:type="dxa"/>
          <w:right w:w="28" w:type="dxa"/>
        </w:tblCellMar>
      </w:tblPr>
      <w:tblGrid>
        <w:gridCol w:w="1234"/>
        <w:gridCol w:w="911"/>
        <w:gridCol w:w="917"/>
        <w:gridCol w:w="211"/>
        <w:gridCol w:w="721"/>
        <w:gridCol w:w="109"/>
        <w:gridCol w:w="298"/>
        <w:gridCol w:w="1019"/>
        <w:gridCol w:w="153"/>
        <w:gridCol w:w="297"/>
        <w:gridCol w:w="869"/>
        <w:gridCol w:w="155"/>
        <w:gridCol w:w="249"/>
        <w:gridCol w:w="853"/>
        <w:gridCol w:w="128"/>
        <w:gridCol w:w="288"/>
        <w:gridCol w:w="554"/>
        <w:gridCol w:w="149"/>
        <w:gridCol w:w="211"/>
        <w:gridCol w:w="721"/>
        <w:gridCol w:w="158"/>
      </w:tblGrid>
      <w:tr>
        <w:trPr/>
        <w:tc>
          <w:tcPr>
            <w:tcW w:w="123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1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53,064 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83,399 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62,640 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93,117 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53,064 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83,399 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83,399 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Segment and Corporate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i/>
                <w:color w:val="000000"/>
                <w:sz w:val="20"/>
              </w:rPr>
              <w:t>Less:</w:t>
            </w:r>
            <w:r>
              <w:rPr>
                <w:color w:val="000000"/>
              </w:rPr>
              <w:t xml:space="preserve"> </w:t>
            </w:r>
            <w:r>
              <w:rPr>
                <w:rFonts w:ascii="Times New Roman;serif" w:hAnsi="Times New Roman;serif"/>
                <w:b w:val="false"/>
                <w:i/>
                <w:color w:val="000000"/>
                <w:sz w:val="13"/>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financing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and startup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(loss) income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(9,888)</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(8,885)</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or loss (segment income /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(4,147)</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73685"/>
                <wp:effectExtent l="0" t="0" r="0" b="0"/>
                <wp:wrapNone/>
                <wp:docPr id="22" name="Frame2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financial data used to calculate each reportable segment’s income (loss) and includes reconciliations to Opal’s consolidated revenue and consolidated net loss for the six months ended June 30, 2026:</w:t>
      </w:r>
    </w:p>
    <w:p>
      <w:pPr>
        <w:pStyle w:val="TextBody"/>
        <w:bidi w:val="0"/>
        <w:spacing w:before="0" w:after="200"/>
        <w:jc w:val="left"/>
        <w:rPr/>
      </w:pPr>
      <w:r>
        <w:rPr/>
      </w:r>
    </w:p>
    <w:tbl>
      <w:tblPr>
        <w:tblW w:w="10205" w:type="dxa"/>
        <w:jc w:val="left"/>
        <w:tblInd w:w="0" w:type="dxa"/>
        <w:tblLayout w:type="fixed"/>
        <w:tblCellMar>
          <w:top w:w="28" w:type="dxa"/>
          <w:left w:w="28" w:type="dxa"/>
          <w:bottom w:w="28" w:type="dxa"/>
          <w:right w:w="28" w:type="dxa"/>
        </w:tblCellMar>
      </w:tblPr>
      <w:tblGrid>
        <w:gridCol w:w="1202"/>
        <w:gridCol w:w="871"/>
        <w:gridCol w:w="877"/>
        <w:gridCol w:w="211"/>
        <w:gridCol w:w="721"/>
        <w:gridCol w:w="109"/>
        <w:gridCol w:w="292"/>
        <w:gridCol w:w="1000"/>
        <w:gridCol w:w="151"/>
        <w:gridCol w:w="266"/>
        <w:gridCol w:w="909"/>
        <w:gridCol w:w="137"/>
        <w:gridCol w:w="234"/>
        <w:gridCol w:w="918"/>
        <w:gridCol w:w="121"/>
        <w:gridCol w:w="288"/>
        <w:gridCol w:w="554"/>
        <w:gridCol w:w="149"/>
        <w:gridCol w:w="211"/>
        <w:gridCol w:w="826"/>
        <w:gridCol w:w="158"/>
      </w:tblGrid>
      <w:tr>
        <w:trPr/>
        <w:tc>
          <w:tcPr>
            <w:tcW w:w="120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4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3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12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97,630 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13,685 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156,774 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156,774 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112,237 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13,685 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171,665 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171,665 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(14,891)</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97,630 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13,685 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156,774 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156,774 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Segment and Corporate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i/>
                <w:color w:val="000000"/>
                <w:sz w:val="20"/>
              </w:rPr>
              <w:t>Less:</w:t>
            </w:r>
            <w:r>
              <w:rPr>
                <w:color w:val="000000"/>
              </w:rPr>
              <w:t xml:space="preserve"> </w:t>
            </w:r>
            <w:r>
              <w:rPr>
                <w:rFonts w:ascii="Times New Roman;serif" w:hAnsi="Times New Roman;serif"/>
                <w:b w:val="false"/>
                <w:i/>
                <w:color w:val="000000"/>
                <w:sz w:val="13"/>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financing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and startup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(loss) income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19,473 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(22,951)</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(20,187)</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or loss (segment income /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(9,740)</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73685"/>
                <wp:effectExtent l="0" t="0" r="0" b="0"/>
                <wp:wrapNone/>
                <wp:docPr id="23" name="Frame2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60"/>
        <w:ind w:left="0" w:right="0" w:hanging="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significant expense categories and amounts align with the segment-level information that is regularly provided to the CODM. Intersegment expenses are included within the amounts shown in the line Cost of sales and no intersegment profit was recognized.</w:t>
      </w:r>
    </w:p>
    <w:p>
      <w:pPr>
        <w:pStyle w:val="TextBody"/>
        <w:bidi w:val="0"/>
        <w:spacing w:lineRule="auto" w:line="288" w:before="0" w:after="0"/>
        <w:ind w:left="0" w:right="0" w:hanging="18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Other segment items for each reportable segment include: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RNG - payroll, consulting, insurance and other expenses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Fuel Station Services - gain on RNG dispensing and payroll</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Renewable Power - payroll, consulting, insurance and other expenses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certain other financial data for the reportable segments as of June 30, 2026:</w:t>
      </w:r>
    </w:p>
    <w:tbl>
      <w:tblPr>
        <w:tblW w:w="10205" w:type="dxa"/>
        <w:jc w:val="center"/>
        <w:tblInd w:w="0" w:type="dxa"/>
        <w:tblLayout w:type="fixed"/>
        <w:tblCellMar>
          <w:top w:w="28" w:type="dxa"/>
          <w:left w:w="28" w:type="dxa"/>
          <w:bottom w:w="28" w:type="dxa"/>
          <w:right w:w="28" w:type="dxa"/>
        </w:tblCellMar>
      </w:tblPr>
      <w:tblGrid>
        <w:gridCol w:w="737"/>
        <w:gridCol w:w="649"/>
        <w:gridCol w:w="652"/>
        <w:gridCol w:w="211"/>
        <w:gridCol w:w="826"/>
        <w:gridCol w:w="109"/>
        <w:gridCol w:w="314"/>
        <w:gridCol w:w="1231"/>
        <w:gridCol w:w="162"/>
        <w:gridCol w:w="298"/>
        <w:gridCol w:w="1022"/>
        <w:gridCol w:w="154"/>
        <w:gridCol w:w="247"/>
        <w:gridCol w:w="973"/>
        <w:gridCol w:w="128"/>
        <w:gridCol w:w="211"/>
        <w:gridCol w:w="826"/>
        <w:gridCol w:w="109"/>
        <w:gridCol w:w="211"/>
        <w:gridCol w:w="976"/>
        <w:gridCol w:w="159"/>
      </w:tblGrid>
      <w:tr>
        <w:trPr/>
        <w:tc>
          <w:tcPr>
            <w:tcW w:w="7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7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4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13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13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segment disclosures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other entities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234,298 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719,905 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191,151 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933,164 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made the following cash payments for capital expenditures:</w:t>
      </w:r>
    </w:p>
    <w:tbl>
      <w:tblPr>
        <w:tblW w:w="10205" w:type="dxa"/>
        <w:jc w:val="center"/>
        <w:tblInd w:w="0" w:type="dxa"/>
        <w:tblLayout w:type="fixed"/>
        <w:tblCellMar>
          <w:top w:w="28" w:type="dxa"/>
          <w:left w:w="28" w:type="dxa"/>
          <w:bottom w:w="28" w:type="dxa"/>
          <w:right w:w="28" w:type="dxa"/>
        </w:tblCellMar>
      </w:tblPr>
      <w:tblGrid>
        <w:gridCol w:w="948"/>
        <w:gridCol w:w="832"/>
        <w:gridCol w:w="837"/>
        <w:gridCol w:w="109"/>
        <w:gridCol w:w="109"/>
        <w:gridCol w:w="109"/>
        <w:gridCol w:w="109"/>
        <w:gridCol w:w="109"/>
        <w:gridCol w:w="109"/>
        <w:gridCol w:w="211"/>
        <w:gridCol w:w="721"/>
        <w:gridCol w:w="109"/>
        <w:gridCol w:w="302"/>
        <w:gridCol w:w="883"/>
        <w:gridCol w:w="156"/>
        <w:gridCol w:w="369"/>
        <w:gridCol w:w="710"/>
        <w:gridCol w:w="193"/>
        <w:gridCol w:w="242"/>
        <w:gridCol w:w="831"/>
        <w:gridCol w:w="125"/>
        <w:gridCol w:w="288"/>
        <w:gridCol w:w="554"/>
        <w:gridCol w:w="149"/>
        <w:gridCol w:w="211"/>
        <w:gridCol w:w="721"/>
        <w:gridCol w:w="159"/>
      </w:tblGrid>
      <w:tr>
        <w:trPr/>
        <w:tc>
          <w:tcPr>
            <w:tcW w:w="94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2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10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52,680 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financial data used to calculate each reportable segment’s income (loss) and includes reconciliations to the Company's consolidated revenue and consolidated net income for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73685"/>
                <wp:effectExtent l="0" t="0" r="0" b="0"/>
                <wp:wrapNone/>
                <wp:docPr id="24" name="Frame2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200"/>
        <w:jc w:val="center"/>
        <w:rPr/>
      </w:pPr>
      <w:r>
        <w:rPr/>
      </w:r>
    </w:p>
    <w:tbl>
      <w:tblPr>
        <w:tblW w:w="10205" w:type="dxa"/>
        <w:jc w:val="left"/>
        <w:tblInd w:w="0" w:type="dxa"/>
        <w:tblLayout w:type="fixed"/>
        <w:tblCellMar>
          <w:top w:w="28" w:type="dxa"/>
          <w:left w:w="28" w:type="dxa"/>
          <w:bottom w:w="28" w:type="dxa"/>
          <w:right w:w="28" w:type="dxa"/>
        </w:tblCellMar>
      </w:tblPr>
      <w:tblGrid>
        <w:gridCol w:w="1233"/>
        <w:gridCol w:w="911"/>
        <w:gridCol w:w="917"/>
        <w:gridCol w:w="211"/>
        <w:gridCol w:w="721"/>
        <w:gridCol w:w="109"/>
        <w:gridCol w:w="298"/>
        <w:gridCol w:w="1019"/>
        <w:gridCol w:w="153"/>
        <w:gridCol w:w="297"/>
        <w:gridCol w:w="869"/>
        <w:gridCol w:w="155"/>
        <w:gridCol w:w="249"/>
        <w:gridCol w:w="853"/>
        <w:gridCol w:w="128"/>
        <w:gridCol w:w="288"/>
        <w:gridCol w:w="554"/>
        <w:gridCol w:w="149"/>
        <w:gridCol w:w="211"/>
        <w:gridCol w:w="721"/>
        <w:gridCol w:w="159"/>
      </w:tblGrid>
      <w:tr>
        <w:trPr/>
        <w:tc>
          <w:tcPr>
            <w:tcW w:w="1233"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10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47,026 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51,918 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85,486 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85,486 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47,026 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80,456 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80,456 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Segment and Corporate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i/>
                <w:color w:val="000000"/>
                <w:sz w:val="20"/>
              </w:rPr>
              <w:t>Less:</w:t>
            </w:r>
            <w:r>
              <w:rPr>
                <w:color w:val="000000"/>
              </w:rPr>
              <w:t xml:space="preserve"> </w:t>
            </w:r>
            <w:r>
              <w:rPr>
                <w:rFonts w:ascii="Times New Roman;serif" w:hAnsi="Times New Roman;serif"/>
                <w:b w:val="false"/>
                <w:i/>
                <w:color w:val="000000"/>
                <w:sz w:val="13"/>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financing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and startup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(loss)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7,296 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or loss (segment income /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13,686 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7,559 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73685"/>
                <wp:effectExtent l="0" t="0" r="0" b="0"/>
                <wp:wrapNone/>
                <wp:docPr id="25" name="Frame2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financial data used to calculate each reportable segment’s income (loss) and includes reconciliations to Opal’s consolidated revenue and consolidated net income for the six months ended June 30, 2025:</w:t>
      </w:r>
    </w:p>
    <w:p>
      <w:pPr>
        <w:pStyle w:val="TextBody"/>
        <w:bidi w:val="0"/>
        <w:spacing w:before="0" w:after="200"/>
        <w:jc w:val="left"/>
        <w:rPr/>
      </w:pPr>
      <w:r>
        <w:rPr/>
      </w:r>
    </w:p>
    <w:tbl>
      <w:tblPr>
        <w:tblW w:w="10205" w:type="dxa"/>
        <w:jc w:val="left"/>
        <w:tblInd w:w="0" w:type="dxa"/>
        <w:tblLayout w:type="fixed"/>
        <w:tblCellMar>
          <w:top w:w="28" w:type="dxa"/>
          <w:left w:w="28" w:type="dxa"/>
          <w:bottom w:w="28" w:type="dxa"/>
          <w:right w:w="28" w:type="dxa"/>
        </w:tblCellMar>
      </w:tblPr>
      <w:tblGrid>
        <w:gridCol w:w="1201"/>
        <w:gridCol w:w="871"/>
        <w:gridCol w:w="877"/>
        <w:gridCol w:w="211"/>
        <w:gridCol w:w="721"/>
        <w:gridCol w:w="109"/>
        <w:gridCol w:w="292"/>
        <w:gridCol w:w="1000"/>
        <w:gridCol w:w="151"/>
        <w:gridCol w:w="266"/>
        <w:gridCol w:w="909"/>
        <w:gridCol w:w="137"/>
        <w:gridCol w:w="234"/>
        <w:gridCol w:w="918"/>
        <w:gridCol w:w="121"/>
        <w:gridCol w:w="288"/>
        <w:gridCol w:w="554"/>
        <w:gridCol w:w="149"/>
        <w:gridCol w:w="211"/>
        <w:gridCol w:w="826"/>
        <w:gridCol w:w="159"/>
      </w:tblGrid>
      <w:tr>
        <w:trPr/>
        <w:tc>
          <w:tcPr>
            <w:tcW w:w="120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4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3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12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Segments</w:t>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11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97,704 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15,430 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165,863 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165,863 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106,989 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15,430 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175,424 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175,424 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(9,561)</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97,704 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15,430 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165,863 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165,863 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Segment and Corporate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i/>
                <w:color w:val="000000"/>
                <w:sz w:val="20"/>
              </w:rPr>
              <w:t>Less:</w:t>
            </w:r>
            <w:r>
              <w:rPr>
                <w:color w:val="000000"/>
              </w:rPr>
              <w:t xml:space="preserve"> </w:t>
            </w:r>
            <w:r>
              <w:rPr>
                <w:rFonts w:ascii="Times New Roman;serif" w:hAnsi="Times New Roman;serif"/>
                <w:b w:val="false"/>
                <w:i/>
                <w:color w:val="000000"/>
                <w:sz w:val="13"/>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115,681 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financing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and startup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(loss)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16,007 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(24,273)</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(12,880)</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or loss (segment income /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8,843 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73685"/>
                <wp:effectExtent l="0" t="0" r="0" b="0"/>
                <wp:wrapNone/>
                <wp:docPr id="26" name="Frame2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60"/>
        <w:ind w:left="0" w:right="0" w:hanging="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significant expense categories and amounts align with the segment-level information that is regularly provided to the CODM. Intersegment expenses are included within the amounts shown in line Cost of sales and no intersegment profit was recognized.</w:t>
      </w:r>
    </w:p>
    <w:p>
      <w:pPr>
        <w:pStyle w:val="TextBody"/>
        <w:bidi w:val="0"/>
        <w:spacing w:lineRule="auto" w:line="288" w:before="0" w:after="0"/>
        <w:ind w:left="0" w:right="0" w:hanging="18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Other segment items for each reportable segment include:</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RNG - payroll, consulting, insurance and other expenses</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Fuel Station Services - payroll expenses and gain on RNG dispensing</w:t>
      </w:r>
    </w:p>
    <w:p>
      <w:pPr>
        <w:pStyle w:val="TextBody"/>
        <w:bidi w:val="0"/>
        <w:spacing w:lineRule="auto" w:line="288" w:before="0" w:after="200"/>
        <w:jc w:val="both"/>
        <w:rPr/>
      </w:pPr>
      <w:r>
        <w:rPr>
          <w:color w:val="000000"/>
        </w:rPr>
        <w:t>•</w:t>
      </w:r>
      <w:r>
        <w:rPr>
          <w:rFonts w:ascii="Times New Roman;serif" w:hAnsi="Times New Roman;serif"/>
          <w:b w:val="false"/>
          <w:color w:val="000000"/>
          <w:sz w:val="20"/>
        </w:rPr>
        <w:t>Renewable Power - payroll, consulting, insurance and other expenses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certain other financial data for the reportable segments for as of December 31, 2025:</w:t>
      </w:r>
    </w:p>
    <w:tbl>
      <w:tblPr>
        <w:tblW w:w="10205" w:type="dxa"/>
        <w:jc w:val="center"/>
        <w:tblInd w:w="0" w:type="dxa"/>
        <w:tblLayout w:type="fixed"/>
        <w:tblCellMar>
          <w:top w:w="28" w:type="dxa"/>
          <w:left w:w="28" w:type="dxa"/>
          <w:bottom w:w="28" w:type="dxa"/>
          <w:right w:w="28" w:type="dxa"/>
        </w:tblCellMar>
      </w:tblPr>
      <w:tblGrid>
        <w:gridCol w:w="779"/>
        <w:gridCol w:w="686"/>
        <w:gridCol w:w="689"/>
        <w:gridCol w:w="211"/>
        <w:gridCol w:w="826"/>
        <w:gridCol w:w="109"/>
        <w:gridCol w:w="326"/>
        <w:gridCol w:w="1278"/>
        <w:gridCol w:w="168"/>
        <w:gridCol w:w="308"/>
        <w:gridCol w:w="1057"/>
        <w:gridCol w:w="159"/>
        <w:gridCol w:w="252"/>
        <w:gridCol w:w="990"/>
        <w:gridCol w:w="130"/>
        <w:gridCol w:w="211"/>
        <w:gridCol w:w="721"/>
        <w:gridCol w:w="109"/>
        <w:gridCol w:w="211"/>
        <w:gridCol w:w="826"/>
        <w:gridCol w:w="159"/>
      </w:tblGrid>
      <w:tr>
        <w:trPr/>
        <w:tc>
          <w:tcPr>
            <w:tcW w:w="77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7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5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13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Segments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11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segment disclosures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other entities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231,223 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675,988 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196,853 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901,581 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959,469 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the Company made the following cash payments for capital expenditures:</w:t>
      </w:r>
    </w:p>
    <w:tbl>
      <w:tblPr>
        <w:tblW w:w="10205" w:type="dxa"/>
        <w:jc w:val="center"/>
        <w:tblInd w:w="0" w:type="dxa"/>
        <w:tblLayout w:type="fixed"/>
        <w:tblCellMar>
          <w:top w:w="28" w:type="dxa"/>
          <w:left w:w="28" w:type="dxa"/>
          <w:bottom w:w="28" w:type="dxa"/>
          <w:right w:w="28" w:type="dxa"/>
        </w:tblCellMar>
      </w:tblPr>
      <w:tblGrid>
        <w:gridCol w:w="1094"/>
        <w:gridCol w:w="960"/>
        <w:gridCol w:w="966"/>
        <w:gridCol w:w="211"/>
        <w:gridCol w:w="721"/>
        <w:gridCol w:w="109"/>
        <w:gridCol w:w="302"/>
        <w:gridCol w:w="1032"/>
        <w:gridCol w:w="155"/>
        <w:gridCol w:w="358"/>
        <w:gridCol w:w="791"/>
        <w:gridCol w:w="185"/>
        <w:gridCol w:w="250"/>
        <w:gridCol w:w="859"/>
        <w:gridCol w:w="129"/>
        <w:gridCol w:w="288"/>
        <w:gridCol w:w="554"/>
        <w:gridCol w:w="149"/>
        <w:gridCol w:w="211"/>
        <w:gridCol w:w="721"/>
        <w:gridCol w:w="160"/>
      </w:tblGrid>
      <w:tr>
        <w:trPr/>
        <w:tc>
          <w:tcPr>
            <w:tcW w:w="109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12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Segments</w:t>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10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purchases of property, plant and equipment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12,874 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33,409 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revenues from external customers by type for the reportable segments:</w:t>
      </w:r>
    </w:p>
    <w:tbl>
      <w:tblPr>
        <w:tblW w:w="10205" w:type="dxa"/>
        <w:jc w:val="center"/>
        <w:tblInd w:w="0" w:type="dxa"/>
        <w:tblLayout w:type="fixed"/>
        <w:tblCellMar>
          <w:top w:w="28" w:type="dxa"/>
          <w:left w:w="28" w:type="dxa"/>
          <w:bottom w:w="28" w:type="dxa"/>
          <w:right w:w="28" w:type="dxa"/>
        </w:tblCellMar>
      </w:tblPr>
      <w:tblGrid>
        <w:gridCol w:w="1426"/>
        <w:gridCol w:w="1256"/>
        <w:gridCol w:w="1265"/>
        <w:gridCol w:w="264"/>
        <w:gridCol w:w="903"/>
        <w:gridCol w:w="136"/>
        <w:gridCol w:w="264"/>
        <w:gridCol w:w="903"/>
        <w:gridCol w:w="136"/>
        <w:gridCol w:w="203"/>
        <w:gridCol w:w="394"/>
        <w:gridCol w:w="1546"/>
        <w:gridCol w:w="203"/>
        <w:gridCol w:w="211"/>
        <w:gridCol w:w="826"/>
        <w:gridCol w:w="109"/>
        <w:gridCol w:w="160"/>
      </w:tblGrid>
      <w:tr>
        <w:trPr/>
        <w:tc>
          <w:tcPr>
            <w:tcW w:w="142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346"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306" w:type="dxa"/>
            <w:gridSpan w:val="4"/>
            <w:tcBorders/>
          </w:tcPr>
          <w:p>
            <w:pPr>
              <w:pStyle w:val="TableContents"/>
              <w:bidi w:val="0"/>
              <w:spacing w:before="0" w:after="283"/>
              <w:jc w:val="left"/>
              <w:rPr>
                <w:sz w:val="4"/>
                <w:szCs w:val="4"/>
              </w:rPr>
            </w:pPr>
            <w:r>
              <w:rPr>
                <w:sz w:val="4"/>
                <w:szCs w:val="4"/>
              </w:rPr>
            </w:r>
          </w:p>
        </w:tc>
      </w:tr>
      <w:tr>
        <w:trPr/>
        <w:tc>
          <w:tcPr>
            <w:tcW w:w="3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203" w:type="dxa"/>
            <w:tcBorders/>
            <w:vAlign w:val="center"/>
          </w:tcPr>
          <w:p>
            <w:pPr>
              <w:pStyle w:val="TableContents"/>
              <w:bidi w:val="0"/>
              <w:spacing w:before="0" w:after="283"/>
              <w:jc w:val="left"/>
              <w:rPr>
                <w:sz w:val="4"/>
                <w:szCs w:val="4"/>
              </w:rPr>
            </w:pPr>
            <w:r>
              <w:rPr>
                <w:sz w:val="4"/>
                <w:szCs w:val="4"/>
              </w:rPr>
            </w:r>
          </w:p>
        </w:tc>
        <w:tc>
          <w:tcPr>
            <w:tcW w:w="2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RNG Fuel</w:t>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attributes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Brown gas sales and other</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RNG Fuel</w:t>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23,821 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25,130 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45,459 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Fuel Station Services</w:t>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OPAL owned stations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Environmental attributes and RNG marketing</w:t>
            </w:r>
            <w:r>
              <w:rPr>
                <w:color w:val="000000"/>
              </w:rPr>
              <w:t xml:space="preserve"> </w:t>
            </w:r>
            <w:r>
              <w:rPr>
                <w:rFonts w:ascii="Times New Roman;serif" w:hAnsi="Times New Roman;serif"/>
                <w:b w:val="false"/>
                <w:color w:val="000000"/>
                <w:sz w:val="13"/>
              </w:rPr>
              <w:t>(1)</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party station service and maintenance</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Lease revenues</w:t>
            </w:r>
            <w:r>
              <w:rPr>
                <w:color w:val="000000"/>
              </w:rPr>
              <w:t xml:space="preserve"> </w:t>
            </w:r>
            <w:r>
              <w:rPr>
                <w:rFonts w:ascii="Times New Roman;serif" w:hAnsi="Times New Roman;serif"/>
                <w:b w:val="false"/>
                <w:color w:val="000000"/>
                <w:sz w:val="13"/>
              </w:rPr>
              <w:t>(2)</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Fuel Station Services</w:t>
            </w:r>
          </w:p>
        </w:tc>
        <w:tc>
          <w:tcPr>
            <w:tcW w:w="11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53,064 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47,026 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97,630 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 Power</w:t>
            </w:r>
          </w:p>
        </w:tc>
        <w:tc>
          <w:tcPr>
            <w:tcW w:w="13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Electricity sales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attributes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Lease revenues</w:t>
            </w:r>
            <w:r>
              <w:rPr>
                <w:color w:val="000000"/>
              </w:rPr>
              <w:t xml:space="preserve"> </w:t>
            </w:r>
            <w:r>
              <w:rPr>
                <w:rFonts w:ascii="Times New Roman;serif" w:hAnsi="Times New Roman;serif"/>
                <w:b w:val="false"/>
                <w:color w:val="000000"/>
                <w:sz w:val="13"/>
              </w:rPr>
              <w:t>(3)</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13"/>
              </w:rPr>
              <w:t>(4)</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Renewable Power</w:t>
            </w:r>
          </w:p>
        </w:tc>
        <w:tc>
          <w:tcPr>
            <w:tcW w:w="11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6,514 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13,685 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83,399 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80,456 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156,774 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147,111 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lease arrangements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3685"/>
                <wp:effectExtent l="0" t="0" r="0" b="0"/>
                <wp:wrapNone/>
                <wp:docPr id="27" name="Frame2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20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Revenues from RNG marketing in the Fuel Station Services segment relate to revenues earned from Environmental Attribute generation and monetization services. </w:t>
      </w:r>
    </w:p>
    <w:p>
      <w:pPr>
        <w:pStyle w:val="TextBody"/>
        <w:bidi w:val="0"/>
        <w:spacing w:lineRule="auto" w:line="288" w:before="0" w:after="20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Fuel Station Services lease revenue relates to revenue from fuel purchasing agreements where we determined that we transferred the right to control the use of the station to the purchaser. Includes sales-type lease revenues of $—, $—, $2,246, and $— for the three months ended June 30, 2026 and 2025, and the six months ended June 30, 2026 and 2025, respectively, from customers domiciled outside of the United States. All remaining lease revenue relates to operating leases.</w:t>
      </w:r>
    </w:p>
    <w:p>
      <w:pPr>
        <w:pStyle w:val="TextBody"/>
        <w:bidi w:val="0"/>
        <w:spacing w:lineRule="auto" w:line="288" w:before="0" w:after="20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Renewable Power operating lease revenue relates to revenue from power purchase agreements where we determined that we transferred the right to control the use of the power plant to the purchaser.</w:t>
      </w:r>
    </w:p>
    <w:p>
      <w:pPr>
        <w:pStyle w:val="TextBody"/>
        <w:bidi w:val="0"/>
        <w:spacing w:lineRule="auto" w:line="288" w:before="0" w:after="200"/>
        <w:jc w:val="both"/>
        <w:rPr/>
      </w:pPr>
      <w:r>
        <w:rPr>
          <w:rFonts w:ascii="Times New Roman;serif" w:hAnsi="Times New Roman;serif"/>
          <w:b w:val="false"/>
          <w:color w:val="000000"/>
          <w:sz w:val="13"/>
        </w:rPr>
        <w:t xml:space="preserve">(4) </w:t>
      </w:r>
      <w:r>
        <w:rPr>
          <w:rFonts w:ascii="Times New Roman;serif" w:hAnsi="Times New Roman;serif"/>
          <w:b w:val="false"/>
          <w:color w:val="000000"/>
          <w:sz w:val="20"/>
        </w:rPr>
        <w:t>Includes management fee revenues earned from management of operations of equity method entities.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tables below outline the revenue from customers that comprise 10% or more of the Company's consolidated revenue, along with their respective percentages of revenue by each segment.</w:t>
      </w:r>
    </w:p>
    <w:tbl>
      <w:tblPr>
        <w:tblW w:w="8784" w:type="dxa"/>
        <w:jc w:val="left"/>
        <w:tblInd w:w="0" w:type="dxa"/>
        <w:tblLayout w:type="fixed"/>
        <w:tblCellMar>
          <w:top w:w="28" w:type="dxa"/>
          <w:left w:w="28" w:type="dxa"/>
          <w:bottom w:w="28" w:type="dxa"/>
          <w:right w:w="28" w:type="dxa"/>
        </w:tblCellMar>
      </w:tblPr>
      <w:tblGrid>
        <w:gridCol w:w="662"/>
        <w:gridCol w:w="582"/>
        <w:gridCol w:w="585"/>
        <w:gridCol w:w="211"/>
        <w:gridCol w:w="721"/>
        <w:gridCol w:w="109"/>
        <w:gridCol w:w="537"/>
        <w:gridCol w:w="537"/>
        <w:gridCol w:w="1340"/>
        <w:gridCol w:w="211"/>
        <w:gridCol w:w="721"/>
        <w:gridCol w:w="109"/>
        <w:gridCol w:w="500"/>
        <w:gridCol w:w="500"/>
        <w:gridCol w:w="1459"/>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0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 A</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Revenue</w:t>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total revenue</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Revenue</w:t>
            </w:r>
          </w:p>
        </w:tc>
        <w:tc>
          <w:tcPr>
            <w:tcW w:w="2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total revenue</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RNG Fuel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Fuel Station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Renewable Power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4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tables below outline the revenue from customers that comprise 10% or more of our consolidated revenue, along with their respective percentages of revenue by each segment.</w:t>
      </w:r>
    </w:p>
    <w:tbl>
      <w:tblPr>
        <w:tblW w:w="8784" w:type="dxa"/>
        <w:jc w:val="left"/>
        <w:tblInd w:w="0" w:type="dxa"/>
        <w:tblLayout w:type="fixed"/>
        <w:tblCellMar>
          <w:top w:w="28" w:type="dxa"/>
          <w:left w:w="28" w:type="dxa"/>
          <w:bottom w:w="28" w:type="dxa"/>
          <w:right w:w="28" w:type="dxa"/>
        </w:tblCellMar>
      </w:tblPr>
      <w:tblGrid>
        <w:gridCol w:w="662"/>
        <w:gridCol w:w="582"/>
        <w:gridCol w:w="585"/>
        <w:gridCol w:w="211"/>
        <w:gridCol w:w="721"/>
        <w:gridCol w:w="109"/>
        <w:gridCol w:w="537"/>
        <w:gridCol w:w="537"/>
        <w:gridCol w:w="1340"/>
        <w:gridCol w:w="211"/>
        <w:gridCol w:w="721"/>
        <w:gridCol w:w="109"/>
        <w:gridCol w:w="500"/>
        <w:gridCol w:w="500"/>
        <w:gridCol w:w="1459"/>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0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 A</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Revenue</w:t>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total revenue</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Revenue</w:t>
            </w:r>
          </w:p>
        </w:tc>
        <w:tc>
          <w:tcPr>
            <w:tcW w:w="2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total revenue</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RNG Fuel</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Fuel Station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Renewable Power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3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8. REDEEMABLE NON-CONTROLLING INTEREST, REDEEMABLE PREFERRED NON-CONTROLLING INTEREST AND STOCKHOLDERS' EQUITY</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is authorized to issue 340,000,000 shares of Class A common stock, 160,000,000 shares of Class B common stock, 160,000,000 shares of Class C common stock, and 160,000,000 shares of Class D common stock.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Shares of Class B and Class D common stock do not have any economic value except voting rights as described below.</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Redeemable Preferred Non-controlling Interests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Upon completion of the Business Combination, the Company effectively assumed the Series A</w:t>
        <w:noBreakHyphen/>
        <w:t>1 and Series A preferred units previously issued by OPAL Fuels LLC to Hillman and NextEra, respectively. Following the transaction, these preferred units were presented as redeemable preferred non-controlling interests in the Company’s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73685"/>
                <wp:effectExtent l="0" t="0" r="0" b="0"/>
                <wp:wrapNone/>
                <wp:docPr id="28" name="Frame2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March 6, 2026, OPAL Fuels LLC (“Opal Fuels”), the Company’s primary operating consolidated subsidiary, entered into a subscription agreement (“Subscription Agreement”) with Preferred Fuels LLC, (“Preferred Fuels” or “Investor”), an entity under common control with the Company. Pursuant to the Subscription Agreement Preferred Fuels committed to purchase up to $180,000 (the “Offering”) of Series A preferred units of Opal Fuels in multiple closings. At the initial closing on March 6, 2026, Preferred Fuels purchased 1,200,000 preferred units for aggregate proceeds of $120,000. OPAL Fuels may, in its sole discretion, require Preferred Fuels to fund up to an additional $60,000 (or “Undrawn Commitment”) within one year of the initial closing (or “Availability Period”), subject to the terms of the Subscription Agreement. During the three months ended June 30, 2026 the Company drew $8,400 of additional funding from the Undrawn Commitment. Additionally, pursuant to the Subscription Agreement, the Investor also has a right of first offer to purchase up to an additional 700,000 Units for an aggregate purchase price of up to $70,000 in the Offering in the event that OPAL Fuels intends to sell any additional units prior to the two (2) year anniversary of the initial closing. Opal Fuels used the proceeds received from the issuance of the Series A preferred units on March 6, 2026 to redeem all of the previously issued and outstanding Series A preferred units.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initial closing on March 6, 2026, OPAL Fuels Inc. issued to Preferred Fuels warrants (“Warrants”) to purchase up to 2,160,000 shares of Class A common stock (the “Warrant Shares”) at an exercise price per share of $2.67, subject to customary anti-dilution adjustments. The Warrants expire on March 6, 2034. A holder of the Warrants shall not have the right to exercise the Warrants without prior approval by the Company’s Board of Directors to the extent that after giving effect to such exercise, such person would beneficially own in excess of 19.9% of the Company’s outstanding common stock immediately after giving effect to such exercise. Up to 720,000 shares of the Warrant Shares are forfeitable if Preferred Fuels fails to fund issuance of the remaining Series A preferred units during the Availability Period provided Opal Fuels requested such funding.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Additionally, up to 840,000 shares issuable on a pro rata basis upon future purchases by Preferred Fuels of up to an additional 700,000 Series A preferred units (up to $70,000) within two years of the initial closing pursuant to its right of first offer. No Subsequent Warrant Shares have been issued as of June 30,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recorded Series A preferred units as redeemable noncontrolling interest in its condensed consolidated financial statements at the amount of proceeds received, less the fair value of the Warrants of $2,760 and directly attributable issuance costs of $3,842. The Series A preferred units are subsequently remeasured to their redemption value as of each reporting date as if such reporting date were the redemption date. The Company concluded that the Warrants are not indexed to the Company’s equity. The Warrants are accounted for as liabilities in the Company’s condensed consolidated financial statements, within other long-term liabilities with changes in fair value recognized in other income, net.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in a Current Report filed with the SEC on May 20, 2026, on May 18, 2026, OPAL Fuels amended and restated the terms of its Series A-1 Preferred Units to generally conform them to the terms of its Series A Preferred Units. The amendment increased the annual dividend rate from 8% to 12%, with only up to 2% payable in kind and the remainder payable in cash, revised certain redemption rights to permit holder redemption upon specified events including a change of control, certain uncured trigger events, or beginning on the fifth anniversary of March 6, 2026, and added enhanced holder protective provisions and remedies upon the occurrence of certain trigger events. The amendment also eliminated the holders' prior conversion rights upon delayed redemption of the preferred units. The Amended and Restated Certificate of Designations of Series A-1 Preferred Units does not, however, provide holders of Series A-1 Preferred Units with any rights to appoint members to the board of directors of the Company, which rights are provided to holders of Series A Preferred Units under the Amended and Restated Certificate of Designations of Series A Preferred Units.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redeemable preferred non-controlling interests which represent Series A and Series A-1 preferred units outstanding at OPAL Fuels level from December 31, 2025 to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73685"/>
                <wp:effectExtent l="0" t="0" r="0" b="0"/>
                <wp:wrapNone/>
                <wp:docPr id="29" name="Frame2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200"/>
        <w:jc w:val="center"/>
        <w:rPr/>
      </w:pPr>
      <w:r>
        <w:rPr/>
      </w:r>
    </w:p>
    <w:tbl>
      <w:tblPr>
        <w:tblW w:w="10205" w:type="dxa"/>
        <w:jc w:val="center"/>
        <w:tblInd w:w="0" w:type="dxa"/>
        <w:tblLayout w:type="fixed"/>
        <w:tblCellMar>
          <w:top w:w="28" w:type="dxa"/>
          <w:left w:w="28" w:type="dxa"/>
          <w:bottom w:w="28" w:type="dxa"/>
          <w:right w:w="28" w:type="dxa"/>
        </w:tblCellMar>
      </w:tblPr>
      <w:tblGrid>
        <w:gridCol w:w="1593"/>
        <w:gridCol w:w="1243"/>
        <w:gridCol w:w="1247"/>
        <w:gridCol w:w="413"/>
        <w:gridCol w:w="413"/>
        <w:gridCol w:w="176"/>
        <w:gridCol w:w="276"/>
        <w:gridCol w:w="946"/>
        <w:gridCol w:w="142"/>
        <w:gridCol w:w="512"/>
        <w:gridCol w:w="513"/>
        <w:gridCol w:w="176"/>
        <w:gridCol w:w="250"/>
        <w:gridCol w:w="980"/>
        <w:gridCol w:w="129"/>
        <w:gridCol w:w="211"/>
        <w:gridCol w:w="826"/>
        <w:gridCol w:w="159"/>
      </w:tblGrid>
      <w:tr>
        <w:trPr/>
        <w:tc>
          <w:tcPr>
            <w:tcW w:w="159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Series A-1 preferred units</w:t>
            </w:r>
          </w:p>
        </w:tc>
        <w:tc>
          <w:tcPr>
            <w:tcW w:w="256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Series A preferred units</w:t>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13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2025</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Series A preferred units, net of issuance costs and fair value of Warrant</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1,200,000 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121,798 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121,798 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Redemption of Series A preferred units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dividends attributable to redeemable non-controlling interest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dividends attributable to Class A common stockholders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preferred dividends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to redemption value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2026</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1,200,000 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128,400 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158,400 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Terms of Redeemable Preferred Units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Series A-1 preferred units held by Hillman RNG Investments LLC (Hillman), Series A preferred units previously held by NextEra affiliated entity and the new Series A preferred units (collectively the “Preferred Units”) held by Preferred Fuels, have substantially the same terms and features (unless specified otherwise) which are listed below:</w:t>
      </w:r>
    </w:p>
    <w:p>
      <w:pPr>
        <w:pStyle w:val="TextBody"/>
        <w:bidi w:val="0"/>
        <w:spacing w:lineRule="auto" w:line="288" w:before="0" w:after="200"/>
        <w:jc w:val="both"/>
        <w:rPr/>
      </w:pPr>
      <w:r>
        <w:rPr>
          <w:rFonts w:ascii="Times New Roman;serif" w:hAnsi="Times New Roman;serif"/>
          <w:b/>
          <w:color w:val="000000"/>
          <w:sz w:val="20"/>
        </w:rPr>
        <w:t xml:space="preserve">Voting: </w:t>
      </w:r>
      <w:r>
        <w:rPr>
          <w:rFonts w:ascii="Times New Roman;serif" w:hAnsi="Times New Roman;serif"/>
          <w:b w:val="false"/>
          <w:color w:val="000000"/>
          <w:sz w:val="20"/>
        </w:rPr>
        <w:t>The Series A-1 preferred units do not have any voting rights. The Series A preferred units carry no voting rights except as required by Delaware law or as provided under certain protective covenants in the Subscription Agreement.</w:t>
      </w:r>
    </w:p>
    <w:p>
      <w:pPr>
        <w:pStyle w:val="TextBody"/>
        <w:bidi w:val="0"/>
        <w:spacing w:lineRule="auto" w:line="288" w:before="0" w:after="200"/>
        <w:jc w:val="both"/>
        <w:rPr/>
      </w:pPr>
      <w:r>
        <w:rPr>
          <w:rFonts w:ascii="Times New Roman;serif" w:hAnsi="Times New Roman;serif"/>
          <w:b/>
          <w:color w:val="000000"/>
          <w:sz w:val="20"/>
        </w:rPr>
        <w:t xml:space="preserve">Dividends: </w:t>
      </w:r>
      <w:r>
        <w:rPr>
          <w:rFonts w:ascii="Times New Roman;serif" w:hAnsi="Times New Roman;serif"/>
          <w:b w:val="false"/>
          <w:color w:val="000000"/>
          <w:sz w:val="20"/>
        </w:rPr>
        <w:t>The Series A-1 preferred units are entitled to receive dividends at a rate of 12% per annum. The Series A preferred units are entitled to preferred quarterly distributions at a rate of 12% per annum (“Preferred Coupon”), compounding quarterly. Dividends on each series begin accruing from the issuance date, are mandatory and cumulative. OPAL Fuels may elect to pay up to 2% per annum of the 12% Series A Preferred Coupon in kind through the issuance of additional Series A preferred units.</w:t>
      </w:r>
    </w:p>
    <w:p>
      <w:pPr>
        <w:pStyle w:val="TextBody"/>
        <w:bidi w:val="0"/>
        <w:spacing w:lineRule="auto" w:line="288" w:before="0" w:after="200"/>
        <w:jc w:val="both"/>
        <w:rPr/>
      </w:pPr>
      <w:r>
        <w:rPr>
          <w:rFonts w:ascii="Times New Roman;serif" w:hAnsi="Times New Roman;serif"/>
          <w:b/>
          <w:color w:val="000000"/>
          <w:sz w:val="20"/>
        </w:rPr>
        <w:t xml:space="preserve">Liquidation preference: </w:t>
      </w:r>
      <w:r>
        <w:rPr>
          <w:rFonts w:ascii="Times New Roman;serif" w:hAnsi="Times New Roman;serif"/>
          <w:b w:val="false"/>
          <w:color w:val="000000"/>
          <w:sz w:val="20"/>
        </w:rPr>
        <w:t>In the event of a liquidation of OPAL Fuels, each holder of Series A and Series A-1 units is entitled to receive, on a pro rata basis, the original issue price of $100 per unit plus any accrued and unpaid dividends, out of assets available for distribution after payment of debt, liabilities, and liquidation expenses.</w:t>
      </w:r>
    </w:p>
    <w:p>
      <w:pPr>
        <w:pStyle w:val="TextBody"/>
        <w:bidi w:val="0"/>
        <w:spacing w:lineRule="auto" w:line="288" w:before="0" w:after="200"/>
        <w:jc w:val="both"/>
        <w:rPr/>
      </w:pPr>
      <w:r>
        <w:rPr>
          <w:rFonts w:ascii="Times New Roman;serif" w:hAnsi="Times New Roman;serif"/>
          <w:b/>
          <w:color w:val="000000"/>
          <w:sz w:val="20"/>
        </w:rPr>
        <w:t xml:space="preserve">Redemption and Conversion: </w:t>
      </w:r>
      <w:r>
        <w:rPr>
          <w:rFonts w:ascii="Times New Roman;serif" w:hAnsi="Times New Roman;serif"/>
          <w:b w:val="false"/>
          <w:color w:val="000000"/>
          <w:sz w:val="20"/>
        </w:rPr>
        <w:t>OPAL Fuels may redeem each series of Preferred Units at any time at the original issue price of $100 per unit plus accrued and unpaid dividends. Under the Series A preferred units, the Company was required to respond within 90 days from the date of the holder’s redemption notice in accordance with the applicable terms.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Preferred Fuels may require redemption upon (i) a change of control, (ii) an uncured material debt default or breach of protective covenants continuing for 60 days, or (iii) at any time on or after the fifth anniversary of the initial closing (March 6, 2031). In the event OPAL Fuels fails to redeem the Series A preferred units when requested: (1) the Preferred Coupon rate increases by an additional 0.50% per quarter, subject to a maximum of 4.00% per annum above the then-applicable rate, with all accrued distributions compounding quarterly at the Preferred Coupon plus the penalty rate; and (2) any residual cash flow of OPAL Fuels and its subsidiaries after operating expenses and capital expenditures must be applied to redeem the Series A preferred units at the applicable Redemption Price until the failure is cured. The applicable Redemption Price is (i) a price equal to at least 1.15 times the original issue price (inclusive of all fees paid and accrued dividends) on or prior to the first anniversary of the initial closing, (ii) 102% of the original issue price (exclusive of fees) after the first but on or prior to the second anniversary, and (iii) the original issue price plus accrued and unpaid cash dividends thereafter. Preferred Fuels also has the right, but not the obligation, to appoint a single director to the Board of Directors of OPAL Fuels Inc. if the redemption failure is not cured within 90 days.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73685"/>
                <wp:effectExtent l="0" t="0" r="0" b="0"/>
                <wp:wrapNone/>
                <wp:docPr id="30" name="Frame3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9. NET (LOSS) INCOME PER SHARE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calculation of basic and diluted net (loss) income per share:</w:t>
      </w:r>
    </w:p>
    <w:tbl>
      <w:tblPr>
        <w:tblW w:w="10205" w:type="dxa"/>
        <w:jc w:val="center"/>
        <w:tblInd w:w="0" w:type="dxa"/>
        <w:tblLayout w:type="fixed"/>
        <w:tblCellMar>
          <w:top w:w="28" w:type="dxa"/>
          <w:left w:w="28" w:type="dxa"/>
          <w:bottom w:w="28" w:type="dxa"/>
          <w:right w:w="28" w:type="dxa"/>
        </w:tblCellMar>
      </w:tblPr>
      <w:tblGrid>
        <w:gridCol w:w="1840"/>
        <w:gridCol w:w="1616"/>
        <w:gridCol w:w="1621"/>
        <w:gridCol w:w="300"/>
        <w:gridCol w:w="926"/>
        <w:gridCol w:w="141"/>
        <w:gridCol w:w="315"/>
        <w:gridCol w:w="766"/>
        <w:gridCol w:w="141"/>
        <w:gridCol w:w="271"/>
        <w:gridCol w:w="867"/>
        <w:gridCol w:w="131"/>
        <w:gridCol w:w="315"/>
        <w:gridCol w:w="766"/>
        <w:gridCol w:w="189"/>
      </w:tblGrid>
      <w:tr>
        <w:trPr/>
        <w:tc>
          <w:tcPr>
            <w:tcW w:w="1840"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5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Class A common stockholders basic and diluted</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of Class A common stock - basic</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29,641,216 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28,265,710 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28,966,490 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27,995,258 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of Class A common stock - diluted</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29,641,216 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29,229,245 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28,966,490 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28,688,505 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of Class A common stock</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basic (loss) income per share for the three and six months ended June 30, 2026 and 2025 does not include 1,635,783 shares in treasury and 716,650 shares that are issued and outstanding but are contingent on achieving earnout targets.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Additionally, the diluted (loss) income per share of Class A common stock for the three and six months ended June 30, 2026 and 2025 does not include redeemable preferred non-controlling interests because the substantive contingency for conversion has not been met as of June 30, 2026. It also excludes redeemable non-controlling interests for the three and six months ended June 30, 2026 and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periods in which (loss) income per share is presented, the following securities were excluded from the computation of diluted (loss) income per share since their impact would have been antidilutive:</w:t>
      </w:r>
    </w:p>
    <w:tbl>
      <w:tblPr>
        <w:tblW w:w="6151" w:type="dxa"/>
        <w:jc w:val="center"/>
        <w:tblInd w:w="0" w:type="dxa"/>
        <w:tblLayout w:type="fixed"/>
        <w:tblCellMar>
          <w:top w:w="28" w:type="dxa"/>
          <w:left w:w="28" w:type="dxa"/>
          <w:bottom w:w="28" w:type="dxa"/>
          <w:right w:w="28" w:type="dxa"/>
        </w:tblCellMar>
      </w:tblPr>
      <w:tblGrid>
        <w:gridCol w:w="808"/>
        <w:gridCol w:w="712"/>
        <w:gridCol w:w="715"/>
        <w:gridCol w:w="109"/>
        <w:gridCol w:w="596"/>
        <w:gridCol w:w="596"/>
        <w:gridCol w:w="596"/>
        <w:gridCol w:w="596"/>
        <w:gridCol w:w="593"/>
        <w:gridCol w:w="593"/>
        <w:gridCol w:w="237"/>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423" w:type="dxa"/>
            <w:gridSpan w:val="3"/>
            <w:tcBorders/>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4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1,237,505 </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483,502 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Unvested PSUs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2,654,994 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2,015,403 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4,760,151 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1,104,068 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Warrants</w:t>
            </w:r>
            <w:r>
              <w:rPr>
                <w:color w:val="000000"/>
              </w:rPr>
              <w:t xml:space="preserve">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2,160,000 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OPAL Fuels Class B Units</w:t>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144,399,037 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144,399,037 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All unvested PSUs are contingent on achieving performance targets.</w:t>
      </w:r>
    </w:p>
    <w:p>
      <w:pPr>
        <w:pStyle w:val="TextBody"/>
        <w:bidi w:val="0"/>
        <w:spacing w:lineRule="auto" w:line="288" w:before="0" w:after="20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Includes 720,000 warrants that are subject to forfeiture contingent on obtaining additional funding.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the Company recorded $4,738 and $10,447 income tax benefit, respectively, as a result of the generation of 45z credits. The Company also sold ITCs to a buyer for proceeds of $9,563, net of transaction costs, in March 2026.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2025, the Company recorded $13,686 and $21,723 income tax benefit, respectively, as a result of the generation and sale of ITC credits.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evaluates the realizability of the deferred tax assets on a quarterly basis and establishes a valuation allowance when it is more likely than not that all or a portion of a deferred tax asset may not be realized. The estimated Section 45Z credits reflect management's current assumptions regarding prevailing wage compliance. The Company continues to evaluate compliance requirements and will adjust its estimates, if necessary, as additional information becomes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73685"/>
                <wp:effectExtent l="0" t="0" r="0" b="0"/>
                <wp:wrapNone/>
                <wp:docPr id="31" name="Frame3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11. STOCK-BASED COMPENSATION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adopted 2022 Omnibus Equity Incentive Plan (the "2022 Plan") in 2022 which was approved by our stockholders on July 21, 2022. The purposes of the 2022 Plan are to (i) provide an additional incentive to selected employees, directors, and independent contractors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The 2022 Plan allows for granting of stock options, stock appreciation rights, restricted stock, restricted stock units and other stock-based awards. The Company registered 19,811,726 shares of Class A common stock that can be issued under this Plan. The stock-based compensation expense for the above stock awards under the 2022 Plan as well as Parent Equity Awards is included in the selling, general and administrative expenses:</w:t>
      </w:r>
    </w:p>
    <w:tbl>
      <w:tblPr>
        <w:tblW w:w="5591" w:type="dxa"/>
        <w:jc w:val="center"/>
        <w:tblInd w:w="0" w:type="dxa"/>
        <w:tblLayout w:type="fixed"/>
        <w:tblCellMar>
          <w:top w:w="28" w:type="dxa"/>
          <w:left w:w="28" w:type="dxa"/>
          <w:bottom w:w="28" w:type="dxa"/>
          <w:right w:w="28" w:type="dxa"/>
        </w:tblCellMar>
      </w:tblPr>
      <w:tblGrid>
        <w:gridCol w:w="652"/>
        <w:gridCol w:w="572"/>
        <w:gridCol w:w="576"/>
        <w:gridCol w:w="211"/>
        <w:gridCol w:w="617"/>
        <w:gridCol w:w="109"/>
        <w:gridCol w:w="211"/>
        <w:gridCol w:w="617"/>
        <w:gridCol w:w="109"/>
        <w:gridCol w:w="211"/>
        <w:gridCol w:w="616"/>
        <w:gridCol w:w="109"/>
        <w:gridCol w:w="211"/>
        <w:gridCol w:w="616"/>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9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Plan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Parent equity awards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0" w:after="200"/>
        <w:ind w:left="0" w:right="0" w:hanging="480"/>
        <w:jc w:val="both"/>
        <w:rPr>
          <w:rFonts w:ascii="Times New Roman;serif" w:hAnsi="Times New Roman;serif"/>
          <w:b/>
          <w:color w:val="000000"/>
          <w:sz w:val="20"/>
        </w:rPr>
      </w:pPr>
      <w:r>
        <w:rPr>
          <w:rFonts w:ascii="Times New Roman;serif" w:hAnsi="Times New Roman;serif"/>
          <w:b/>
          <w:color w:val="000000"/>
          <w:sz w:val="20"/>
        </w:rPr>
        <w:t>Letters of Credit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was required to maintain standby letters of credit totaling $31,674 and $15,504, respectively, to support obligations of certain Company's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Lease Commitments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table below provides the total amount of lease payments on an undiscounted basis on our lease contracts as of June 30, 2026:</w:t>
      </w:r>
    </w:p>
    <w:tbl>
      <w:tblPr>
        <w:tblW w:w="7235" w:type="dxa"/>
        <w:jc w:val="center"/>
        <w:tblInd w:w="0" w:type="dxa"/>
        <w:tblLayout w:type="fixed"/>
        <w:tblCellMar>
          <w:top w:w="28" w:type="dxa"/>
          <w:left w:w="28" w:type="dxa"/>
          <w:bottom w:w="28" w:type="dxa"/>
          <w:right w:w="28" w:type="dxa"/>
        </w:tblCellMar>
      </w:tblPr>
      <w:tblGrid>
        <w:gridCol w:w="1184"/>
        <w:gridCol w:w="1039"/>
        <w:gridCol w:w="1047"/>
        <w:gridCol w:w="427"/>
        <w:gridCol w:w="942"/>
        <w:gridCol w:w="221"/>
        <w:gridCol w:w="374"/>
        <w:gridCol w:w="827"/>
        <w:gridCol w:w="193"/>
        <w:gridCol w:w="211"/>
        <w:gridCol w:w="61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ending December 31, 2026</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Total undiscounted cashflows</w:t>
            </w:r>
          </w:p>
        </w:tc>
        <w:tc>
          <w:tcPr>
            <w:tcW w:w="1590"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$24,593</w:t>
            </w:r>
          </w:p>
        </w:tc>
        <w:tc>
          <w:tcPr>
            <w:tcW w:w="139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w:t>
            </w:r>
          </w:p>
        </w:tc>
        <w:tc>
          <w:tcPr>
            <w:tcW w:w="981"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$26,901</w:t>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Guaranty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30, 2026, Land2Gas LLC, a 50%-owned equity method investee, sold $22,926 of investment tax credits to Athene Annuity and Life Company and Athene Annuity Re II Ltd. for net proceeds of $21,550, of which the Company's 50% share was $10,775. Land2Gas LLC is obligated to return the purchase price and reimburse any taxes, interest, and penalties if the credits are disallowed or recaptured.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an unaffiliated third party (together, the "Guarantors") each guarantee 50% of these obligations and have entered into a cross-indemnification agreement allocating losses attributable to each party's respective causation. The guarantees include credit support provisions whereby, upon specified credit-related events — including either Guarantor's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73685"/>
                <wp:effectExtent l="0" t="0" r="0" b="0"/>
                <wp:wrapNone/>
                <wp:docPr id="32" name="Frame3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net worth falling below defined thresholds — the applicable Guarantor may be required to provide letters of credit or cash collateral to the buyers.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maximum potential exposure represents its 50% proportionate share of the purchase price repayment and related tax indemnification obligations. The Company evaluated these arrangements under ASC 460 and ASC 450 and determined that no material liability was required to be recognized as of June 30, 2026.</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Direct Contractor Claims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September 2021, an indirect subsidiary of the Company, MD Digester, LLC (“MD”), entered into a fixed-price Engineering, Procurement and Construction Contract (an “EPC Contract”) with VEC Partners, Inc. d/b/a CEI Builders (“CEI”) for the design and construction of a turn-key renewable natural gas production facility using dairy cow manure as feedstock in California’s Central Valley. In December 2021, a second indirect subsidiary of the Company, VS Digester, LLC (“VS”) entered into a nearly identical EPC Contract (collectively, the "EPC Contracts") for the design and construction of a second facility, also in California’s Central Valley. CEI’s performance under both of the EPC Contracts is fully bonded by licensed sureties.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CEI has submitted a series of change order requests seeking to increase the EPC Contract Price by approximately $14,000, per project, primarily due to: (1) modifications to CEI’s design drawings which are required to meet its contracted performance guaranties, and (2) a default by one of CEI’s major equipment manufacturers. The Company disputes the vast majority of the change order requests.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January 2024, the Company filed a civil lawsuit captioned, MD Digester, LLC. et. al. vs. VEC Partners, Inc. et. al.; with the California Superior Court, County of San Joaquin; Action No. STK- CV-UCC-2024-0000185 and commenced a related arbitration proceeding in order to obtain a formal determination on the claims; American Arbitration Association ("AAA") Case No. 01-24-0000-0775. The Superior Court Action has been stayed, pending the conclusion of the arbitration. In the meantime, the AAA has empaneled three experienced arbitrators and has set the hearing date for the matter, currently scheduled in May 2027.</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EPC Agreement requires that CEI, continue working during the course of the litigation and related arbitration proceedings; however, CEI effectively stopped working. On June 26, 2024, MD issued a Notice of Default and Demand to Cure to CEI. CEI failed to do so, and on July 30, 2024, MD terminated CEI for default. MD notified CEI’s performance bond surety, Atlantic Specialty Insurance Company (Atlantic) of the termination and demanded that it perform under the bond. Atlantic has denied the claim.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Similarly, on July 11, 2024, VS issued a Notice of Default and Demand to Cure, advising CEI of its defaults and giving it an opportunity to cure. CEI failed to do so, and on August 27, 2024, VS terminated CEI for default. VS has notified CEI’s bond surety, also Atlantic, of the second termination and demanded that it perform under the bond. The surety has denied the claim.</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a result of CEI’s default and Atlantic’s denial of the claims, MD and VS have amended their claims in the AAA arbitration to include breach of contract claims against CEI and breach of performance bond claims against Atlantic (who was formally joined into the arbitration on November 20, 2024) in the AAA Arbitration with CEI.</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CEI has since recorded mechanic’s liens against each of the projects for $4,948 (MD) and $1,984 (VS), and recently filed actions with the Stanislaus and San Joaquin County Superior Courts, respectively, to enforce their liens. It is expected that these claims will be stayed and consolidated with the pending arbitration proceeding.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AAA proceeding is scheduled for evidentiary hearing from May 3 through June 7, 2027. Based upon the deposition testimony and the expert reports that were exchanged on February 23, 2026, the Company reasonably believes that it will demonstrate that the terminations were justified and for cause. Issues related to damages, i.e., the cost to complete the projects, are evolving and it is premature to offer an opinion on the strength of this component of the case. </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Subcontractor Lien Claims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above-referenced action and arbitration, several of CEI’s subcontractors have recorded mechanic’s liens against the MD and VS projects for $3,141, which the Company is obligated to defend and indemnify the dairy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73685"/>
                <wp:effectExtent l="0" t="0" r="0" b="0"/>
                <wp:wrapNone/>
                <wp:docPr id="33" name="Frame3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owners from and against. Several of liens were untimely and have been released voluntarily by the claimants, others were released through the recording of release bonds by Company.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NWP Industries, L.P. ("NWP") and Argo Sales ("Argo") claims have been settled and will be dismissed as to MD and VS when the settlement payments have been fully funded.</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Former Development Partner/Construction Manager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2024, the Company filed an action in the Orange County Superior Court (Case No. 30- 2024-01415510-CU-BC-CXC) against its former development partner and construction manager, Sierra Renewable Organics Management, LLC, as well as its principal (Ethan Werner) and affiliated engineering firm (CH Four Biogas) for Breach of Contract, Indemnity, Declaratory Relief, Intentional Misrepresentation and Negligent Misrepresentation relating to the design and development of the Projects. The defendants have recently filed an answer and certain cross claims. Discovery in the case is now underway.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73685"/>
                <wp:effectExtent l="0" t="0" r="0" b="0"/>
                <wp:wrapNone/>
                <wp:docPr id="34" name="Frame3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In this Management's Discussion and Analysis of Financial Condition and Results of Operations section, references to "OPAL," "we," "us," "our," and the "Company" refer to OPAL Fuels Inc. and its consolidated subsidiaries. The following discussion and analysis should be read in conjunction with our unaudited condensed consolidated financial statements as of June 30, 2026 and for the three and six months ended June 30, 2026 and 2025, and the audited consolidated financial statements and notes thereto included in the Company's Annual Report on Form 10-K for the fiscal year ended December 31, 2025, as filed with the SEC on March 16, 2026. In addition to historical information, this discussion and analysis includes certain forward-looking statements which reflect our current expectations. The Company's actual results may materially differ from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Opal Fuels Inc. (the "Company", "Opal", "we", "our" and "us") is a vertically integrated leader in the capture and conversion of biogas into low carbon intensity Renewable Power and RNG. We are also a leader in the marketing and distribution of RNG to heavy duty trucking and other hard to de-carbonize industrial sectors. RNG is chemically identical to the natural gas used for cooking, heating homes and fueling natural gas engines, with one significant difference: RNG is produced by recycling methane emissions created by decaying organic waste as opposed to natural gas which is a fossil fuel pumped from the ground. We have participated in the biogas-to-energy industry for over 20 years.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Biogas is generated by microbes as they break down organic matter in the absence of oxygen, and comprised of non-fossil waste gas, with high concentrations of methane, which is the primary component of RNG and the source for combustion utilized by Renewable Power plants to generate electricity.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Our principal sources of biogas are (i) LFG, which is produced by the decomposition of organic waste at landfills, and (ii) dairy manure, which is processed through anaerobic digesters to produce the biogas.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also design, develop, construct, operate and service Fueling Stations for trucking fleets across the country that use natural gas to displace diesel as their transportation fuel. We have participated in the alternative vehicle fuels industry for over a decade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discussion and analysis of our financial condition and results of operations is based upon our interim unaudited condensed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assumptions that affect the reported amounts of assets and liabilities, revenues, costs and expenses and related disclosure of contingent assets and liabilities at the date of our financial statements. Actual results may differ from these estimates under different assumptions and conditions. </w:t>
      </w:r>
    </w:p>
    <w:p>
      <w:pPr>
        <w:pStyle w:val="TextBody"/>
        <w:bidi w:val="0"/>
        <w:spacing w:lineRule="auto" w:line="288" w:before="200" w:after="200"/>
        <w:jc w:val="both"/>
        <w:rPr/>
      </w:pPr>
      <w:r>
        <w:rPr>
          <w:rFonts w:ascii="Times New Roman;serif" w:hAnsi="Times New Roman;serif"/>
          <w:b w:val="false"/>
          <w:color w:val="000000"/>
          <w:sz w:val="20"/>
        </w:rPr>
        <w:t xml:space="preserve">Critical accounting policies are those that reflect significant judgments of uncertainties and potentially result in materially different results under different assumptions and conditions. For a detailed description of all our accounting policies, see Note </w:t>
      </w:r>
      <w:r>
        <w:rPr>
          <w:rFonts w:ascii="Times New Roman;serif" w:hAnsi="Times New Roman;serif"/>
          <w:b w:val="false"/>
          <w:i/>
          <w:color w:val="000000"/>
          <w:sz w:val="20"/>
        </w:rPr>
        <w:t>1. Summary of Significant Accounting Policies</w:t>
      </w:r>
      <w:r>
        <w:rPr>
          <w:rFonts w:ascii="Times New Roman;serif" w:hAnsi="Times New Roman;serif"/>
          <w:b w:val="false"/>
          <w:color w:val="000000"/>
          <w:sz w:val="20"/>
        </w:rPr>
        <w:t>, to our condensed consolidated financial statements included herein and the section titled “Critical Accounting Policies and Estimates” contained in Part II, Item 7 of our Annual Report on Form 10-K for the year ended December 31, 2025. There have been no material changes to our critical accounting policies since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Key Factors and Trends Influencing our Results of Operations</w:t>
      </w:r>
    </w:p>
    <w:p>
      <w:pPr>
        <w:pStyle w:val="TextBody"/>
        <w:bidi w:val="0"/>
        <w:spacing w:lineRule="auto" w:line="288" w:before="0" w:after="200"/>
        <w:jc w:val="both"/>
        <w:rPr/>
      </w:pPr>
      <w:r>
        <w:rPr>
          <w:rFonts w:ascii="Times New Roman;serif" w:hAnsi="Times New Roman;serif"/>
          <w:b w:val="false"/>
          <w:color w:val="000000"/>
          <w:sz w:val="20"/>
        </w:rPr>
        <w:t>The principal factors affecting our results of operations and financial condition are the markets for RNG, Renewable Power, and associated Environmental Attributes, access to suitable biogas production resources, the regulatory environment of our industry, and the seasonality of demand and pricing for our products. Additional factors and trends affecting our business are discussed in "</w:t>
      </w:r>
      <w:r>
        <w:rPr>
          <w:rFonts w:ascii="Times New Roman;serif" w:hAnsi="Times New Roman;serif"/>
          <w:b w:val="false"/>
          <w:i/>
          <w:color w:val="000000"/>
          <w:sz w:val="20"/>
        </w:rPr>
        <w:t>Risk Factors</w:t>
      </w:r>
      <w:r>
        <w:rPr>
          <w:rFonts w:ascii="Times New Roman;serif" w:hAnsi="Times New Roman;serif"/>
          <w:b w:val="false"/>
          <w:color w:val="000000"/>
          <w:sz w:val="20"/>
        </w:rPr>
        <w:t>" within our Annual Report on Form 10-K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73685"/>
                <wp:effectExtent l="0" t="0" r="0" b="0"/>
                <wp:wrapNone/>
                <wp:docPr id="35" name="Frame3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Market Demand for RNG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RINs in accordance with the mandates established by the Energy Independence and Security Act of 2007. In March 2026, the EPA set RVOs for 2026 through 2027. On the state level, the economics of RNG are enhanced by low-carbon fuel initiatives, particularly well-established programs in California, Washington and Oregon (with several other states also actively considering LCFS initiatives similar to those in California, Washington and Oregon). Federal and state regulatory developments could result in significant future changes to market demand for the RINs and LCFS credits we produce. This would have a corresponding impact to our revenue, net income, and cash flow.</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Transportation, including heavy-duty trucking, generates approximately 30% of overall carbon dioxide and other climate-harming GHG emissions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also exposed to the commodity prices of natural gas and diesel, which serve as alternative fuel for RNG and therefore impact the demand for RNG.</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Renewable Power Markets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also generate revenues from sales of Renewable Power generated by our biogas-to-Renewable Power projects, and associated RECs. RECs exist because of legal and governmental regulatory requirements in Europe and the United States, and a change in law or in governmental policies concerning Renewable Power, LFG, or RECs could affect the market for, and the pricing of, such power and credits.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periodically evaluate opportunities to convert existing Renewable Power projects to RNG production. We have been negotiating with several of our landfill and Renewable Power counterparties to enter into arrangements that would enable the LFG resource to produce RNG. Changes in the price we receive for Renewable Power and associated RECs, together with the revenue opportunities and conversion costs associated with converting our LFG sites to RNG production, could have a significant impact on our future profitability.</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Regulatory landscape</w:t>
      </w:r>
    </w:p>
    <w:p>
      <w:pPr>
        <w:pStyle w:val="TextBody"/>
        <w:bidi w:val="0"/>
        <w:spacing w:lineRule="auto" w:line="288" w:before="0" w:after="200"/>
        <w:jc w:val="both"/>
        <w:rPr/>
      </w:pPr>
      <w:r>
        <w:rPr>
          <w:rFonts w:ascii="Times New Roman;serif" w:hAnsi="Times New Roman;serif"/>
          <w:b w:val="false"/>
          <w:color w:val="000000"/>
          <w:sz w:val="20"/>
        </w:rPr>
        <w:t>We operate in an industry that is subject to and currently benefits from environmental regulations. Government policies can increase demand for our products by providing incentives to purchase RNG and Environmental Attributes. These government policies are modified and in flux constantly and any adverse changes to these policies could have a material effect on the demand for our products. For more information, see our risk factor titled</w:t>
      </w:r>
      <w:r>
        <w:rPr>
          <w:color w:val="000000"/>
        </w:rPr>
        <w:t xml:space="preserve"> </w:t>
      </w:r>
      <w:r>
        <w:rPr>
          <w:rFonts w:ascii="Times New Roman;serif" w:hAnsi="Times New Roman;serif"/>
          <w:b w:val="false"/>
          <w:i/>
          <w:color w:val="000000"/>
          <w:sz w:val="20"/>
        </w:rPr>
        <w:t xml:space="preserve">"The financial performance of our business depends upon tax and other government incentives for the generation of RNG and Renewable Power, any of which could change at any time and such changes may negatively impact our growth strategy." </w:t>
      </w:r>
      <w:r>
        <w:rPr>
          <w:rFonts w:ascii="Times New Roman;serif" w:hAnsi="Times New Roman;serif"/>
          <w:b w:val="false"/>
          <w:color w:val="000000"/>
          <w:sz w:val="20"/>
        </w:rPr>
        <w:t>within our Annual Report on Form 10-K for the year ended December 31, 2025. Government regulations have become increasingly stringent and complying with changes in regulations may result in significant additional operating expenses.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Seasonality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experience seasonality in our results of operations. Sale of RNG may be impacted by higher consumption by some of our customers during summer months. Additionally, the price of RNG is higher during the fall and winter months due to increase in overall demand for natural gas during the winter months. Revenues generated from our renewable electricity projects in the northeast U.S., all of which sell electricity at market prices, are affected by warmer and colder weather, and therefore a portion of our quarterly operating results and cash flows are affected by pricing changes due to regional temperatures. These seasonal variances are managed in part by certain off-take agreements at fixed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Key Components of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revenues from the sale of RNG Fuel, Renewable Power, and associated Environmental Attributes, as well as from the construction, fuel supply, and servicing of Fueling Stations for commercial transportation vehicles using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3685"/>
                <wp:effectExtent l="0" t="0" r="0" b="0"/>
                <wp:wrapNone/>
                <wp:docPr id="36" name="Frame3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natural gas to power their fleets. These revenue sources are presented in our consolidated statements of operations under the following captions:</w:t>
      </w:r>
    </w:p>
    <w:p>
      <w:pPr>
        <w:pStyle w:val="TextBody"/>
        <w:bidi w:val="0"/>
        <w:spacing w:lineRule="auto" w:line="288" w:before="0" w:after="100"/>
        <w:ind w:left="0" w:right="0" w:hanging="360"/>
        <w:jc w:val="both"/>
        <w:rPr/>
      </w:pPr>
      <w:r>
        <w:rPr>
          <w:color w:val="000000"/>
        </w:rPr>
        <w:t>•</w:t>
      </w:r>
      <w:r>
        <w:rPr>
          <w:rFonts w:ascii="Times New Roman;serif" w:hAnsi="Times New Roman;serif"/>
          <w:b/>
          <w:color w:val="000000"/>
          <w:sz w:val="20"/>
        </w:rPr>
        <w:t xml:space="preserve">RNG Fuel. </w:t>
      </w:r>
      <w:r>
        <w:rPr>
          <w:rFonts w:ascii="Times New Roman;serif" w:hAnsi="Times New Roman;serif"/>
          <w:b w:val="false"/>
          <w:color w:val="000000"/>
          <w:sz w:val="20"/>
        </w:rPr>
        <w:t>The RNG Fuel segment includes RNG supply as well as the associated generation and sale of commodity natural gas and environmental credits, and consists of:</w:t>
      </w:r>
    </w:p>
    <w:p>
      <w:pPr>
        <w:pStyle w:val="TextBody"/>
        <w:bidi w:val="0"/>
        <w:spacing w:lineRule="auto" w:line="288" w:before="0" w:after="100"/>
        <w:ind w:left="0" w:right="0" w:hanging="360"/>
        <w:jc w:val="both"/>
        <w:rPr/>
      </w:pPr>
      <w:r>
        <w:rPr>
          <w:color w:val="000000"/>
        </w:rPr>
        <w:t>◦</w:t>
      </w:r>
      <w:r>
        <w:rPr>
          <w:rFonts w:ascii="Times New Roman;serif" w:hAnsi="Times New Roman;serif"/>
          <w:b w:val="false"/>
          <w:color w:val="000000"/>
          <w:sz w:val="20"/>
        </w:rPr>
        <w:t>RNG Production Facilities – the design, development, construction, maintenance and operation of facilities that convert raw biogas into pipeline quality natural gas; and</w:t>
      </w:r>
    </w:p>
    <w:p>
      <w:pPr>
        <w:pStyle w:val="TextBody"/>
        <w:bidi w:val="0"/>
        <w:spacing w:lineRule="auto" w:line="288" w:before="0" w:after="100"/>
        <w:ind w:left="0" w:right="0" w:hanging="360"/>
        <w:jc w:val="both"/>
        <w:rPr/>
      </w:pPr>
      <w:r>
        <w:rPr>
          <w:color w:val="000000"/>
        </w:rPr>
        <w:t>◦</w:t>
      </w:r>
      <w:r>
        <w:rPr>
          <w:rFonts w:ascii="Times New Roman;serif" w:hAnsi="Times New Roman;serif"/>
          <w:b w:val="false"/>
          <w:color w:val="000000"/>
          <w:sz w:val="20"/>
        </w:rPr>
        <w:t xml:space="preserve">Our interests in both operating and construction projects. </w:t>
      </w:r>
    </w:p>
    <w:p>
      <w:pPr>
        <w:pStyle w:val="TextBody"/>
        <w:bidi w:val="0"/>
        <w:spacing w:lineRule="auto" w:line="288" w:before="0" w:after="100"/>
        <w:ind w:left="0" w:right="0" w:hanging="360"/>
        <w:jc w:val="both"/>
        <w:rPr/>
      </w:pPr>
      <w:r>
        <w:rPr>
          <w:color w:val="000000"/>
        </w:rPr>
        <w:t>•</w:t>
      </w:r>
      <w:r>
        <w:rPr>
          <w:rFonts w:ascii="Times New Roman;serif" w:hAnsi="Times New Roman;serif"/>
          <w:b/>
          <w:color w:val="000000"/>
          <w:sz w:val="20"/>
        </w:rPr>
        <w:t xml:space="preserve">Fuel Station Services. </w:t>
      </w:r>
      <w:r>
        <w:rPr>
          <w:rFonts w:ascii="Times New Roman;serif" w:hAnsi="Times New Roman;serif"/>
          <w:b w:val="false"/>
          <w:color w:val="000000"/>
          <w:sz w:val="20"/>
        </w:rPr>
        <w:t>Through the Fuel Station Services segment</w:t>
      </w:r>
      <w:r>
        <w:rPr>
          <w:rFonts w:ascii="Times New Roman;serif" w:hAnsi="Times New Roman;serif"/>
          <w:b/>
          <w:color w:val="000000"/>
          <w:sz w:val="20"/>
        </w:rPr>
        <w:t xml:space="preserve">, </w:t>
      </w:r>
      <w:r>
        <w:rPr>
          <w:rFonts w:ascii="Times New Roman;serif" w:hAnsi="Times New Roman;serif"/>
          <w:b w:val="false"/>
          <w:color w:val="000000"/>
          <w:sz w:val="20"/>
        </w:rPr>
        <w:t>we provide construction and maintenance services to third-party owners of vehicle Fueling Stations and perform fuel dispensing activities including generation and minting of environmental credits. This segment includes:</w:t>
      </w:r>
    </w:p>
    <w:p>
      <w:pPr>
        <w:pStyle w:val="TextBody"/>
        <w:bidi w:val="0"/>
        <w:spacing w:lineRule="auto" w:line="288" w:before="0" w:after="100"/>
        <w:ind w:left="0" w:right="0" w:hanging="360"/>
        <w:jc w:val="both"/>
        <w:rPr/>
      </w:pPr>
      <w:r>
        <w:rPr>
          <w:color w:val="000000"/>
        </w:rPr>
        <w:t>◦</w:t>
      </w:r>
      <w:r>
        <w:rPr>
          <w:rFonts w:ascii="Times New Roman;serif" w:hAnsi="Times New Roman;serif"/>
          <w:b w:val="false"/>
          <w:color w:val="000000"/>
          <w:sz w:val="20"/>
        </w:rPr>
        <w:t xml:space="preserve">Manufacturing division that builds compact fueling systems and defueling systems; </w:t>
      </w:r>
    </w:p>
    <w:p>
      <w:pPr>
        <w:pStyle w:val="TextBody"/>
        <w:bidi w:val="0"/>
        <w:spacing w:lineRule="auto" w:line="288" w:before="0" w:after="100"/>
        <w:ind w:left="0" w:right="0" w:hanging="360"/>
        <w:jc w:val="both"/>
        <w:rPr/>
      </w:pPr>
      <w:r>
        <w:rPr>
          <w:color w:val="000000"/>
        </w:rPr>
        <w:t>◦</w:t>
      </w:r>
      <w:r>
        <w:rPr>
          <w:rFonts w:ascii="Times New Roman;serif" w:hAnsi="Times New Roman;serif"/>
          <w:b w:val="false"/>
          <w:color w:val="000000"/>
          <w:sz w:val="20"/>
        </w:rPr>
        <w:t>Design/Build contracts where the Company serves as general contractor for construction of Fueling Stations, typically structured as Guarantee Maximum Price or fixed priced contracts for customers, generally lasting less than one year;</w:t>
      </w:r>
    </w:p>
    <w:p>
      <w:pPr>
        <w:pStyle w:val="TextBody"/>
        <w:bidi w:val="0"/>
        <w:spacing w:lineRule="auto" w:line="288" w:before="0" w:after="100"/>
        <w:ind w:left="0" w:right="0" w:hanging="360"/>
        <w:jc w:val="both"/>
        <w:rPr/>
      </w:pPr>
      <w:r>
        <w:rPr>
          <w:color w:val="000000"/>
        </w:rPr>
        <w:t>◦</w:t>
      </w:r>
      <w:r>
        <w:rPr>
          <w:rFonts w:ascii="Times New Roman;serif" w:hAnsi="Times New Roman;serif"/>
          <w:b w:val="false"/>
          <w:color w:val="000000"/>
          <w:sz w:val="20"/>
        </w:rPr>
        <w:t xml:space="preserve">Service and maintenance contracts for RNG/CNG Fueling Stations; and </w:t>
      </w:r>
    </w:p>
    <w:p>
      <w:pPr>
        <w:pStyle w:val="TextBody"/>
        <w:bidi w:val="0"/>
        <w:spacing w:lineRule="auto" w:line="288" w:before="0" w:after="100"/>
        <w:ind w:left="0" w:right="0" w:hanging="360"/>
        <w:jc w:val="both"/>
        <w:rPr/>
      </w:pPr>
      <w:r>
        <w:rPr>
          <w:color w:val="000000"/>
        </w:rPr>
        <w:t>◦</w:t>
      </w:r>
      <w:r>
        <w:rPr>
          <w:rFonts w:ascii="Times New Roman;serif" w:hAnsi="Times New Roman;serif"/>
          <w:b w:val="false"/>
          <w:color w:val="000000"/>
          <w:sz w:val="20"/>
        </w:rPr>
        <w:t xml:space="preserve">RNG and CNG Fuel Dispensing Stations - This includes both the dispensing (or sale) of RNG, CNG, and environmental credit generation and monetization. We operate Fueling Stations that dispense both CNG and RNG fuel for vehicles. </w:t>
      </w:r>
    </w:p>
    <w:p>
      <w:pPr>
        <w:pStyle w:val="TextBody"/>
        <w:bidi w:val="0"/>
        <w:spacing w:lineRule="auto" w:line="288" w:before="0" w:after="200"/>
        <w:ind w:left="0" w:right="0" w:hanging="360"/>
        <w:jc w:val="both"/>
        <w:rPr/>
      </w:pPr>
      <w:r>
        <w:rPr>
          <w:color w:val="000000"/>
        </w:rPr>
        <w:t>•</w:t>
      </w:r>
      <w:r>
        <w:rPr>
          <w:rFonts w:ascii="Times New Roman;serif" w:hAnsi="Times New Roman;serif"/>
          <w:b/>
          <w:color w:val="000000"/>
          <w:sz w:val="20"/>
        </w:rPr>
        <w:t xml:space="preserve">Renewable Power Portfolio. </w:t>
      </w:r>
      <w:r>
        <w:rPr>
          <w:rFonts w:ascii="Times New Roman;serif" w:hAnsi="Times New Roman;serif"/>
          <w:b w:val="false"/>
          <w:color w:val="000000"/>
          <w:sz w:val="20"/>
        </w:rPr>
        <w:t xml:space="preserve">The Renewable Power segment generates Renewable Power and associated Environmental Attributes through combustion of biogas from landfills which is then sold to public utilities throughout the United States. Please see </w:t>
      </w:r>
      <w:r>
        <w:rPr>
          <w:rFonts w:ascii="Times New Roman;serif" w:hAnsi="Times New Roman;serif"/>
          <w:b w:val="false"/>
          <w:i/>
          <w:color w:val="000000"/>
          <w:sz w:val="20"/>
        </w:rPr>
        <w:t>Note 7. Reportable Segments and Geographic Information</w:t>
      </w:r>
      <w:r>
        <w:rPr>
          <w:color w:val="000000"/>
        </w:rPr>
        <w:t xml:space="preserve"> </w:t>
      </w:r>
      <w:r>
        <w:rPr>
          <w:rFonts w:ascii="Times New Roman;serif" w:hAnsi="Times New Roman;serif"/>
          <w:b w:val="false"/>
          <w:color w:val="000000"/>
          <w:sz w:val="20"/>
        </w:rPr>
        <w:t>to our condensed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costs of sales associated with each revenue category are as follows:</w:t>
      </w:r>
    </w:p>
    <w:p>
      <w:pPr>
        <w:pStyle w:val="TextBody"/>
        <w:bidi w:val="0"/>
        <w:spacing w:lineRule="auto" w:line="288" w:before="0" w:after="100"/>
        <w:ind w:left="0" w:right="0" w:hanging="360"/>
        <w:jc w:val="both"/>
        <w:rPr/>
      </w:pPr>
      <w:r>
        <w:rPr>
          <w:color w:val="000000"/>
        </w:rPr>
        <w:t>•</w:t>
      </w:r>
      <w:r>
        <w:rPr>
          <w:rFonts w:ascii="Times New Roman;serif" w:hAnsi="Times New Roman;serif"/>
          <w:b/>
          <w:color w:val="000000"/>
          <w:sz w:val="20"/>
        </w:rPr>
        <w:t xml:space="preserve">RNG Fuel. </w:t>
      </w:r>
      <w:r>
        <w:rPr>
          <w:rFonts w:ascii="Times New Roman;serif" w:hAnsi="Times New Roman;serif"/>
          <w:b w:val="false"/>
          <w:color w:val="000000"/>
          <w:sz w:val="20"/>
        </w:rPr>
        <w:t>Includes royalty payments to biogas site owners for the biogas we use; service provider costs; salaries and other indirect expenses related to the production process, utilities, transportation, storage, and insurance; and depreciation of production facilities.</w:t>
      </w:r>
    </w:p>
    <w:p>
      <w:pPr>
        <w:pStyle w:val="TextBody"/>
        <w:bidi w:val="0"/>
        <w:spacing w:lineRule="auto" w:line="288" w:before="0" w:after="100"/>
        <w:ind w:left="0" w:right="0" w:hanging="360"/>
        <w:jc w:val="both"/>
        <w:rPr/>
      </w:pPr>
      <w:r>
        <w:rPr>
          <w:color w:val="000000"/>
        </w:rPr>
        <w:t>•</w:t>
      </w:r>
      <w:r>
        <w:rPr>
          <w:rFonts w:ascii="Times New Roman;serif" w:hAnsi="Times New Roman;serif"/>
          <w:b/>
          <w:color w:val="000000"/>
          <w:sz w:val="20"/>
        </w:rPr>
        <w:t>Fuel Station Services.</w:t>
      </w:r>
      <w:r>
        <w:rPr>
          <w:color w:val="000000"/>
        </w:rPr>
        <w:t xml:space="preserve"> </w:t>
      </w:r>
      <w:r>
        <w:rPr>
          <w:rFonts w:ascii="Times New Roman;serif" w:hAnsi="Times New Roman;serif"/>
          <w:b w:val="false"/>
          <w:color w:val="000000"/>
          <w:sz w:val="20"/>
        </w:rPr>
        <w:t>Includes equipment supplier costs; service provider costs; and salaries and other indirect expenses.</w:t>
      </w:r>
    </w:p>
    <w:p>
      <w:pPr>
        <w:pStyle w:val="TextBody"/>
        <w:bidi w:val="0"/>
        <w:spacing w:lineRule="auto" w:line="288" w:before="0" w:after="200"/>
        <w:ind w:left="0" w:right="0" w:hanging="360"/>
        <w:jc w:val="both"/>
        <w:rPr/>
      </w:pPr>
      <w:r>
        <w:rPr>
          <w:color w:val="000000"/>
        </w:rPr>
        <w:t>•</w:t>
      </w:r>
      <w:r>
        <w:rPr>
          <w:rFonts w:ascii="Times New Roman;serif" w:hAnsi="Times New Roman;serif"/>
          <w:b/>
          <w:color w:val="000000"/>
          <w:sz w:val="20"/>
        </w:rPr>
        <w:t xml:space="preserve">Renewable Power. </w:t>
      </w:r>
      <w:r>
        <w:rPr>
          <w:rFonts w:ascii="Times New Roman;serif" w:hAnsi="Times New Roman;serif"/>
          <w:b w:val="false"/>
          <w:color w:val="000000"/>
          <w:sz w:val="20"/>
        </w:rPr>
        <w:t>Includes land usage costs; service provider costs; salaries and other indirect expenses related to the production process; utilities; and depreciation of production facilities.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Project development and startup costs includes certain development costs such as legal fees, consulting fees for joint venture structuring, royalties to the landfill owner, fines, settlements, site lease expenses and certification costs on our RNG projects under construction. Additionally, we also incur certain expenses on new RNG projects during the first two years that such projects are operational, such as virtual pipeline costs (incurred until a physical interconnect pipeline is built) and ramp up costs incurred during the certification period.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consists of costs involving corporate overhead functions, including the cost of services provided to us by an affiliate, and marketing costs.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Concentration of customers and associated credit risk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percentage of consolidated accounts receivable, net by customers that equal or exceed 10% of the consolidated accounts receivable, net as of June 30, 2026 and December 31, 2025. No other single customer accounted for 10% or greater of our consolidated accounts receivables in these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685"/>
                <wp:effectExtent l="0" t="0" r="0" b="0"/>
                <wp:wrapNone/>
                <wp:docPr id="37" name="Frame3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200"/>
        <w:jc w:val="left"/>
        <w:rPr/>
      </w:pPr>
      <w:r>
        <w:rPr/>
      </w:r>
    </w:p>
    <w:p>
      <w:pPr>
        <w:pStyle w:val="TextBody"/>
        <w:bidi w:val="0"/>
        <w:spacing w:before="0" w:after="200"/>
        <w:jc w:val="left"/>
        <w:rPr/>
      </w:pPr>
      <w:r>
        <w:rPr/>
      </w:r>
    </w:p>
    <w:tbl>
      <w:tblPr>
        <w:tblW w:w="4334" w:type="dxa"/>
        <w:jc w:val="center"/>
        <w:tblInd w:w="0" w:type="dxa"/>
        <w:tblLayout w:type="fixed"/>
        <w:tblCellMar>
          <w:top w:w="28" w:type="dxa"/>
          <w:left w:w="28" w:type="dxa"/>
          <w:bottom w:w="28" w:type="dxa"/>
          <w:right w:w="28" w:type="dxa"/>
        </w:tblCellMar>
      </w:tblPr>
      <w:tblGrid>
        <w:gridCol w:w="467"/>
        <w:gridCol w:w="411"/>
        <w:gridCol w:w="412"/>
        <w:gridCol w:w="282"/>
        <w:gridCol w:w="282"/>
        <w:gridCol w:w="711"/>
        <w:gridCol w:w="360"/>
        <w:gridCol w:w="360"/>
        <w:gridCol w:w="1049"/>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5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Relates to sales of Environmental Attributes under Purchase and Sale agreements and Renewable Power sale agreements.</w:t>
      </w:r>
    </w:p>
    <w:p>
      <w:pPr>
        <w:pStyle w:val="TextBody"/>
        <w:bidi w:val="0"/>
        <w:spacing w:lineRule="auto" w:line="288" w:before="0" w:after="20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*Less than 10%</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percentage of consolidated revenues from customers that equal 10% or greater of the consolidated revenues in the period. No other single customer accounted for more than 10% of consolidated revenues in these periods:</w:t>
      </w:r>
    </w:p>
    <w:tbl>
      <w:tblPr>
        <w:tblW w:w="6240" w:type="dxa"/>
        <w:jc w:val="center"/>
        <w:tblInd w:w="0" w:type="dxa"/>
        <w:tblLayout w:type="fixed"/>
        <w:tblCellMar>
          <w:top w:w="28" w:type="dxa"/>
          <w:left w:w="28" w:type="dxa"/>
          <w:bottom w:w="28" w:type="dxa"/>
          <w:right w:w="28" w:type="dxa"/>
        </w:tblCellMar>
      </w:tblPr>
      <w:tblGrid>
        <w:gridCol w:w="391"/>
        <w:gridCol w:w="344"/>
        <w:gridCol w:w="345"/>
        <w:gridCol w:w="292"/>
        <w:gridCol w:w="292"/>
        <w:gridCol w:w="727"/>
        <w:gridCol w:w="292"/>
        <w:gridCol w:w="292"/>
        <w:gridCol w:w="727"/>
        <w:gridCol w:w="109"/>
        <w:gridCol w:w="259"/>
        <w:gridCol w:w="259"/>
        <w:gridCol w:w="643"/>
        <w:gridCol w:w="259"/>
        <w:gridCol w:w="259"/>
        <w:gridCol w:w="750"/>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4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5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*Less than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Results of operations for the three and six months ended June 30, 2026 and 2025:</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Operational data</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operational data achieved for the three and six months ended June 30, 2026 and 2025:</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Landfill RNG Facility Capacity and Utilization Summary</w:t>
      </w:r>
    </w:p>
    <w:tbl>
      <w:tblPr>
        <w:tblW w:w="9236" w:type="dxa"/>
        <w:jc w:val="center"/>
        <w:tblInd w:w="0" w:type="dxa"/>
        <w:tblLayout w:type="fixed"/>
        <w:tblCellMar>
          <w:top w:w="28" w:type="dxa"/>
          <w:left w:w="28" w:type="dxa"/>
          <w:bottom w:w="28" w:type="dxa"/>
          <w:right w:w="28" w:type="dxa"/>
        </w:tblCellMar>
      </w:tblPr>
      <w:tblGrid>
        <w:gridCol w:w="1517"/>
        <w:gridCol w:w="1330"/>
        <w:gridCol w:w="1338"/>
        <w:gridCol w:w="292"/>
        <w:gridCol w:w="292"/>
        <w:gridCol w:w="727"/>
        <w:gridCol w:w="292"/>
        <w:gridCol w:w="292"/>
        <w:gridCol w:w="727"/>
        <w:gridCol w:w="259"/>
        <w:gridCol w:w="259"/>
        <w:gridCol w:w="643"/>
        <w:gridCol w:w="259"/>
        <w:gridCol w:w="259"/>
        <w:gridCol w:w="750"/>
      </w:tblGrid>
      <w:tr>
        <w:trPr/>
        <w:tc>
          <w:tcPr>
            <w:tcW w:w="151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42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Design Capacity (Million MMBtus) </w:t>
            </w:r>
            <w:r>
              <w:rPr>
                <w:rFonts w:ascii="Times New Roman;serif" w:hAnsi="Times New Roman;serif"/>
                <w:b w:val="false"/>
                <w:color w:val="000000"/>
                <w:sz w:val="13"/>
              </w:rPr>
              <w:t>(1)</w:t>
            </w:r>
          </w:p>
        </w:tc>
        <w:tc>
          <w:tcPr>
            <w:tcW w:w="13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3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2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Volume of Inlet Gas (Million MMBtus) </w:t>
            </w:r>
            <w:r>
              <w:rPr>
                <w:rFonts w:ascii="Times New Roman;serif" w:hAnsi="Times New Roman;serif"/>
                <w:b w:val="false"/>
                <w:color w:val="000000"/>
                <w:sz w:val="13"/>
              </w:rPr>
              <w:t>(2)</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Inlet Design Capacity Utilization % </w:t>
            </w:r>
            <w:r>
              <w:rPr>
                <w:rFonts w:ascii="Times New Roman;serif" w:hAnsi="Times New Roman;serif"/>
                <w:b w:val="false"/>
                <w:color w:val="000000"/>
                <w:sz w:val="13"/>
              </w:rPr>
              <w:t>(2)</w:t>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RNG Fuel volume produced (Million MMBtus) </w:t>
            </w:r>
            <w:r>
              <w:rPr>
                <w:rFonts w:ascii="Times New Roman;serif" w:hAnsi="Times New Roman;serif"/>
                <w:b w:val="false"/>
                <w:color w:val="000000"/>
                <w:sz w:val="13"/>
              </w:rPr>
              <w:t>(3)</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Utilization of Inlet Gas % </w:t>
            </w:r>
            <w:r>
              <w:rPr>
                <w:rFonts w:ascii="Times New Roman;serif" w:hAnsi="Times New Roman;serif"/>
                <w:b w:val="false"/>
                <w:color w:val="000000"/>
                <w:sz w:val="13"/>
              </w:rPr>
              <w:t>(4)</w:t>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60"/>
        <w:ind w:left="0" w:right="0" w:hanging="18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Design Capacity for RNG facilities is measured as the volume of feedstock biogas that the facility is capable of accepting at the inlet and processing during the associated period. Design Capacity is presented as our ownership share (i.e., net of joint venture partners’ ownership) of the facility and is calculated based on the number of days in the period. New facilities that come online during a quarter are pro-rated for the number of days in commercial operation.</w:t>
      </w:r>
    </w:p>
    <w:p>
      <w:pPr>
        <w:pStyle w:val="TextBody"/>
        <w:bidi w:val="0"/>
        <w:spacing w:lineRule="auto" w:line="288" w:before="0" w:after="60"/>
        <w:ind w:left="0" w:right="0" w:hanging="18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LFG collection system used to recover the LFG. The Design Capacity for each facility will typically be correlated to the amount of LFG expected to be generated by the landfill during the term of the related gas rights agreement. We expect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 Excludes Sunoma and Biotown.</w:t>
      </w:r>
    </w:p>
    <w:p>
      <w:pPr>
        <w:pStyle w:val="TextBody"/>
        <w:bidi w:val="0"/>
        <w:spacing w:lineRule="auto" w:line="288" w:before="0" w:after="60"/>
        <w:ind w:left="0" w:right="0" w:hanging="18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Excludes Sunoma and Biotown</w:t>
      </w:r>
    </w:p>
    <w:p>
      <w:pPr>
        <w:pStyle w:val="TextBody"/>
        <w:bidi w:val="0"/>
        <w:spacing w:lineRule="auto" w:line="288" w:before="0" w:after="200"/>
        <w:ind w:left="0" w:right="0" w:hanging="180"/>
        <w:jc w:val="both"/>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Utilization of Inlet Gas is measured as RNG Fuel Volume Produced divided by the Volume of Inlet Gas. Utilization of Inlet Gas varies over time depending on availability and efficiency of the facility and the quality of LFG (i.e., concentrations of methane, oxygen, nitrogen, and other gases). We generally expect Utilization of Inlet Gas to be in the range of 80% to 90%. Excludes Sunoma and Biotown.</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Renewable Power Capacity and Utilization Summary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685"/>
                <wp:effectExtent l="0" t="0" r="0" b="0"/>
                <wp:wrapNone/>
                <wp:docPr id="38" name="Frame3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200"/>
        <w:jc w:val="left"/>
        <w:rPr/>
      </w:pPr>
      <w:r>
        <w:rPr/>
      </w:r>
    </w:p>
    <w:p>
      <w:pPr>
        <w:pStyle w:val="TextBody"/>
        <w:bidi w:val="0"/>
        <w:spacing w:before="0" w:after="200"/>
        <w:jc w:val="left"/>
        <w:rPr/>
      </w:pPr>
      <w:r>
        <w:rPr/>
      </w:r>
    </w:p>
    <w:tbl>
      <w:tblPr>
        <w:tblW w:w="9565" w:type="dxa"/>
        <w:jc w:val="center"/>
        <w:tblInd w:w="0" w:type="dxa"/>
        <w:tblLayout w:type="fixed"/>
        <w:tblCellMar>
          <w:top w:w="28" w:type="dxa"/>
          <w:left w:w="28" w:type="dxa"/>
          <w:bottom w:w="28" w:type="dxa"/>
          <w:right w:w="28" w:type="dxa"/>
        </w:tblCellMar>
      </w:tblPr>
      <w:tblGrid>
        <w:gridCol w:w="1635"/>
        <w:gridCol w:w="1435"/>
        <w:gridCol w:w="1444"/>
        <w:gridCol w:w="292"/>
        <w:gridCol w:w="292"/>
        <w:gridCol w:w="727"/>
        <w:gridCol w:w="292"/>
        <w:gridCol w:w="292"/>
        <w:gridCol w:w="727"/>
        <w:gridCol w:w="259"/>
        <w:gridCol w:w="259"/>
        <w:gridCol w:w="643"/>
        <w:gridCol w:w="259"/>
        <w:gridCol w:w="259"/>
        <w:gridCol w:w="750"/>
      </w:tblGrid>
      <w:tr>
        <w:trPr/>
        <w:tc>
          <w:tcPr>
            <w:tcW w:w="163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4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Nameplate Capacity (MW per hour)</w:t>
            </w:r>
            <w:r>
              <w:rPr>
                <w:rFonts w:ascii="Times New Roman;serif" w:hAnsi="Times New Roman;serif"/>
                <w:b w:val="false"/>
                <w:color w:val="000000"/>
                <w:sz w:val="13"/>
              </w:rPr>
              <w:t>(1)</w:t>
            </w:r>
          </w:p>
        </w:tc>
        <w:tc>
          <w:tcPr>
            <w:tcW w:w="13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13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w:t>
            </w:r>
          </w:p>
        </w:tc>
        <w:tc>
          <w:tcPr>
            <w:tcW w:w="11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12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Nameplate Capacity for the period (Millions MWh)</w:t>
            </w:r>
            <w:r>
              <w:rPr>
                <w:color w:val="000000"/>
              </w:rPr>
              <w:t xml:space="preserve"> </w:t>
            </w:r>
            <w:r>
              <w:rPr>
                <w:rFonts w:ascii="Times New Roman;serif" w:hAnsi="Times New Roman;serif"/>
                <w:b w:val="false"/>
                <w:color w:val="000000"/>
                <w:sz w:val="13"/>
              </w:rPr>
              <w:t>(1)</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Renewable Power produced (Millions MWh)</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Design Capacity Utilization (%) </w:t>
            </w:r>
            <w:r>
              <w:rPr>
                <w:rFonts w:ascii="Times New Roman;serif" w:hAnsi="Times New Roman;serif"/>
                <w:b w:val="false"/>
                <w:color w:val="000000"/>
                <w:sz w:val="13"/>
              </w:rPr>
              <w:t>(2)</w:t>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60"/>
        <w:ind w:left="0" w:right="0" w:hanging="18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Nameplate Capacity for Renewable Power facilities is the manufacturer’s expected capacity at International Organization for Standardization conditions for each facility and may not reflect actual production from the projects, which depends on many variables including, but not limited to, (i) quantity and quality of the biogas, (ii) operational up-time of the facility, including dispatch and maintenance downtime and (iii) actual efficiency of the facility.</w:t>
      </w:r>
    </w:p>
    <w:p>
      <w:pPr>
        <w:pStyle w:val="TextBody"/>
        <w:bidi w:val="0"/>
        <w:spacing w:lineRule="auto" w:line="288" w:before="0" w:after="200"/>
        <w:ind w:left="0" w:right="0" w:hanging="18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Nameplate Capacity Utilization for Renewable Power facilities is measured as Renewable Power Produced divided by Design Capacity for the period. Given (i) built-in un-utilized capacity from historical designs, (ii) availability (a function of higher maintenance requirements compared to RNG facilities) and (iii) commencement of operations of the Emerald RNG facility, which will result in low levels of dispatch for the Arbor Hills facility (which will operate on a standby basis but remain in the operating portfolio), our Design Capacity Utilization is expected to remain below 50%.</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RNG Projects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Below is a table setting forth the RNG projects in operation and construction in our portfolio as of June 30, 2026:</w:t>
      </w:r>
    </w:p>
    <w:tbl>
      <w:tblPr>
        <w:tblW w:w="10123" w:type="dxa"/>
        <w:jc w:val="left"/>
        <w:tblInd w:w="0" w:type="dxa"/>
        <w:tblLayout w:type="fixed"/>
        <w:tblCellMar>
          <w:top w:w="28" w:type="dxa"/>
          <w:left w:w="28" w:type="dxa"/>
          <w:bottom w:w="28" w:type="dxa"/>
          <w:right w:w="28" w:type="dxa"/>
        </w:tblCellMar>
      </w:tblPr>
      <w:tblGrid>
        <w:gridCol w:w="972"/>
        <w:gridCol w:w="853"/>
        <w:gridCol w:w="859"/>
        <w:gridCol w:w="1598"/>
        <w:gridCol w:w="1598"/>
        <w:gridCol w:w="1604"/>
        <w:gridCol w:w="509"/>
        <w:gridCol w:w="509"/>
        <w:gridCol w:w="511"/>
        <w:gridCol w:w="325"/>
        <w:gridCol w:w="325"/>
        <w:gridCol w:w="460"/>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OPAL's Share of Design Capacity (MMbtus per year) </w:t>
            </w:r>
            <w:r>
              <w:rPr>
                <w:rFonts w:ascii="Times New Roman;serif" w:hAnsi="Times New Roman;serif"/>
                <w:b/>
                <w:color w:val="000000"/>
                <w:sz w:val="13"/>
              </w:rPr>
              <w:t>(1)</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Source of Biogas</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Ownership </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RNG Projects in Operation:</w:t>
            </w:r>
          </w:p>
        </w:tc>
        <w:tc>
          <w:tcPr>
            <w:tcW w:w="4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Greentree</w:t>
            </w:r>
          </w:p>
        </w:tc>
        <w:tc>
          <w:tcPr>
            <w:tcW w:w="3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1,061,712 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Imperial</w:t>
            </w:r>
          </w:p>
        </w:tc>
        <w:tc>
          <w:tcPr>
            <w:tcW w:w="3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1,061,712 </w:t>
            </w:r>
          </w:p>
        </w:tc>
        <w:tc>
          <w:tcPr>
            <w:tcW w:w="1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Emerald</w:t>
            </w:r>
            <w:r>
              <w:rPr>
                <w:color w:val="000000"/>
              </w:rPr>
              <w:t xml:space="preserve"> </w:t>
            </w:r>
            <w:r>
              <w:rPr>
                <w:rFonts w:ascii="Times New Roman;serif" w:hAnsi="Times New Roman;serif"/>
                <w:b w:val="false"/>
                <w:color w:val="000000"/>
                <w:sz w:val="13"/>
              </w:rPr>
              <w:t>(2)</w:t>
            </w:r>
          </w:p>
        </w:tc>
        <w:tc>
          <w:tcPr>
            <w:tcW w:w="3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1,327,140 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Sapphire</w:t>
            </w:r>
            <w:r>
              <w:rPr>
                <w:color w:val="000000"/>
              </w:rPr>
              <w:t xml:space="preserve"> </w:t>
            </w:r>
            <w:r>
              <w:rPr>
                <w:rFonts w:ascii="Times New Roman;serif" w:hAnsi="Times New Roman;serif"/>
                <w:b w:val="false"/>
                <w:color w:val="000000"/>
                <w:sz w:val="13"/>
              </w:rPr>
              <w:t>(2)</w:t>
            </w:r>
          </w:p>
        </w:tc>
        <w:tc>
          <w:tcPr>
            <w:tcW w:w="3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796,284 </w:t>
            </w:r>
          </w:p>
        </w:tc>
        <w:tc>
          <w:tcPr>
            <w:tcW w:w="1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River</w:t>
            </w:r>
          </w:p>
        </w:tc>
        <w:tc>
          <w:tcPr>
            <w:tcW w:w="3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663,570 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Noble Road </w:t>
            </w:r>
            <w:r>
              <w:rPr>
                <w:rFonts w:ascii="Times New Roman;serif" w:hAnsi="Times New Roman;serif"/>
                <w:b w:val="false"/>
                <w:color w:val="000000"/>
                <w:sz w:val="13"/>
              </w:rPr>
              <w:t>(2)</w:t>
            </w:r>
          </w:p>
        </w:tc>
        <w:tc>
          <w:tcPr>
            <w:tcW w:w="3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464,499 </w:t>
            </w:r>
          </w:p>
        </w:tc>
        <w:tc>
          <w:tcPr>
            <w:tcW w:w="1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Pine Bend </w:t>
            </w:r>
            <w:r>
              <w:rPr>
                <w:rFonts w:ascii="Times New Roman;serif" w:hAnsi="Times New Roman;serif"/>
                <w:b w:val="false"/>
                <w:color w:val="000000"/>
                <w:sz w:val="13"/>
              </w:rPr>
              <w:t>(2)</w:t>
            </w:r>
          </w:p>
        </w:tc>
        <w:tc>
          <w:tcPr>
            <w:tcW w:w="3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424,685 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Biotown </w:t>
            </w:r>
            <w:r>
              <w:rPr>
                <w:rFonts w:ascii="Times New Roman;serif" w:hAnsi="Times New Roman;serif"/>
                <w:b w:val="false"/>
                <w:color w:val="000000"/>
                <w:sz w:val="13"/>
              </w:rPr>
              <w:t>(2)</w:t>
            </w:r>
          </w:p>
        </w:tc>
        <w:tc>
          <w:tcPr>
            <w:tcW w:w="3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41,274 </w:t>
            </w:r>
          </w:p>
        </w:tc>
        <w:tc>
          <w:tcPr>
            <w:tcW w:w="1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Dairy</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Sunoma </w:t>
            </w:r>
            <w:r>
              <w:rPr>
                <w:rFonts w:ascii="Times New Roman;serif" w:hAnsi="Times New Roman;serif"/>
                <w:b w:val="false"/>
                <w:color w:val="000000"/>
                <w:sz w:val="13"/>
              </w:rPr>
              <w:t>(3)</w:t>
            </w:r>
          </w:p>
        </w:tc>
        <w:tc>
          <w:tcPr>
            <w:tcW w:w="3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176,297 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Dairy</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Prince William</w:t>
            </w:r>
          </w:p>
        </w:tc>
        <w:tc>
          <w:tcPr>
            <w:tcW w:w="3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1,725,282 </w:t>
            </w:r>
          </w:p>
        </w:tc>
        <w:tc>
          <w:tcPr>
            <w:tcW w:w="1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Polk County</w:t>
            </w:r>
          </w:p>
        </w:tc>
        <w:tc>
          <w:tcPr>
            <w:tcW w:w="3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1,061,712 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Atlantic </w:t>
            </w:r>
            <w:r>
              <w:rPr>
                <w:rFonts w:ascii="Times New Roman;serif" w:hAnsi="Times New Roman;serif"/>
                <w:b w:val="false"/>
                <w:color w:val="000000"/>
                <w:sz w:val="13"/>
              </w:rPr>
              <w:t>(2)</w:t>
            </w:r>
          </w:p>
        </w:tc>
        <w:tc>
          <w:tcPr>
            <w:tcW w:w="3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331,785 </w:t>
            </w:r>
          </w:p>
        </w:tc>
        <w:tc>
          <w:tcPr>
            <w:tcW w:w="1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9,135,952 </w:t>
            </w:r>
          </w:p>
        </w:tc>
        <w:tc>
          <w:tcPr>
            <w:tcW w:w="16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RNG Projects in Construction:</w:t>
            </w:r>
          </w:p>
        </w:tc>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Hilltop</w:t>
            </w:r>
            <w:r>
              <w:rPr>
                <w:color w:val="000000"/>
              </w:rPr>
              <w:t xml:space="preserve"> </w:t>
            </w:r>
            <w:r>
              <w:rPr>
                <w:rFonts w:ascii="Times New Roman;serif" w:hAnsi="Times New Roman;serif"/>
                <w:b w:val="false"/>
                <w:color w:val="000000"/>
                <w:sz w:val="13"/>
              </w:rPr>
              <w:t>(4)</w:t>
            </w:r>
          </w:p>
        </w:tc>
        <w:tc>
          <w:tcPr>
            <w:tcW w:w="3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255,500 </w:t>
            </w:r>
          </w:p>
        </w:tc>
        <w:tc>
          <w:tcPr>
            <w:tcW w:w="1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Dairy</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Vander Schaaf </w:t>
            </w:r>
            <w:r>
              <w:rPr>
                <w:rFonts w:ascii="Times New Roman;serif" w:hAnsi="Times New Roman;serif"/>
                <w:b w:val="false"/>
                <w:color w:val="000000"/>
                <w:sz w:val="13"/>
              </w:rPr>
              <w:t>(4)</w:t>
            </w:r>
          </w:p>
        </w:tc>
        <w:tc>
          <w:tcPr>
            <w:tcW w:w="3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255,500 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Dairy</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Burlington </w:t>
            </w:r>
            <w:r>
              <w:rPr>
                <w:rFonts w:ascii="Times New Roman;serif" w:hAnsi="Times New Roman;serif"/>
                <w:b w:val="false"/>
                <w:color w:val="000000"/>
                <w:sz w:val="13"/>
              </w:rPr>
              <w:t>(2)</w:t>
            </w:r>
          </w:p>
        </w:tc>
        <w:tc>
          <w:tcPr>
            <w:tcW w:w="3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459,900 </w:t>
            </w:r>
          </w:p>
        </w:tc>
        <w:tc>
          <w:tcPr>
            <w:tcW w:w="1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Cottonwood</w:t>
            </w:r>
          </w:p>
        </w:tc>
        <w:tc>
          <w:tcPr>
            <w:tcW w:w="3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664,884 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Kirby Canyon</w:t>
            </w:r>
          </w:p>
        </w:tc>
        <w:tc>
          <w:tcPr>
            <w:tcW w:w="3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663,570 </w:t>
            </w:r>
          </w:p>
        </w:tc>
        <w:tc>
          <w:tcPr>
            <w:tcW w:w="1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Grady Road</w:t>
            </w:r>
          </w:p>
        </w:tc>
        <w:tc>
          <w:tcPr>
            <w:tcW w:w="3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530,000 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Stones Throw</w:t>
            </w:r>
          </w:p>
        </w:tc>
        <w:tc>
          <w:tcPr>
            <w:tcW w:w="3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390,000 </w:t>
            </w:r>
          </w:p>
        </w:tc>
        <w:tc>
          <w:tcPr>
            <w:tcW w:w="1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CMS</w:t>
            </w:r>
          </w:p>
        </w:tc>
        <w:tc>
          <w:tcPr>
            <w:tcW w:w="3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1,010,000 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4,229,354 </w:t>
            </w:r>
          </w:p>
        </w:tc>
        <w:tc>
          <w:tcPr>
            <w:tcW w:w="16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9" name="Frame3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2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Reflects the Company’s ownership share of design capacity for projects that are not 100% owned by the Company (i.e., net of joint venture partners’ ownership). Design capacity is measured as the volume of feedstock biogas that the plant is capable of accepting at the inlet and processing and may not reflect actual production of RNG from the projects, which will depend on many variables including, but not limited to, (i) quantity and quality of the biogas, (ii) operational up-time of the facility and (iii) actual efficiency of the facility.</w:t>
      </w:r>
    </w:p>
    <w:p>
      <w:pPr>
        <w:pStyle w:val="TextBody"/>
        <w:bidi w:val="0"/>
        <w:spacing w:lineRule="auto" w:line="288" w:before="0" w:after="20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We record our ownership interests in these projects as equity method investments in our consolidated financial statements.</w:t>
      </w:r>
    </w:p>
    <w:p>
      <w:pPr>
        <w:pStyle w:val="TextBody"/>
        <w:bidi w:val="0"/>
        <w:spacing w:lineRule="auto" w:line="288" w:before="0" w:after="20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This project has provisions that will adjust or “flip” the percentage of distributions to be made to us over time, typically triggered by achievement of hurdle rates that are calculated as internal rates of return on capital invested in the project.</w:t>
      </w:r>
    </w:p>
    <w:p>
      <w:pPr>
        <w:pStyle w:val="TextBody"/>
        <w:bidi w:val="0"/>
        <w:spacing w:lineRule="auto" w:line="288" w:before="0" w:after="200"/>
        <w:jc w:val="both"/>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Please see Part II, Item 1: Legal Proceedings and</w:t>
      </w:r>
      <w:r>
        <w:rPr>
          <w:color w:val="000000"/>
        </w:rPr>
        <w:t xml:space="preserve"> </w:t>
      </w:r>
      <w:r>
        <w:rPr>
          <w:rFonts w:ascii="Times New Roman;serif" w:hAnsi="Times New Roman;serif"/>
          <w:b w:val="false"/>
          <w:i/>
          <w:color w:val="000000"/>
          <w:sz w:val="20"/>
        </w:rPr>
        <w:t xml:space="preserve">Note 12. Commitments and Contingencies. </w:t>
      </w:r>
    </w:p>
    <w:p>
      <w:pPr>
        <w:pStyle w:val="TextBody"/>
        <w:bidi w:val="0"/>
        <w:spacing w:lineRule="auto" w:line="288" w:before="0" w:after="200"/>
        <w:jc w:val="both"/>
        <w:rPr/>
      </w:pPr>
      <w:r>
        <w:rPr>
          <w:rFonts w:ascii="Times New Roman;serif" w:hAnsi="Times New Roman;serif"/>
          <w:b w:val="false"/>
          <w:color w:val="000000"/>
          <w:sz w:val="13"/>
          <w:shd w:fill="FFFFFF" w:val="clear"/>
        </w:rPr>
        <w:t>(5)</w:t>
      </w:r>
      <w:r>
        <w:rPr>
          <w:color w:val="000000"/>
          <w:shd w:fill="FFFFFF" w:val="clear"/>
        </w:rPr>
        <w:t xml:space="preserve"> </w:t>
      </w:r>
      <w:r>
        <w:rPr>
          <w:rFonts w:ascii="Times New Roman;serif" w:hAnsi="Times New Roman;serif"/>
          <w:b w:val="false"/>
          <w:color w:val="000000"/>
          <w:sz w:val="20"/>
        </w:rPr>
        <w:t xml:space="preserve">The construction of the Cottonwood, Burlington and Kirby Canyon projects began in the second, third and fourth quarters of 2024, respectively. </w:t>
      </w:r>
    </w:p>
    <w:p>
      <w:pPr>
        <w:pStyle w:val="TextBody"/>
        <w:bidi w:val="0"/>
        <w:spacing w:lineRule="auto" w:line="288" w:before="0" w:after="200"/>
        <w:jc w:val="both"/>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Expected Commercial Operation Date (“COD”) for commencement of the RNG projects in construction is based on the Company’s estimate as of the date of this report. CODs are estimates and are subject to change as a result of, among other factors out of the Company’s control: (i) regulatory/permitting approval timing, (ii) disruption in supply chains and (iii) construction timing.</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RNG Fuel Production, Sales, and Delivery</w:t>
      </w:r>
    </w:p>
    <w:tbl>
      <w:tblPr>
        <w:tblW w:w="8697" w:type="dxa"/>
        <w:jc w:val="center"/>
        <w:tblInd w:w="0" w:type="dxa"/>
        <w:tblLayout w:type="fixed"/>
        <w:tblCellMar>
          <w:top w:w="28" w:type="dxa"/>
          <w:left w:w="28" w:type="dxa"/>
          <w:bottom w:w="28" w:type="dxa"/>
          <w:right w:w="28" w:type="dxa"/>
        </w:tblCellMar>
      </w:tblPr>
      <w:tblGrid>
        <w:gridCol w:w="1440"/>
        <w:gridCol w:w="1265"/>
        <w:gridCol w:w="1269"/>
        <w:gridCol w:w="405"/>
        <w:gridCol w:w="405"/>
        <w:gridCol w:w="405"/>
        <w:gridCol w:w="405"/>
        <w:gridCol w:w="405"/>
        <w:gridCol w:w="419"/>
        <w:gridCol w:w="355"/>
        <w:gridCol w:w="355"/>
        <w:gridCol w:w="355"/>
        <w:gridCol w:w="355"/>
        <w:gridCol w:w="355"/>
        <w:gridCol w:w="50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22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RNG Fuel volume produced (Million MMBtus)</w:t>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RNG Fuel volume sold (Million GGEs)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volume delivered (Million GGEs)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685"/>
                <wp:effectExtent l="0" t="0" r="0" b="0"/>
                <wp:wrapNone/>
                <wp:docPr id="40" name="Frame4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Comparison of the three and six months ended June 30, 2026 and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period-over-period change for each line item in our condensed consolidated statements of operations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1196"/>
        <w:gridCol w:w="795"/>
        <w:gridCol w:w="797"/>
        <w:gridCol w:w="207"/>
        <w:gridCol w:w="684"/>
        <w:gridCol w:w="115"/>
        <w:gridCol w:w="207"/>
        <w:gridCol w:w="684"/>
        <w:gridCol w:w="115"/>
        <w:gridCol w:w="196"/>
        <w:gridCol w:w="589"/>
        <w:gridCol w:w="109"/>
        <w:gridCol w:w="224"/>
        <w:gridCol w:w="229"/>
        <w:gridCol w:w="349"/>
        <w:gridCol w:w="201"/>
        <w:gridCol w:w="663"/>
        <w:gridCol w:w="111"/>
        <w:gridCol w:w="201"/>
        <w:gridCol w:w="663"/>
        <w:gridCol w:w="111"/>
        <w:gridCol w:w="196"/>
        <w:gridCol w:w="589"/>
        <w:gridCol w:w="109"/>
        <w:gridCol w:w="225"/>
        <w:gridCol w:w="228"/>
        <w:gridCol w:w="412"/>
      </w:tblGrid>
      <w:tr>
        <w:trPr/>
        <w:tc>
          <w:tcPr>
            <w:tcW w:w="1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89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br/>
              <w:t> Change</w:t>
            </w:r>
          </w:p>
        </w:tc>
        <w:tc>
          <w:tcPr>
            <w:tcW w:w="80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w:t>
              <w:br/>
              <w:t>Change</w:t>
            </w:r>
          </w:p>
        </w:tc>
        <w:tc>
          <w:tcPr>
            <w:tcW w:w="19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89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br/>
              <w:t> Change</w:t>
            </w:r>
          </w:p>
        </w:tc>
        <w:tc>
          <w:tcPr>
            <w:tcW w:w="86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w:t>
              <w:br/>
              <w:t>Change</w:t>
            </w:r>
          </w:p>
        </w:tc>
      </w:tr>
      <w:tr>
        <w:trPr/>
        <w:tc>
          <w:tcPr>
            <w:tcW w:w="27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94" w:type="dxa"/>
            <w:gridSpan w:val="3"/>
            <w:vMerge w:val="continue"/>
            <w:tcBorders/>
            <w:tcMar>
              <w:top w:w="0" w:type="dxa"/>
              <w:left w:w="0" w:type="dxa"/>
              <w:bottom w:w="0" w:type="dxa"/>
              <w:right w:w="0" w:type="dxa"/>
            </w:tcMar>
            <w:vAlign w:val="center"/>
          </w:tcPr>
          <w:p>
            <w:pPr>
              <w:pStyle w:val="Normal"/>
              <w:bidi w:val="0"/>
              <w:jc w:val="left"/>
              <w:rPr/>
            </w:pPr>
            <w:r>
              <w:rPr/>
            </w:r>
          </w:p>
        </w:tc>
        <w:tc>
          <w:tcPr>
            <w:tcW w:w="802" w:type="dxa"/>
            <w:gridSpan w:val="3"/>
            <w:vMerge w:val="continue"/>
            <w:tcBorders/>
            <w:tcMar>
              <w:top w:w="0" w:type="dxa"/>
              <w:left w:w="0" w:type="dxa"/>
              <w:bottom w:w="0" w:type="dxa"/>
              <w:right w:w="0" w:type="dxa"/>
            </w:tcMar>
            <w:vAlign w:val="center"/>
          </w:tcPr>
          <w:p>
            <w:pPr>
              <w:pStyle w:val="Normal"/>
              <w:bidi w:val="0"/>
              <w:jc w:val="left"/>
              <w:rPr/>
            </w:pPr>
            <w:r>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2025</w:t>
            </w:r>
          </w:p>
        </w:tc>
        <w:tc>
          <w:tcPr>
            <w:tcW w:w="894" w:type="dxa"/>
            <w:gridSpan w:val="3"/>
            <w:vMerge w:val="continue"/>
            <w:tcBorders/>
            <w:tcMar>
              <w:top w:w="0" w:type="dxa"/>
              <w:left w:w="0" w:type="dxa"/>
              <w:bottom w:w="0" w:type="dxa"/>
              <w:right w:w="0" w:type="dxa"/>
            </w:tcMar>
            <w:vAlign w:val="center"/>
          </w:tcPr>
          <w:p>
            <w:pPr>
              <w:pStyle w:val="Normal"/>
              <w:bidi w:val="0"/>
              <w:jc w:val="left"/>
              <w:rPr/>
            </w:pPr>
            <w:r>
              <w:rPr/>
            </w:r>
          </w:p>
        </w:tc>
        <w:tc>
          <w:tcPr>
            <w:tcW w:w="86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RNG fuel</w:t>
            </w:r>
          </w:p>
        </w:tc>
        <w:tc>
          <w:tcPr>
            <w:tcW w:w="20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23,821 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25,130 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45,459 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52,729 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412"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Fuel Station Services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53,064 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47,026 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3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97,630 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97,704 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12"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Renewable Power</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412"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83,399 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80,456 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156,774 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165,863 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 RNG fuel</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25,111 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23,567 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412"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 Fuel station services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40,362 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38,731 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75,752 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78,453 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412"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 Renewable power</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412"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Project development and startup costs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412"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14,274 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17,460 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29,458 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33,427 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412"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412"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loss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12"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(income) from equity method investments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(1,962)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412"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86,410 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81,283 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164,628 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168,632 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loss</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(3,011)</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(827)</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(264)</w:t>
            </w:r>
          </w:p>
        </w:tc>
        <w:tc>
          <w:tcPr>
            <w:tcW w:w="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(7,854)</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(2,769)</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4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Other expense</w:t>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financing expense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(8,647)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(6,637)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(15,291)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(13,087)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412"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678 </w:t>
            </w:r>
          </w:p>
        </w:tc>
        <w:tc>
          <w:tcPr>
            <w:tcW w:w="3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412"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412"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before income tax benefit</w:t>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(8,885)</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(6,127)</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(20,187)</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(12,880)</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4,738 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13,686 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10,447 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21,723 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4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(4,147)</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7,559 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(11,706)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(9,740)</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8,843 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(18,583)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redeemable non-controlling interest</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(7,136)</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3,982 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(11,118)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(279)</w:t>
            </w:r>
          </w:p>
        </w:tc>
        <w:tc>
          <w:tcPr>
            <w:tcW w:w="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(19,703)</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2,808 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(22,511)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(802)</w:t>
            </w:r>
          </w:p>
        </w:tc>
        <w:tc>
          <w:tcPr>
            <w:tcW w:w="4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non-redeemable non-controlling interest</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412"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the redeemable preferred non-controlling interest to its redemption amount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4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Class A common stockholders</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(1,501)</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(288)</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(4,143)</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(833)</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685"/>
                <wp:effectExtent l="0" t="0" r="0" b="0"/>
                <wp:wrapNone/>
                <wp:docPr id="41" name="Frame4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Revenues</w:t>
      </w:r>
    </w:p>
    <w:tbl>
      <w:tblPr>
        <w:tblW w:w="9365" w:type="dxa"/>
        <w:jc w:val="center"/>
        <w:tblInd w:w="0" w:type="dxa"/>
        <w:tblLayout w:type="fixed"/>
        <w:tblCellMar>
          <w:top w:w="28" w:type="dxa"/>
          <w:left w:w="28" w:type="dxa"/>
          <w:bottom w:w="28" w:type="dxa"/>
          <w:right w:w="28" w:type="dxa"/>
        </w:tblCellMar>
      </w:tblPr>
      <w:tblGrid>
        <w:gridCol w:w="1248"/>
        <w:gridCol w:w="1096"/>
        <w:gridCol w:w="1105"/>
        <w:gridCol w:w="196"/>
        <w:gridCol w:w="646"/>
        <w:gridCol w:w="109"/>
        <w:gridCol w:w="196"/>
        <w:gridCol w:w="646"/>
        <w:gridCol w:w="109"/>
        <w:gridCol w:w="196"/>
        <w:gridCol w:w="556"/>
        <w:gridCol w:w="109"/>
        <w:gridCol w:w="196"/>
        <w:gridCol w:w="736"/>
        <w:gridCol w:w="109"/>
        <w:gridCol w:w="196"/>
        <w:gridCol w:w="736"/>
        <w:gridCol w:w="109"/>
        <w:gridCol w:w="196"/>
        <w:gridCol w:w="721"/>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1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RNG Fuel</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Environmental attributes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Brown gas sales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RNG Fuel</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Fuel Station Services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OPAL owned stations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Environmental attributes and RNG marketing</w:t>
            </w:r>
            <w:r>
              <w:rPr>
                <w:color w:val="000000"/>
              </w:rPr>
              <w:t xml:space="preserve"> </w:t>
            </w:r>
            <w:r>
              <w:rPr>
                <w:rFonts w:ascii="Times New Roman;serif" w:hAnsi="Times New Roman;serif"/>
                <w:b w:val="false"/>
                <w:color w:val="000000"/>
                <w:sz w:val="10"/>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 party station service and maintenance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Lease revenues</w:t>
            </w:r>
            <w:r>
              <w:rPr>
                <w:color w:val="000000"/>
              </w:rPr>
              <w:t xml:space="preserve"> </w:t>
            </w:r>
            <w:r>
              <w:rPr>
                <w:rFonts w:ascii="Times New Roman;serif" w:hAnsi="Times New Roman;serif"/>
                <w:b w:val="false"/>
                <w:color w:val="000000"/>
                <w:sz w:val="10"/>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Fuel Station Services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Renewable Power</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Electricity sales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Environmental attributes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Lease revenues</w:t>
            </w:r>
            <w:r>
              <w:rPr>
                <w:color w:val="000000"/>
              </w:rPr>
              <w:t xml:space="preserve"> </w:t>
            </w:r>
            <w:r>
              <w:rPr>
                <w:rFonts w:ascii="Times New Roman;serif" w:hAnsi="Times New Roman;serif"/>
                <w:b w:val="false"/>
                <w:color w:val="000000"/>
                <w:sz w:val="10"/>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color w:val="000000"/>
              </w:rPr>
              <w:t xml:space="preserve"> </w:t>
            </w:r>
            <w:r>
              <w:rPr>
                <w:rFonts w:ascii="Times New Roman;serif" w:hAnsi="Times New Roman;serif"/>
                <w:b w:val="false"/>
                <w:color w:val="000000"/>
                <w:sz w:val="10"/>
              </w:rPr>
              <w:t>(4)</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Renewable Power</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165,863 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from contracts with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from lease arrangements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Revenues from RNG marketing in the Fuel Station Services segment relate to revenues earned from Environmental Attribute generation and monetization services. </w:t>
      </w:r>
    </w:p>
    <w:p>
      <w:pPr>
        <w:pStyle w:val="TextBody"/>
        <w:bidi w:val="0"/>
        <w:spacing w:lineRule="auto" w:line="288" w:before="0" w:after="20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Fuel Station Services lease revenue relates to revenue from fuel purchasing agreements where we determined that we transferred the right to control the use of the station to the purchaser. Includes sales-type lease revenues of $—, $—, $2,246, and $—for the three months ended June 30, 2026 and 2025, and the six months ended June 30, 2026 and 2025, respectively, from customers domiciled outside of the United States. All remaining lease revenue relates to operating leases.</w:t>
      </w:r>
    </w:p>
    <w:p>
      <w:pPr>
        <w:pStyle w:val="TextBody"/>
        <w:bidi w:val="0"/>
        <w:spacing w:lineRule="auto" w:line="288" w:before="0" w:after="20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Renewable Power operating lease revenue relates to revenue from power purchase agreements where we determined that we transferred the right to control the use of the power plant to the purchaser.</w:t>
      </w:r>
    </w:p>
    <w:p>
      <w:pPr>
        <w:pStyle w:val="TextBody"/>
        <w:bidi w:val="0"/>
        <w:spacing w:lineRule="auto" w:line="288" w:before="0" w:after="200"/>
        <w:jc w:val="both"/>
        <w:rPr/>
      </w:pPr>
      <w:r>
        <w:rPr>
          <w:rFonts w:ascii="Times New Roman;serif" w:hAnsi="Times New Roman;serif"/>
          <w:b w:val="false"/>
          <w:color w:val="000000"/>
          <w:sz w:val="13"/>
        </w:rPr>
        <w:t xml:space="preserve">(4) </w:t>
      </w:r>
      <w:r>
        <w:rPr>
          <w:rFonts w:ascii="Times New Roman;serif" w:hAnsi="Times New Roman;serif"/>
          <w:b w:val="false"/>
          <w:color w:val="000000"/>
          <w:sz w:val="20"/>
        </w:rPr>
        <w:t>Includes management fee revenues earned from management of operations of equity method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RNG Fuel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Revenue from RNG Fuel decreased by $1.3 million or 5% for the three months ended June 30, 2026 compared to the three months ended June 30, 2025. This decrease was primarily due to a reduction in unrealized mark-to-market gains associated with brown gas marketing and trading activities of $1.8 million, offset by increase in environmental attributes of $0.5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RNG Fuel decreased by $7.3 million, or 14%, for the six months ended June 30, 2026 compared to the six months ended June 30, 2025. This decrease was primarily related to $7.3 million decrease in the sale of environmental attributes. The decrease in environmental attributes was primarily related to $4.5 million decrease in RIN volume, $1.6 million decrease in green gas sales and a $1.2 million decrease due to lower LCFS sales.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Fuel Station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Revenue from Fuel Station Services increased by $6.0 million or 13%, for the three months ended June 30, 2026 compared to the three months ended June 30, 2025. The increase was primarily attributable to an $6.5 million increase in LCFS credit sales, a $1.6 million increase resulting from higher RIN volumes, a $0.1 million increase due to higher RIN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3685"/>
                <wp:effectExtent l="0" t="0" r="0" b="0"/>
                <wp:wrapNone/>
                <wp:docPr id="42" name="Frame4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prices, a $0.9 million increase in lease revenue, $0.4 million increase from higher tolling GGEs and a $0.6 million increase in third-party service revenue due to higher service rates. These increases were partially offset by a $2.9 million decrease attributable to delays in construction projects and a $1.2 million decrease resulting from eliminations.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Revenue from Fuel Station Services decreased by $0.1 million, or —%, for the six months ended June 30, 2026 compared to the six months ended June 30, 2025. This change was primarily attributable to a $5.9 million decrease in construction revenue due to project timing, a $0.5 million decrease resulting from lower RIN volumes, and a $0.4 million decrease due to lower RIN prices. These decreases were partially offset by a $4.4 million increase in lease revenue, a $1.7 million increase in RIN and LCFS minting revenue, a $0.3 million increase in service revenue driven by higher GGE volumes and service rates, and a $0.2 million increase attributable to higher GGE volumes at OPAL-owned stations.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Renewable Power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Revenue from Renewable Power decreased by $1.8 million, or 22%, for the three months ended June 30, 2026 compared to the three months ended June 30, 2025. The decrease was primarily driven by a $1.7 million decline in environmental attribute revenue, primarily at the West Covina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Revenue from Renewable Power decreased by $1.7 million, or 11%, for the six months ended June 30, 2026 compared to the six months ended June 30, 2025. The decrease was primarily attributable to a $1.7 million decline in environmental attribute revenue, primarily at the West Covina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Cost of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RNG Fuel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 of sales from RNG Fuel increased by $0.9 million, or 8%, for the three months ended June 30, 2026 compared to the three months ended June 30, 2025. The increase was primarily attributable to higher royalty expense of $0.5 million, primarily resulting from a first-quarter catch-up adjustment, higher non-labor and major maintenance costs of $0.5 million, and higher gas expense of $0.2 million. These increases were partially offset by a $0.4 million decrease in utility and labor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 of sales from RNG Fuel increased by $1.5 million, or 7%, for the six months ended June 30, 2026 compared to the six months ended June 30, 2025. The increase was primarily attributable to a $2.6 million increase in transportation and gas expense, a $0.3 million increase in utilities expense, and a $0.2 million increase in labor costs, partially offset by a $1.6 million decrease in royalty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Fuel Station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Cost of sales from Fuel Station Services increased by 1.6 million, or 4%, for the three months ended June 30, 2026 compared to the three months ended June 30, 2025. The increase was primarily attributable to a $5.1 million increase in dispensing fees and a $0.8 million increase in service-related labor and compensation costs, partially offset by a $3.1 million decrease in construction equipment, parts, and oil expense due to delays in project activity and a $1.1 million decrease in FPA tolling expense, reflecting a large FPA cost recognized in the prior-year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Cost of sales from Fuel Station Services decreased by $2.7 million, or 3%, for the six months ended June 30, 2026 compared to the six months ended June 30, 2025. The decrease was primarily attributable to a $3.3 million decrease in construction costs resulting from project delays, and by a $0.5 million decrease in dispensing fees this is partially offset by a $1.1 million increase in service-related labor and compensation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Renewable Power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from Renewable Power decreased by $0.6 million, or 9%, for the three months ended June 30, 2026 compared to the three months ended June 30, 2025. The decrease was primarily attributable to a $0.7 million reduction in major maintenance expense and a $0.2 million decrease in labor costs. These decreases were partially offset by a $0.3 million increase in non-labor and other operating expenses due to the timing of expenditures.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from Renewable Power decreased by $1.7 million, or 13% for the six months ended June 30, 2026 compared to the six months ended June 30, 2025. The decrease was primarily attributable to lower major maintenance expense of $1.5 million, primarily at two facilities, as well as a $0.2 million decrease in labor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Project development and startup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3685"/>
                <wp:effectExtent l="0" t="0" r="0" b="0"/>
                <wp:wrapNone/>
                <wp:docPr id="43" name="Frame4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Project development and startup costs decreased by $0.2 million, or 5%, for the three months ended June 30, 2026 compared to the three months ended June 30, 2025. The decrease was primarily attributable to lower virtual pipeline costs, partially offset by higher project development and startup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Project development and startup costs decreased by $4.4 million, or 46%, for the six months ended June 30, 2026 compared to the six months ended June 30, 2025. The decrease was primarily attributable to lower virtual pipeline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by a total of $3.2 million, or 18%, for the three months ended June 30, 2026 compared to the three months ended June 30, 2025. The decrease was primarily attributable to lower compensation costs of $1.8 million, information technology expenses of $0.5 million, directors' and officers' ("D&amp;O") insurance expense of $0.5 million, and advocacy costs of $0.2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by a total of $4.0 million, or 12%, for the six months ended June 30, 2026 compared to the six months ended June 30, 2025. The decrease was primarily attributable to lower compensation costs of $1.1 million, legal expenses of $1.1 million, D&amp;O insurance expense of $0.5 million, professional fees of $0.5 million, lower travel and entertainment of $0.3 million and other expenses of $0.5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Depreciation, amortization, and accretion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Depreciation, amortization, and accretion decreased by a total of $0.1 million, or 2%, for the three months ended June 30, 2026 compared to the three months ended June 30, 2025. This is primarily related to lower depreciation expense in Renewable Power.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Depreciation, amortization, and accretion decreased by a total of $0.4 million, or 4%, for the six months ended June 30, 2026 compared to the six months ended June 30, 2025. The decrease was primarily attributable to lower depreciation expense resulting from the prior-year recognition of the remaining asset retirement obligation ("ARO") balance.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Impairment loss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Impairment loss increased by $4.1 million, or 100%, for the three and six months ended June 30, 2026 compared to the three and six months ended June 30, 2025. This was primarily attributable to impairment charges recorded on certain renewable energy facilities following strategic decisions to convert those facilities to RNG production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Loss (income) from equity method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Net loss attributable to equity method investments increased by $2.6 million, or 130%, for the three months ended June 30, 2026 compared to the three months ended June 30, 2025. This is primarily related to a decrease in the realized price of RINs sold on operating facilities and lower production primarily at Pine Bend and Emerald.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Net loss attributable to equity method investments increased by $3.6 million, or 290% for the six months ended June 30, 2026 compared to the six months ended June 30, 2025. This is primarily related to a decrease in the realized price of RINs sold on operating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Interest and financing expense,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Interest and financing expenses, net increased by $2.0 million, or 30%, for the three months ended June 30, 2026 compared to the three months ended June 30, 2025. This is primarily related to an increase in the average outstanding loan balance.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Interest and financing expenses, net increased by $2.2 million, or 17%, for the six months ended June 30, 2026 compared to the six months ended June 30, 2025. This is primarily related to an increase in the average outstanding loan balance.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Interest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Interest income increased by $1.8 million or 678%, for the three months ended June 30, 2026 compared to the year ended June 30, 2025 primarily due to interest income from sales-type-lease.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3685"/>
                <wp:effectExtent l="0" t="0" r="0" b="0"/>
                <wp:wrapNone/>
                <wp:docPr id="44" name="Frame4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Interest income increased by $2.2 million or 337%, for the six months ended June 30, 2026 compared to the six months ended June 30, 2025 primarily due to interest income from sales-type-lease.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Other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income decreased by $0.4 million or 37% for the three months ended June 30, 2026 compared to the three months ended June 30, 2025 primarily related to change in fair value of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income decreased by $2.2 million, or 96%, for the six months ended June 30, 2026 compared to the six months ended June 30, 2025. The decrease was primarily attributable to a gain on a note receivable and a gain from the write-off of a lease liability recognized during the 2025 period, with no comparable gains recognized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540"/>
        <w:jc w:val="both"/>
        <w:rPr>
          <w:rFonts w:ascii="Times New Roman;serif" w:hAnsi="Times New Roman;serif"/>
          <w:b/>
          <w:i/>
          <w:color w:val="000000"/>
          <w:sz w:val="20"/>
        </w:rPr>
      </w:pPr>
      <w:r>
        <w:rPr>
          <w:rFonts w:ascii="Times New Roman;serif" w:hAnsi="Times New Roman;serif"/>
          <w:b/>
          <w:i/>
          <w:color w:val="000000"/>
          <w:sz w:val="20"/>
        </w:rPr>
        <w:t>Income tax benefit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Income tax benefit decreased by $8.9 million or 65% for three months ended June 30, 2026 compared to the three months ended June 30, 2025. This is primarily driven by lower generation of transferable tax credits in 2026 compared to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Income tax benefit decreased by $11.3 million or 52% for the six months ended June 30, 2026 compared to the six months ended June 30, 2025. This is primarily driven by lower generation of transferable tax credits in 2026 compared to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Net (loss) income attributable to redeemable non-controlling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Net (loss) income attributable to redeemable non-controlling interest decreased by $11.1 million, or 279%, for the three months ended June 30, 2026 compared to the three months ended June 30, 2025. The net (loss) income for the three months ended June 30, 2026 and 2025 reflects the portion of earnings belonging to OPAL Fuels equity holders. The decrease is primarily attributable to higher loss in the current period compared to the same prior-year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Net (loss) income attributable to redeemable non-controlling interest for the six months ended June 30, 2026 decreased by $22.5 million, or 802%, compared to the six months ended June 30, 2025. The decrease is primarily attributable to higher loss on the portion of earnings belonging to OPAL Fuels equity holders in the current period compared to the same prior-year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Net income attributable to non-redeemable non-controlling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non-redeemable non-controlling interest remained flat for the three months ended June 30, 2026 compared to the three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non-redeemable non-controlling interest remained flat for the six months ended June 30, 2026, compared to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Accretion of the redeemable preferred non-controlling interest to its redemption amount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Accretion of the redeemable preferred non-controlling interest to its redemption amount increased by $1.7 million or 66% for the three months ended June 30, 2026 compared to the three months ended June 30, 2025. This is primarily driven by accretion to redemption value following the issuance of redeemable preferred non-controlling interests in March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Accretion of the redeemable preferred non-controlling interest to its redemption amount increased by $8.7 million or 165% for the six months ended June 30, 2026 compared to the six months ended June 30, 2025. This is primarily driven by accretion to redemption value following the issuance of redeemable preferred non-controlling interests in March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73685"/>
                <wp:effectExtent l="0" t="0" r="0" b="0"/>
                <wp:wrapNone/>
                <wp:docPr id="45" name="Frame4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0" w:after="200"/>
        <w:jc w:val="both"/>
        <w:rPr/>
      </w:pPr>
      <w:r>
        <w:rPr>
          <w:rFonts w:ascii="Times New Roman;serif" w:hAnsi="Times New Roman;serif"/>
          <w:b w:val="false"/>
          <w:color w:val="000000"/>
          <w:sz w:val="20"/>
        </w:rPr>
        <w:t xml:space="preserve">As of June 30, 2026, our liquidity was $162.3 million, consisting of $19.3 million of unused capacity under the revolver, $51.6 million of undrawn preferred stock facility commitments and $91.4 million of cash and cash equivalents. Refer to </w:t>
      </w:r>
      <w:r>
        <w:rPr>
          <w:rFonts w:ascii="Times New Roman;serif" w:hAnsi="Times New Roman;serif"/>
          <w:b w:val="false"/>
          <w:i/>
          <w:color w:val="000000"/>
          <w:sz w:val="20"/>
        </w:rPr>
        <w:t>Note 3. Loans</w:t>
      </w:r>
      <w:r>
        <w:rPr>
          <w:rFonts w:ascii="Times New Roman;serif" w:hAnsi="Times New Roman;serif"/>
          <w:b w:val="false"/>
          <w:color w:val="000000"/>
          <w:sz w:val="20"/>
        </w:rPr>
        <w: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our available cash together with our other assets, expected cash flows from operations, and access to expected sources of capital will be sufficient to meet our existing commitments for a period of at least twelve months from the date of this quarterly report. Any reduction in demand for our products or our failure to efficiently manage our production facilities may result in lower cash flows from operations which may impact our ability to make investments and may require changes to our growth plan.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operations, we have arrangements for office space for our corporate headquarters under the Administrative Services Agreement as well as operating leases for office space, warehouse space, and our vehicle fleet. </w:t>
      </w:r>
    </w:p>
    <w:p>
      <w:pPr>
        <w:pStyle w:val="TextBody"/>
        <w:bidi w:val="0"/>
        <w:spacing w:lineRule="auto" w:line="288" w:before="0" w:after="200"/>
        <w:jc w:val="both"/>
        <w:rPr/>
      </w:pPr>
      <w:r>
        <w:rPr>
          <w:rFonts w:ascii="Times New Roman;serif" w:hAnsi="Times New Roman;serif"/>
          <w:b w:val="false"/>
          <w:color w:val="000000"/>
          <w:sz w:val="20"/>
        </w:rPr>
        <w:t xml:space="preserve">We intend to make payments under our various debt instruments when due and pursue opportunities for earlier repayment and/or refinancing if and when these opportunities arise. In the fourth quarter of 2025, NextEra exercised its redemption option to redeem the preferred units. The Units were redeemed in the first quarter of 2026. Refer to </w:t>
      </w:r>
      <w:r>
        <w:rPr>
          <w:rFonts w:ascii="Times New Roman;serif" w:hAnsi="Times New Roman;serif"/>
          <w:b w:val="false"/>
          <w:i/>
          <w:color w:val="000000"/>
          <w:sz w:val="20"/>
        </w:rPr>
        <w:t xml:space="preserve">Note 8. Redeemable Non-controlling Interest, Redeemable Preferred Non-controlling Interest and Stockholders' Equity </w:t>
      </w:r>
      <w:r>
        <w:rPr>
          <w:rFonts w:ascii="Times New Roman;serif" w:hAnsi="Times New Roman;serif"/>
          <w:b w:val="false"/>
          <w:color w:val="000000"/>
          <w:sz w:val="20"/>
        </w:rPr>
        <w:t>for additional details.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OPAL Term Loan</w:t>
      </w:r>
    </w:p>
    <w:p>
      <w:pPr>
        <w:pStyle w:val="TextBody"/>
        <w:bidi w:val="0"/>
        <w:spacing w:lineRule="auto" w:line="288" w:before="0" w:after="200"/>
        <w:jc w:val="both"/>
        <w:rPr/>
      </w:pPr>
      <w:r>
        <w:rPr>
          <w:rFonts w:ascii="Times New Roman;serif" w:hAnsi="Times New Roman;serif"/>
          <w:b w:val="false"/>
          <w:color w:val="000000"/>
          <w:sz w:val="20"/>
        </w:rPr>
        <w:t>During the six months ended</w:t>
      </w:r>
      <w:r>
        <w:rPr>
          <w:color w:val="000000"/>
        </w:rPr>
        <w:t xml:space="preserve"> </w:t>
      </w:r>
      <w:r>
        <w:rPr>
          <w:rFonts w:ascii="Times New Roman;serif" w:hAnsi="Times New Roman;serif"/>
          <w:b w:val="false"/>
          <w:color w:val="000000"/>
          <w:sz w:val="20"/>
        </w:rPr>
        <w:t>June 30, 2026, the Company drew $128.4 million under its term loan facility pursuant to its existing credit agreement. A portion of the proceeds from the borrowing was used to repay $20.0 million outstanding under the revolving loan facility. As of June 30, 2026, the Company had utilized $30.7 million of availability under the revolver loan to provide for the issuance of letters of credit to support the operations of the Borrower and the Guarantors.</w:t>
      </w:r>
    </w:p>
    <w:p>
      <w:pPr>
        <w:pStyle w:val="TextBody"/>
        <w:bidi w:val="0"/>
        <w:spacing w:lineRule="auto" w:line="288" w:before="0" w:after="200"/>
        <w:jc w:val="both"/>
        <w:rPr/>
      </w:pPr>
      <w:r>
        <w:rPr>
          <w:rFonts w:ascii="Times New Roman;serif" w:hAnsi="Times New Roman;serif"/>
          <w:b w:val="false"/>
          <w:color w:val="000000"/>
          <w:sz w:val="20"/>
        </w:rPr>
        <w:t>During the six months ended</w:t>
      </w:r>
      <w:r>
        <w:rPr>
          <w:color w:val="000000"/>
        </w:rPr>
        <w:t xml:space="preserve"> </w:t>
      </w:r>
      <w:r>
        <w:rPr>
          <w:rFonts w:ascii="Times New Roman;serif" w:hAnsi="Times New Roman;serif"/>
          <w:b w:val="false"/>
          <w:color w:val="000000"/>
          <w:sz w:val="20"/>
        </w:rPr>
        <w:t>June 30, 2026, the Company commenced principal payments under its credit agreement. In addition, beginning in the first quarter of 2026, the Company is subject to a quarterly cash sweep pursuant to which, within two business days after the required delivery of quarterly financial statements, a percentage of distributable cash is required to be applied to repay outstanding borrowings, with the applicable percentage determined based on the Company’s consolidated debt to cash flow ratio. If the required financial statements are not delivered within the specified timeframe, 100% of distributable cash is required to be applied to the cash sweep.</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outstanding loan balance (current and non-current) excluding deferred financing costs was $421.6 million and $341.6 million,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have the ability, during the delayed draw availability period, which expired in March 2026, and subject to the satisfaction of certain credit and project-related conditions precedent, to join other newly acquired subsidiaries with comparable renewable projects in development under the credit facility for comparable funding. As of June 30, 2026, we are in compliance with the financial covenants under the OPAL Term Loan.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May 30, 2026, OPAL Fuels Inc. exercised its right pursuant to that certain Credit and Guarantee Agreement dated as of September 1, 2023 among Opal Fuels Intermediate HoldCo LLC as borrower (the "Borrower"), direct and indirect subsidiaries of the Borrower as guarantors, the lenders party thereto as lenders, and Bank of America, N.A., as administrative agent, to contribute approximately $8.0 million to the Borrower in order for the Borrower to maintain compliance with certain financial covenants under its credit facility.</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Sunoma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73685"/>
                <wp:effectExtent l="0" t="0" r="0" b="0"/>
                <wp:wrapNone/>
                <wp:docPr id="46" name="Frame4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August 27, 2020, Sunoma, an indirect wholly-owned subsidiary of ours entered into a debt agreement (the "Sunoma Loan Agreement") with Live Oak Banking Company for an aggregate principal amount of $20 million. Sunoma paid $0.6 million in financing fees. The amounts outstanding under the Sunoma Loan are secured by the assets of Sunoma. On July 19, 2022, Sunoma completed the conversion of the construction loan into a permanent loan and increased the commitment from $20.0 to $23.0 million. The maturity date is July 19, 2033. The outstanding loans under the Sunoma Loan Agreement bear interest at an annual fixed rates of 7.8% and 8.2% per annum during the term.</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Sunoma Loan Agreement contains certain financial covenants which require Sunoma to maintain (i) a maximum debt to net worth ratio not to exceed 5:1, (ii) a minimum current ratio not less than 1.0 and (iii) a minimum debt service coverage ratio of trailing four quarters not less than 1.25. As of June 30, 2026, Sunoma is in compliance with the financial covenants under the Sunoma Loan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outstanding loan balance (current and non-current) excluding deferred financing costs was $18.2 million and $19.1 million, respectively.</w:t>
      </w:r>
    </w:p>
    <w:p>
      <w:pPr>
        <w:pStyle w:val="TextBody"/>
        <w:bidi w:val="0"/>
        <w:spacing w:lineRule="auto" w:line="288" w:before="0" w:after="200"/>
        <w:jc w:val="both"/>
        <w:rPr/>
      </w:pPr>
      <w:r>
        <w:rPr>
          <w:rFonts w:ascii="Times New Roman;serif" w:hAnsi="Times New Roman;serif"/>
          <w:b w:val="false"/>
          <w:color w:val="000000"/>
          <w:sz w:val="20"/>
        </w:rPr>
        <w:t xml:space="preserve">The significant assets of Sunoma, as well as those of other consolidated variable VIEs, are presented in a separate table below the consolidated balance sheets as of June 30, 2026 and December 31, 2025. See </w:t>
      </w:r>
      <w:r>
        <w:rPr>
          <w:rFonts w:ascii="Times New Roman;serif" w:hAnsi="Times New Roman;serif"/>
          <w:b w:val="false"/>
          <w:i/>
          <w:color w:val="000000"/>
          <w:sz w:val="20"/>
        </w:rPr>
        <w:t>Note</w:t>
      </w:r>
      <w:r>
        <w:rPr>
          <w:color w:val="000000"/>
        </w:rPr>
        <w:t xml:space="preserve"> </w:t>
      </w:r>
      <w:r>
        <w:rPr>
          <w:rFonts w:ascii="Times New Roman;serif" w:hAnsi="Times New Roman;serif"/>
          <w:b w:val="false"/>
          <w:i/>
          <w:color w:val="000000"/>
          <w:sz w:val="20"/>
        </w:rPr>
        <w:t xml:space="preserve">2. Investments in other entities and Variable Interest Entities </w:t>
      </w:r>
      <w:r>
        <w:rPr>
          <w:rFonts w:ascii="Times New Roman;serif" w:hAnsi="Times New Roman;serif"/>
          <w:b w:val="false"/>
          <w:color w:val="000000"/>
          <w:sz w:val="20"/>
        </w:rPr>
        <w:t xml:space="preserve">for additional information. </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Redeemable Series A Preferred Units of OPAL Fuels LLC</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2021, NextEra subscribed for an aggregate of $100.0 million of Series A preferred units issued by OPAL Fuels LLC, a consolidated subsidiary of OPAL Fuels, Inc.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March 6, 2026, OPAL Fuels LLC (“Opal Fuels”), the Company’s primary operating consolidated subsidiary, entered into a subscription agreement (“Subscription Agreement”) with Preferred Fuels LLC, (“Preferred Fuels” or “Investor”), an entity under common control with the Company. Pursuant to the Subscription Agreement Preferred Fuels committed to purchase up to $180.0 million (the “Offering”) of Series A preferred units of Opal Fuels in multiple closings. At the initial closing on March 6, 2026, Preferred Fuels purchased 1,200,000 preferred units for aggregate proceeds of $120.0 million. OPAL Fuels may, in its sole discretion, require Preferred Fuels to fund up to an additional $60.0 million (or “Undrawn Commitment”) within one year of the initial closing (“or Availability Period”), subject to the terms of the Subscription Agreement. Additionally, pursuant to the Subscription Agreement, the Investor also has a right of first offer to purchase up to an additional 700,000 Units for an aggregate purchase price of up to $70.0 million in the Offering in the event that OPAL Fuels intends to sell any additional units prior to the two (2) year anniversary of the initial closing. Opal Fuels used the proceeds received from the issuance of the Series A preferred units on March 6, 2026 to redeem all of the previously issued and outstanding Series A preferred units held by NextEra.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initial closing on March 6, 2026, OPAL Fuels Inc. issued to Preferred Fuels warrants (“Warrants”) to purchase up to 2,160,000 shares of Class A common stock (the “Warrant Shares”) at an exercise price per share of $2.67, subject to customary anti-dilution adjustments. The Warrants expire on March 6, 2034. A holder of the Warrants shall not have the right to exercise the Warrants without prior approval by the Company’s Board of Directors to the extent that after giving effect to such exercise, such person would beneficially own in excess of 19.9% of the Company’s outstanding common stock immediately after giving effect to such exercise. Up to 720,000 shares of the Warrant Shares are forfeitable if Preferred Fuels fails to fund issuance of the remaining Series A preferred units during the Availability Period provided Opal Fuels requested such funding.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Additionally, up to 840,000 shares issuable on a pro rata basis upon future purchases by Preferred Fuels of up to an additional 700,000 Series A preferred units (up to $70.0 million) within two years of the initial closing pursuant to its right of first offer. No Subsequent Warrant Shares have been issued as of June 30,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recorded Series A preferred units as redeemable noncontrolling interest in its condensed consolidated financial statements at the amount of proceeds received, less the fair value of the Warrants of $2.8 million and directly attributable issuance costs of $3.8 million. The Series A preferred units are subsequently remeasured to their redemption value as of each reporting date as if such reporting date were the redemption date, with changes in carrying amount recorded as adjustments to additional paid-in capital to the extent available, with any excess recorded to accumulated deficit. The Company concluded that the Warrants are not indexed to the Company’s equity. The Warrants are accounted for as liabilities in the Company’s condensed consolidated financial statements with changes in fair value recognized in other income, net.</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Terms of Redeemable Preferred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73685"/>
                <wp:effectExtent l="0" t="0" r="0" b="0"/>
                <wp:wrapNone/>
                <wp:docPr id="47" name="Frame4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Preferred Units held by Preferred Fuels, have substantially the same terms and features (unless specified otherwise) which are listed below:</w:t>
      </w:r>
    </w:p>
    <w:p>
      <w:pPr>
        <w:pStyle w:val="TextBody"/>
        <w:bidi w:val="0"/>
        <w:spacing w:lineRule="auto" w:line="288" w:before="0" w:after="200"/>
        <w:jc w:val="both"/>
        <w:rPr/>
      </w:pPr>
      <w:r>
        <w:rPr>
          <w:rFonts w:ascii="Times New Roman;serif" w:hAnsi="Times New Roman;serif"/>
          <w:b/>
          <w:color w:val="000000"/>
          <w:sz w:val="20"/>
        </w:rPr>
        <w:t xml:space="preserve">Voting: </w:t>
      </w:r>
      <w:r>
        <w:rPr>
          <w:rFonts w:ascii="Times New Roman;serif" w:hAnsi="Times New Roman;serif"/>
          <w:b w:val="false"/>
          <w:color w:val="000000"/>
          <w:sz w:val="20"/>
        </w:rPr>
        <w:t>The Series A-1 preferred units do not have any voting rights. The Series A preferred units carry no voting rights except as required by Delaware law or as provided under certain protective covenants in the Subscription Agreement.</w:t>
      </w:r>
    </w:p>
    <w:p>
      <w:pPr>
        <w:pStyle w:val="TextBody"/>
        <w:bidi w:val="0"/>
        <w:spacing w:lineRule="auto" w:line="288" w:before="0" w:after="200"/>
        <w:jc w:val="both"/>
        <w:rPr/>
      </w:pPr>
      <w:r>
        <w:rPr>
          <w:rFonts w:ascii="Times New Roman;serif" w:hAnsi="Times New Roman;serif"/>
          <w:b/>
          <w:color w:val="000000"/>
          <w:sz w:val="20"/>
        </w:rPr>
        <w:t xml:space="preserve">Dividends: </w:t>
      </w:r>
      <w:r>
        <w:rPr>
          <w:rFonts w:ascii="Times New Roman;serif" w:hAnsi="Times New Roman;serif"/>
          <w:b w:val="false"/>
          <w:color w:val="000000"/>
          <w:sz w:val="20"/>
        </w:rPr>
        <w:t>The Series A-1 preferred units are entitled to receive dividends at a rate of 12% per annum. The Series A preferred units are entitled to preferred quarterly distributions at a rate of 12% per annum (“Preferred Coupon”), compounding quarterly. Dividends on each series begin accruing from the issuance date, are mandatory and cumulative. OPAL Fuels may elect to pay up to 2% per annum of the 12% Series A Preferred Coupon in kind through the issuance of additional Series A preferred units.</w:t>
      </w:r>
    </w:p>
    <w:p>
      <w:pPr>
        <w:pStyle w:val="TextBody"/>
        <w:bidi w:val="0"/>
        <w:spacing w:lineRule="auto" w:line="288" w:before="0" w:after="200"/>
        <w:jc w:val="both"/>
        <w:rPr/>
      </w:pPr>
      <w:r>
        <w:rPr>
          <w:rFonts w:ascii="Times New Roman;serif" w:hAnsi="Times New Roman;serif"/>
          <w:b/>
          <w:color w:val="000000"/>
          <w:sz w:val="20"/>
        </w:rPr>
        <w:t xml:space="preserve">Liquidation preference: </w:t>
      </w:r>
      <w:r>
        <w:rPr>
          <w:rFonts w:ascii="Times New Roman;serif" w:hAnsi="Times New Roman;serif"/>
          <w:b w:val="false"/>
          <w:color w:val="000000"/>
          <w:sz w:val="20"/>
        </w:rPr>
        <w:t>In the event of a liquidation of OPAL Fuels, each holder of Series A and Series A-1 units is entitled to receive, on a pro rata basis, the original issue price of $100 per unit plus any accrued and unpaid dividends, out of assets available for distribution after payment of debt, liabilities, and liquidation expenses.</w:t>
      </w:r>
    </w:p>
    <w:p>
      <w:pPr>
        <w:pStyle w:val="TextBody"/>
        <w:bidi w:val="0"/>
        <w:spacing w:lineRule="auto" w:line="288" w:before="0" w:after="200"/>
        <w:jc w:val="both"/>
        <w:rPr/>
      </w:pPr>
      <w:r>
        <w:rPr>
          <w:rFonts w:ascii="Times New Roman;serif" w:hAnsi="Times New Roman;serif"/>
          <w:b/>
          <w:color w:val="000000"/>
          <w:sz w:val="20"/>
        </w:rPr>
        <w:t xml:space="preserve">Redemption and Conversion: </w:t>
      </w:r>
      <w:r>
        <w:rPr>
          <w:rFonts w:ascii="Times New Roman;serif" w:hAnsi="Times New Roman;serif"/>
          <w:b w:val="false"/>
          <w:color w:val="000000"/>
          <w:sz w:val="20"/>
        </w:rPr>
        <w:t>OPAL Fuels may redeem each series of Preferred Units at any time at the original issue price of $100 per unit plus accrued and unpaid dividends. Under the Series A preferred units, the Company was required to respond within 90 days from the date of the holder’s redemption notice in accordance with the applicable terms.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Preferred Fuels may require redemption upon (i) a change of control, (ii) an uncured material debt default or breach of protective covenants continuing for 60 days, or (iii) at any time on or after the fifth anniversary of the initial closing (March 6, 2031). In the event OPAL Fuels fails to redeem the Series A preferred units when requested: (1) the Preferred Coupon rate increases by an additional 0.50% per quarter, subject to a maximum of 4.00% per annum above the then-applicable rate, with all accrued distributions compounding quarterly at the Preferred Coupon plus the penalty rate; and (2) any residual cash flow of OPAL Fuels and its subsidiaries after operating expenses and capital expenditures must be applied to redeem the Series A preferred units at the applicable Redemption Price until the failure is cured. The applicable Redemption Price is (i) a price equal to at least 1.15 times the original issue price (inclusive of all fees paid and accrued dividends) on or prior to the first anniversary of the initial closing, (ii) 102% of the original issue price (exclusive of fees) after the first but on or prior to the second anniversary, and (iii) the original issue price plus accrued and unpaid cash dividends thereafter. Preferred Fuels also has the right, but not the obligation, to appoint a single director to the Board of Directors of OPAL Fuels Inc. if the redemption failure is not cured within 90 days.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described in a Current Report on Form 8-K filed with the SEC on May 20, 2026, on May 18, 2026, OPAL Fuels approved and adopted an Amended and Restated Certificate of Designations of Series A-1 Preferred Units (the "A&amp;R COD"), which amended and restated in its entirety that certain Certificate of Designations of Series A-1 Preferred Units OPAL Fuels, dated November 29, 2021. The A&amp;R COD conforms the terms and conditions of OPAL Fuels' Series A-1 Preferred Units to those of OPAL Fuels' Series A Preferred Units in accordance with the Amended and Restated Certificate of Designations of Series A Preferred Units, which was approved and adopted by OPAL Fuels on March 6, 2026. The amendment increased the annual dividend rate from 8% to 12%, with only up to 2% payable in kind and the remainder payable in cash, revised certain redemption rights to permit holder redemption upon specified events including a change of control, certain uncured trigger events, or beginning on the fifth anniversary of March 6, 2026, and added enhanced holder protective provisions and remedies upon the occurrence of certain trigger events. The amendment also eliminated the holders' prior conversion rights upon delayed redemption of the preferred units .The A&amp;R COD does not provide holders of Series A-1 Preferred Units with any rights to appoint members to the board of directors of the Company, which rights are provided to holders of Series A Preferred Units under the Amended and Restated Certificate of Designations of Series A Preferred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73685"/>
                <wp:effectExtent l="0" t="0" r="0" b="0"/>
                <wp:wrapNone/>
                <wp:docPr id="48" name="Frame4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cash flows for the six months ended June 30, 2026 and 2025:</w:t>
      </w:r>
    </w:p>
    <w:tbl>
      <w:tblPr>
        <w:tblW w:w="7184" w:type="dxa"/>
        <w:jc w:val="center"/>
        <w:tblInd w:w="0" w:type="dxa"/>
        <w:tblLayout w:type="fixed"/>
        <w:tblCellMar>
          <w:top w:w="28" w:type="dxa"/>
          <w:left w:w="28" w:type="dxa"/>
          <w:bottom w:w="28" w:type="dxa"/>
          <w:right w:w="28" w:type="dxa"/>
        </w:tblCellMar>
      </w:tblPr>
      <w:tblGrid>
        <w:gridCol w:w="1721"/>
        <w:gridCol w:w="1515"/>
        <w:gridCol w:w="1518"/>
        <w:gridCol w:w="241"/>
        <w:gridCol w:w="824"/>
        <w:gridCol w:w="124"/>
        <w:gridCol w:w="241"/>
        <w:gridCol w:w="824"/>
        <w:gridCol w:w="176"/>
      </w:tblGrid>
      <w:tr>
        <w:trPr/>
        <w:tc>
          <w:tcPr>
            <w:tcW w:w="172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23,677 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21,805 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(58,456)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(36,026)</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18,498 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restricted cash, and cash equivalents</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66,874 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4,277 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Net Cash Provided by Operating Activities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for the six months ended June 30, 2026 was $23.7 million, an increase of $1.9 million compared to $21.8 million for the six months ended June 30, 2025.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was primarily attributable to favorable changes in working capital and income from investments in other entities, partially offset by higher net loss, lower noncash items and less distributions from return on investments in other entities.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Net Cash Used in Investing Activities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for the six months ended June 30, 2026 was $58.5 million, an increase of $22.4 million compared to the $36.0 million used in investing activities for the six months ended June 30, 2025.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was primarily attributable to an increase in payments made for the construction of various RNG generation and dispensing facilities in 2026 compared to 2025, a decrease in distributions received from equity method investments and an increase in contributions made to equity method investments. These were partially offset by an increase in disposals of property, plant and equipment.</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Net Cash Provided by Financing Activities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for the six months ended June 30, 2026 was $101.7 million, an increase of $83.2 million compared to the net cash provided by financing activities of $18.5 million for the six months ended June 30, 2025.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This was primarily attributable to an increase in proceeds from long-term loans, an increase from the issuance of preferred stock and an increase in capital contribution from non-redeemable non-controlling interests. These were partially offset by redemption of shares of preferred stock, an increase in repayment of loans and an increase in cash paid to taxes related to net share settlement of equity awards. </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Capital expenditures and other cash commitments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pStyle w:val="TextBody"/>
        <w:bidi w:val="0"/>
        <w:spacing w:lineRule="auto" w:line="288" w:before="0" w:after="200"/>
        <w:jc w:val="both"/>
        <w:rPr/>
      </w:pPr>
      <w:r>
        <w:rPr>
          <w:rFonts w:ascii="Times New Roman;serif" w:hAnsi="Times New Roman;serif"/>
          <w:b w:val="false"/>
          <w:color w:val="000000"/>
          <w:sz w:val="20"/>
        </w:rPr>
        <w:t>As of June 30, 2026, we anticipate spending of approximately $148.4 million in capital expenditures for the next 12 months for RNG projects, fuel stations and our share of contributions in our equity method investment projects. This includes projects which have not been fully committed. These expenditures do not include any expected contributions from our joint venture partners and primarily relate to our development and construction of new renewable energy facilities and the purchase of equipment used in our Fueling Station services and Renewable Power operations</w:t>
      </w:r>
      <w:r>
        <w:rPr>
          <w:rFonts w:ascii="Times New Roman;serif" w:hAnsi="Times New Roman;serif"/>
          <w:b/>
          <w:color w:val="000000"/>
          <w:sz w:val="20"/>
        </w:rPr>
        <w: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3685"/>
                <wp:effectExtent l="0" t="0" r="0" b="0"/>
                <wp:wrapNone/>
                <wp:docPr id="49" name="Frame4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200"/>
        <w:jc w:val="both"/>
        <w:rPr/>
      </w:pPr>
      <w:r>
        <w:rPr>
          <w:rFonts w:ascii="Times New Roman;serif" w:hAnsi="Times New Roman;serif"/>
          <w:b w:val="false"/>
          <w:color w:val="000000"/>
          <w:sz w:val="20"/>
        </w:rPr>
        <w:t xml:space="preserve">In addition to the above, we also have lease commitments on our vehicle fleets and office leases and quarterly amortization payment obligations under various debt facilities. Please see </w:t>
      </w:r>
      <w:r>
        <w:rPr>
          <w:rFonts w:ascii="Times New Roman;serif" w:hAnsi="Times New Roman;serif"/>
          <w:b w:val="false"/>
          <w:i/>
          <w:color w:val="000000"/>
          <w:sz w:val="20"/>
        </w:rPr>
        <w:t>Note 3. Loans and Note 12.</w:t>
      </w:r>
      <w:r>
        <w:rPr>
          <w:color w:val="000000"/>
        </w:rPr>
        <w:t xml:space="preserve">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to our condensed consolidated financial statements for additional information.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plan to fund these expenditures primarily through cash on hand, cash generated from operations and availability under existing debt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smaller reporting company, we are not required to provide the information required by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Co-Chief Executive Officers and our Chief Financial Officer (our co-principal executive officers and principal financial officer, respectively), evaluated, as of the end of the period covered by this Quarterly Report on Form 10-Q, the effectiveness of our disclosure controls and procedures as defined in Rules 13a-15(e) or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Based on that evaluation of our disclosure controls and procedures as required by Rules 13a-15(b) or 15d-15(b) under the Exchange Act, as of June 30, 2026, our Co-Chief Executive Officers and Chief Financial Officer concluded that, as of such date, our disclosure controls and procedures were effective for the period covered by this report.</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Controls over Financial Reporting</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No change in our internal control over financial reporting (as defined in Rules 13a-15(f) or 15d-15(f) under the Exchange Act) was identified in the evaluation required by Rule 13a-15(d) or 15d-15(d) under the Exchange Act during the quarter ended June 30, 2026 that has materially affected, or is reasonably likely to materially affect, our internal control over financial reporting.</w:t>
      </w:r>
    </w:p>
    <w:p>
      <w:pPr>
        <w:pStyle w:val="TextBody"/>
        <w:bidi w:val="0"/>
        <w:spacing w:before="0" w:after="200"/>
        <w:jc w:val="both"/>
        <w:rPr/>
      </w:pPr>
      <w:r>
        <w:rPr/>
      </w:r>
    </w:p>
    <w:p>
      <w:pPr>
        <w:pStyle w:val="TextBody"/>
        <w:bidi w:val="0"/>
        <w:spacing w:before="0" w:after="200"/>
        <w:jc w:val="both"/>
        <w:rPr/>
      </w:pPr>
      <w:r>
        <w:rPr/>
      </w:r>
    </w:p>
    <w:p>
      <w:pPr>
        <w:pStyle w:val="TextBody"/>
        <w:bidi w:val="0"/>
        <w:spacing w:before="0" w:after="20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73685"/>
                <wp:effectExtent l="0" t="0" r="0" b="0"/>
                <wp:wrapNone/>
                <wp:docPr id="50" name="Frame5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II - Other Information</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00"/>
        <w:jc w:val="both"/>
        <w:rPr/>
      </w:pPr>
      <w:r>
        <w:rPr>
          <w:rFonts w:ascii="Times New Roman;serif" w:hAnsi="Times New Roman;serif"/>
          <w:b w:val="false"/>
          <w:color w:val="000000"/>
          <w:sz w:val="20"/>
        </w:rPr>
        <w:t xml:space="preserve">From time to time, we are involved in various legal proceedings, lawsuits and claims incidental to the conduct of our business, some of which may be material. Our businesses are also subject to extensive regulation, which may result in regulatory proceedings against us. </w:t>
      </w:r>
      <w:r>
        <w:rPr>
          <w:rFonts w:ascii="Times New Roman;serif" w:hAnsi="Times New Roman;serif"/>
          <w:b w:val="false"/>
          <w:color w:val="000000"/>
          <w:sz w:val="20"/>
          <w:shd w:fill="FFFFFF" w:val="clear"/>
        </w:rPr>
        <w:t xml:space="preserve">We do not believe that the outcome of any of our current legal proceedings will have a material adverse impact on our business, financial condition and results of operations. For more information about our pending legal proceedings, please refer to </w:t>
      </w:r>
      <w:r>
        <w:rPr>
          <w:rFonts w:ascii="Times New Roman;serif" w:hAnsi="Times New Roman;serif"/>
          <w:b w:val="false"/>
          <w:i/>
          <w:color w:val="000000"/>
          <w:sz w:val="20"/>
        </w:rPr>
        <w:t>Note 12.</w:t>
      </w:r>
      <w:r>
        <w:rPr>
          <w:color w:val="000000"/>
        </w:rPr>
        <w:t xml:space="preserve"> </w:t>
      </w:r>
      <w:r>
        <w:rPr>
          <w:rFonts w:ascii="Times New Roman;serif" w:hAnsi="Times New Roman;serif"/>
          <w:b w:val="false"/>
          <w:i/>
          <w:color w:val="000000"/>
          <w:sz w:val="20"/>
        </w:rPr>
        <w:t>Commitments and Contingencies</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1A. Risk Factors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previously disclosed in our Annual Report on Form 10-K for the year ended December 31, 2025, filed with the SEC on March 16, 2026. The risks described in such reports are not the only risks we face. Additional risks and uncertainties not currently known to us or that we currently deem to be immaterial also may materially adversely affect our business, financial condition or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jc w:val="both"/>
        <w:rPr>
          <w:rFonts w:ascii="Times New Roman;serif" w:hAnsi="Times New Roman;serif"/>
          <w:b/>
          <w:i/>
          <w:color w:val="000000"/>
          <w:sz w:val="20"/>
          <w:u w:val="single"/>
        </w:rPr>
      </w:pPr>
      <w:r>
        <w:rPr>
          <w:rFonts w:ascii="Times New Roman;serif" w:hAnsi="Times New Roman;serif"/>
          <w:b/>
          <w:i/>
          <w:color w:val="000000"/>
          <w:sz w:val="20"/>
          <w:u w:val="single"/>
        </w:rPr>
        <w:t>Rule 10b5-1 Trading Plans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June 30,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73685"/>
                <wp:effectExtent l="0" t="0" r="0" b="0"/>
                <wp:wrapNone/>
                <wp:docPr id="51" name="Frame5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93"/>
        <w:gridCol w:w="345"/>
        <w:gridCol w:w="346"/>
        <w:gridCol w:w="109"/>
        <w:gridCol w:w="109"/>
        <w:gridCol w:w="109"/>
        <w:gridCol w:w="2634"/>
        <w:gridCol w:w="2537"/>
        <w:gridCol w:w="3623"/>
      </w:tblGrid>
      <w:tr>
        <w:trPr/>
        <w:tc>
          <w:tcPr>
            <w:tcW w:w="39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 xml:space="preserve">Restated Certificate of Incorporation of OPAL Fuels Inc. (incorporated by reference to Exhibit 3.1 to the Current Report on Form 8-K/A filed by the Company on August 10, 2022). </w:t>
              </w:r>
            </w:hyperlink>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Bylaws of OPAL Fuels Inc. (incorporated by reference to Exhibit 3.2 to the Current Report on Form 8-K filed by the Company on July 27, 2022)</w:t>
              </w:r>
            </w:hyperlink>
            <w:r>
              <w:rPr>
                <w:rFonts w:ascii="Times New Roman;serif" w:hAnsi="Times New Roman;serif"/>
                <w:b w:val="false"/>
                <w:color w:val="000000"/>
                <w:sz w:val="20"/>
              </w:rPr>
              <w:t>.</w:t>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Certificate of Designations of Series A Preferred Units of OPAL Fuels LLC, dated March 6, 2026 (incorporated by reference to Exhibit 3.1 to the Current Report on Form 8-K filed by the Company on March 9, 2026).</w:t>
              </w:r>
            </w:hyperlink>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Certificate of Designations of Series A-1 Preferred Units of OPAL Fuels LLC, dated May 18, 2026 (incorporated by reference to Exhibit 3.1 to the Current Report on Form 8-K filed by the Company on May 20, 2026).</w:t>
              </w:r>
            </w:hyperlink>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2026063010qex311.htm">
              <w:r>
                <w:rPr>
                  <w:rStyle w:val="InternetLink"/>
                  <w:rFonts w:ascii="Times New Roman;serif" w:hAnsi="Times New Roman;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2026063010qex312.htm">
              <w:r>
                <w:rPr>
                  <w:rStyle w:val="InternetLink"/>
                  <w:rFonts w:ascii="Times New Roman;serif" w:hAnsi="Times New Roman;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2026063010qex313.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2026063010qex321.htm">
              <w:r>
                <w:rPr>
                  <w:rStyle w:val="InternetLink"/>
                  <w:rFonts w:ascii="Times New Roman;serif" w:hAnsi="Times New Roman;serif"/>
                  <w:b w:val="false"/>
                  <w:color w:val="0000FF"/>
                  <w:sz w:val="20"/>
                  <w:u w:val="single"/>
                </w:rPr>
                <w:t>Certification of Co-Principal Executive Officer Pursuant to 18 U.S.C. Section 1350, as Adopted Pursuant to Section 906 of the Sarbanes-Oxley Act of 2002.</w:t>
              </w:r>
            </w:hyperlink>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2026063010qex322.htm">
              <w:r>
                <w:rPr>
                  <w:rStyle w:val="InternetLink"/>
                  <w:rFonts w:ascii="Times New Roman;serif" w:hAnsi="Times New Roman;serif"/>
                  <w:b w:val="false"/>
                  <w:color w:val="0000FF"/>
                  <w:sz w:val="20"/>
                  <w:u w:val="single"/>
                </w:rPr>
                <w:t>Certification of Co-Principal Executive Officer Pursuant to 18 U.S.C. Section 1350, as Adopted Pursuant to Section 906 of the Sarbanes-Oxley Act of 2002.</w:t>
              </w:r>
            </w:hyperlink>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2026063010qex323.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Schema Document </w:t>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is deemed not filed for purposes of Section 18 of the Exchange Act, or otherwise subject to the liability of that section, nor shall it be deemed incorporated by reference into any filing under the Securities Act or the Exchange Act.</w:t>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24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2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60" w:after="20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bl>
      <w:tblPr>
        <w:tblW w:w="3116" w:type="dxa"/>
        <w:jc w:val="right"/>
        <w:tblInd w:w="0" w:type="dxa"/>
        <w:tblLayout w:type="fixed"/>
        <w:tblCellMar>
          <w:top w:w="28" w:type="dxa"/>
          <w:left w:w="28" w:type="dxa"/>
          <w:bottom w:w="28" w:type="dxa"/>
          <w:right w:w="28" w:type="dxa"/>
        </w:tblCellMar>
      </w:tblPr>
      <w:tblGrid>
        <w:gridCol w:w="271"/>
        <w:gridCol w:w="238"/>
        <w:gridCol w:w="238"/>
        <w:gridCol w:w="694"/>
        <w:gridCol w:w="694"/>
        <w:gridCol w:w="98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311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Maurer</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Maurer</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3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bl>
    <w:tbl>
      <w:tblPr>
        <w:tblW w:w="3117" w:type="dxa"/>
        <w:jc w:val="right"/>
        <w:tblInd w:w="0" w:type="dxa"/>
        <w:tblLayout w:type="fixed"/>
        <w:tblCellMar>
          <w:top w:w="28" w:type="dxa"/>
          <w:left w:w="28" w:type="dxa"/>
          <w:bottom w:w="28" w:type="dxa"/>
          <w:right w:w="28" w:type="dxa"/>
        </w:tblCellMar>
      </w:tblPr>
      <w:tblGrid>
        <w:gridCol w:w="271"/>
        <w:gridCol w:w="238"/>
        <w:gridCol w:w="238"/>
        <w:gridCol w:w="695"/>
        <w:gridCol w:w="695"/>
        <w:gridCol w:w="980"/>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311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Adam Comora</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Adam Comora</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37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bl>
    <w:tbl>
      <w:tblPr>
        <w:tblW w:w="2757" w:type="dxa"/>
        <w:jc w:val="right"/>
        <w:tblInd w:w="0" w:type="dxa"/>
        <w:tblLayout w:type="fixed"/>
        <w:tblCellMar>
          <w:top w:w="28" w:type="dxa"/>
          <w:left w:w="28" w:type="dxa"/>
          <w:bottom w:w="28" w:type="dxa"/>
          <w:right w:w="28" w:type="dxa"/>
        </w:tblCellMar>
      </w:tblPr>
      <w:tblGrid>
        <w:gridCol w:w="271"/>
        <w:gridCol w:w="238"/>
        <w:gridCol w:w="238"/>
        <w:gridCol w:w="589"/>
        <w:gridCol w:w="589"/>
        <w:gridCol w:w="832"/>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75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Kazi Hasan</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Kazi Hasan</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240" w:after="200"/>
        <w:ind w:left="0" w:right="0" w:firstLine="72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73685"/>
                <wp:effectExtent l="0" t="0" r="0" b="0"/>
                <wp:wrapNone/>
                <wp:docPr id="53" name="Frame5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lineRule="auto" w:line="240"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 RULES 13a-14(a) AND 15d-14(a)</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OF THE SARBANES-OXLEY ACT OF 2002</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Adam Comora,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6437"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134"/>
        <w:gridCol w:w="134"/>
        <w:gridCol w:w="136"/>
        <w:gridCol w:w="109"/>
        <w:gridCol w:w="109"/>
        <w:gridCol w:w="109"/>
        <w:gridCol w:w="812"/>
        <w:gridCol w:w="812"/>
        <w:gridCol w:w="115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Adam Comora</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(Co-Principal Executive Officer)</w:t>
            </w:r>
          </w:p>
        </w:tc>
      </w:tr>
    </w:tbl>
    <w:p>
      <w:pPr>
        <w:pStyle w:val="TextBody"/>
        <w:bidi w:val="0"/>
        <w:spacing w:lineRule="auto" w:line="240"/>
        <w:jc w:val="left"/>
        <w:rPr>
          <w:color w:val="000000"/>
          <w:shd w:fill="FFFFFF" w:val="clear"/>
        </w:rPr>
      </w:pPr>
      <w:r>
        <w:rPr>
          <w:color w:val="000000"/>
          <w:shd w:fill="FFFFFF" w:val="clea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lineRule="auto" w:line="240"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 RULES 13a-14(a) AND 15d-14(a)</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OF THE SARBANES-OXLEY ACT OF 2002</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Jonathan Maurer,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6436"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134"/>
        <w:gridCol w:w="134"/>
        <w:gridCol w:w="136"/>
        <w:gridCol w:w="109"/>
        <w:gridCol w:w="109"/>
        <w:gridCol w:w="109"/>
        <w:gridCol w:w="810"/>
        <w:gridCol w:w="810"/>
        <w:gridCol w:w="115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Jonathan Maurer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(Co-Principal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31.3</w:t>
      </w:r>
    </w:p>
    <w:p>
      <w:pPr>
        <w:pStyle w:val="TextBody"/>
        <w:bidi w:val="0"/>
        <w:spacing w:lineRule="auto" w:line="240"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 RULES 13a-14(a) AND 15d-14(a)</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OF THE SARBANES-OXLEY ACT OF 2002</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Kazi Hasan,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color w:val="000000"/>
          <w:shd w:fill="FFFFFF" w:val="clear"/>
        </w:rPr>
      </w:pPr>
      <w:r>
        <w:rPr>
          <w:color w:val="000000"/>
          <w:shd w:fill="FFFFFF" w:val="clear"/>
        </w:rPr>
        <w:t> </w:t>
      </w:r>
    </w:p>
    <w:tbl>
      <w:tblPr>
        <w:tblW w:w="6077"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134"/>
        <w:gridCol w:w="134"/>
        <w:gridCol w:w="136"/>
        <w:gridCol w:w="109"/>
        <w:gridCol w:w="109"/>
        <w:gridCol w:w="109"/>
        <w:gridCol w:w="707"/>
        <w:gridCol w:w="707"/>
        <w:gridCol w:w="100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Kazi Hasan</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40" w:before="0" w:after="0"/>
        <w:jc w:val="left"/>
        <w:rPr>
          <w:color w:val="000000"/>
          <w:shd w:fill="FFFFFF" w:val="clear"/>
        </w:rPr>
      </w:pPr>
      <w:r>
        <w:rPr>
          <w:color w:val="000000"/>
          <w:shd w:fill="FFFFFF" w:val="clear"/>
        </w:rPr>
        <w:t>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40"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erif" w:hAnsi="Times New Roman;serif"/>
          <w:b w:val="false"/>
          <w:color w:val="000000"/>
          <w:sz w:val="20"/>
          <w:shd w:fill="FFFFFF" w:val="clear"/>
        </w:rPr>
        <w:t xml:space="preserve">In connection with the </w:t>
      </w:r>
      <w:r>
        <w:rPr>
          <w:rFonts w:ascii="Times New Roman;serif" w:hAnsi="Times New Roman;serif"/>
          <w:b w:val="false"/>
          <w:color w:val="000000"/>
          <w:sz w:val="20"/>
        </w:rPr>
        <w:t>Quarterly Report</w:t>
      </w:r>
      <w:r>
        <w:rPr>
          <w:color w:val="000000"/>
          <w:shd w:fill="FFFFFF" w:val="clear"/>
        </w:rPr>
        <w:t xml:space="preserve"> </w:t>
      </w:r>
      <w:r>
        <w:rPr>
          <w:rFonts w:ascii="Times New Roman;serif" w:hAnsi="Times New Roman;serif"/>
          <w:b w:val="false"/>
          <w:color w:val="000000"/>
          <w:sz w:val="20"/>
          <w:shd w:fill="FFFFFF" w:val="clear"/>
        </w:rPr>
        <w:t>of OPAL Fuels Inc. (the “</w:t>
      </w:r>
      <w:r>
        <w:rPr>
          <w:rFonts w:ascii="Times New Roman;serif" w:hAnsi="Times New Roman;serif"/>
          <w:b w:val="false"/>
          <w:color w:val="000000"/>
          <w:sz w:val="20"/>
          <w:u w:val="single"/>
          <w:shd w:fill="FFFFFF" w:val="clear"/>
        </w:rPr>
        <w:t>Company</w:t>
      </w:r>
      <w:r>
        <w:rPr>
          <w:color w:val="000000"/>
          <w:shd w:fill="FFFFFF" w:val="clear"/>
        </w:rPr>
        <w:t>”</w:t>
      </w:r>
      <w:r>
        <w:rPr>
          <w:rFonts w:ascii="Times New Roman;serif" w:hAnsi="Times New Roman;serif"/>
          <w:b w:val="false"/>
          <w:color w:val="000000"/>
          <w:sz w:val="20"/>
          <w:shd w:fill="FFFFFF" w:val="clear"/>
        </w:rPr>
        <w:t>) on Form </w:t>
      </w:r>
      <w:r>
        <w:rPr>
          <w:rFonts w:ascii="Times New Roman;serif" w:hAnsi="Times New Roman;serif"/>
          <w:b w:val="false"/>
          <w:color w:val="000000"/>
          <w:sz w:val="20"/>
        </w:rPr>
        <w:t>10-Q</w:t>
      </w:r>
      <w:r>
        <w:rPr>
          <w:color w:val="000000"/>
          <w:shd w:fill="FFFFFF" w:val="clear"/>
        </w:rPr>
        <w:t>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period</w:t>
      </w:r>
      <w:r>
        <w:rPr>
          <w:color w:val="000000"/>
          <w:shd w:fill="FFFFFF" w:val="clear"/>
        </w:rPr>
        <w:t xml:space="preserve">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as filed with the Securities and Exchange Commission on the date hereof (the “</w:t>
      </w:r>
      <w:r>
        <w:rPr>
          <w:rFonts w:ascii="Times New Roman;serif" w:hAnsi="Times New Roman;serif"/>
          <w:b w:val="false"/>
          <w:color w:val="000000"/>
          <w:sz w:val="20"/>
          <w:u w:val="single"/>
          <w:shd w:fill="FFFFFF" w:val="clear"/>
        </w:rPr>
        <w:t>Report</w:t>
      </w:r>
      <w:r>
        <w:rPr>
          <w:color w:val="000000"/>
          <w:shd w:fill="FFFFFF" w:val="clear"/>
        </w:rPr>
        <w:t>”</w:t>
      </w:r>
      <w:r>
        <w:rPr>
          <w:rFonts w:ascii="Times New Roman;serif" w:hAnsi="Times New Roman;serif"/>
          <w:b w:val="false"/>
          <w:color w:val="000000"/>
          <w:sz w:val="20"/>
          <w:shd w:fill="FFFFFF" w:val="clear"/>
        </w:rPr>
        <w:t>), I, Adam Comora, Co-Chief Executive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40" w:before="0" w:after="0"/>
        <w:jc w:val="left"/>
        <w:rPr>
          <w:color w:val="000000"/>
          <w:shd w:fill="FFFFFF" w:val="clear"/>
        </w:rPr>
      </w:pPr>
      <w:r>
        <w:rPr>
          <w:color w:val="000000"/>
          <w:shd w:fill="FFFFFF" w:val="clear"/>
        </w:rPr>
        <w:t> </w:t>
      </w:r>
    </w:p>
    <w:tbl>
      <w:tblPr>
        <w:tblW w:w="6449"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109"/>
        <w:gridCol w:w="109"/>
        <w:gridCol w:w="109"/>
        <w:gridCol w:w="109"/>
        <w:gridCol w:w="109"/>
        <w:gridCol w:w="109"/>
        <w:gridCol w:w="838"/>
        <w:gridCol w:w="838"/>
        <w:gridCol w:w="118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Adam Comora</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 Adam Comora</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 Co-Chief Executive Officer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(Co-Principal Executive Officer)</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37565"/>
                <wp:effectExtent l="0" t="0" r="0" b="0"/>
                <wp:wrapNone/>
                <wp:docPr id="60" name="Frame6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32.2</w:t>
      </w:r>
    </w:p>
    <w:p>
      <w:pPr>
        <w:pStyle w:val="TextBody"/>
        <w:bidi w:val="0"/>
        <w:spacing w:lineRule="auto" w:line="240"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erif" w:hAnsi="Times New Roman;serif"/>
          <w:b w:val="false"/>
          <w:color w:val="000000"/>
          <w:sz w:val="20"/>
          <w:shd w:fill="FFFFFF" w:val="clear"/>
        </w:rPr>
        <w:t xml:space="preserve">In connection with the </w:t>
      </w:r>
      <w:r>
        <w:rPr>
          <w:rFonts w:ascii="Times New Roman;serif" w:hAnsi="Times New Roman;serif"/>
          <w:b w:val="false"/>
          <w:color w:val="000000"/>
          <w:sz w:val="20"/>
        </w:rPr>
        <w:t>Quarterly Report</w:t>
      </w:r>
      <w:r>
        <w:rPr>
          <w:color w:val="000000"/>
          <w:shd w:fill="FFFFFF" w:val="clear"/>
        </w:rPr>
        <w:t xml:space="preserve"> </w:t>
      </w:r>
      <w:r>
        <w:rPr>
          <w:rFonts w:ascii="Times New Roman;serif" w:hAnsi="Times New Roman;serif"/>
          <w:b w:val="false"/>
          <w:color w:val="000000"/>
          <w:sz w:val="20"/>
          <w:shd w:fill="FFFFFF" w:val="clear"/>
        </w:rPr>
        <w:t>of OPAL Fuels Inc. (the “</w:t>
      </w:r>
      <w:r>
        <w:rPr>
          <w:rFonts w:ascii="Times New Roman;serif" w:hAnsi="Times New Roman;serif"/>
          <w:b w:val="false"/>
          <w:color w:val="000000"/>
          <w:sz w:val="20"/>
          <w:u w:val="single"/>
          <w:shd w:fill="FFFFFF" w:val="clear"/>
        </w:rPr>
        <w:t>Company</w:t>
      </w:r>
      <w:r>
        <w:rPr>
          <w:color w:val="000000"/>
          <w:shd w:fill="FFFFFF" w:val="clear"/>
        </w:rPr>
        <w:t>”</w:t>
      </w:r>
      <w:r>
        <w:rPr>
          <w:rFonts w:ascii="Times New Roman;serif" w:hAnsi="Times New Roman;serif"/>
          <w:b w:val="false"/>
          <w:color w:val="000000"/>
          <w:sz w:val="20"/>
          <w:shd w:fill="FFFFFF" w:val="clear"/>
        </w:rPr>
        <w:t>) on Form </w:t>
      </w:r>
      <w:r>
        <w:rPr>
          <w:rFonts w:ascii="Times New Roman;serif" w:hAnsi="Times New Roman;serif"/>
          <w:b w:val="false"/>
          <w:color w:val="000000"/>
          <w:sz w:val="20"/>
        </w:rPr>
        <w:t>10-Q</w:t>
      </w:r>
      <w:r>
        <w:rPr>
          <w:color w:val="000000"/>
          <w:shd w:fill="FFFFFF" w:val="clear"/>
        </w:rPr>
        <w:t>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period</w:t>
      </w:r>
      <w:r>
        <w:rPr>
          <w:color w:val="000000"/>
          <w:shd w:fill="FFFFFF" w:val="clear"/>
        </w:rPr>
        <w:t xml:space="preserve">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as filed with the Securities and Exchange Commission on the date hereof (the “</w:t>
      </w:r>
      <w:r>
        <w:rPr>
          <w:rFonts w:ascii="Times New Roman;serif" w:hAnsi="Times New Roman;serif"/>
          <w:b w:val="false"/>
          <w:color w:val="000000"/>
          <w:sz w:val="20"/>
          <w:u w:val="single"/>
          <w:shd w:fill="FFFFFF" w:val="clear"/>
        </w:rPr>
        <w:t>Report</w:t>
      </w:r>
      <w:r>
        <w:rPr>
          <w:color w:val="000000"/>
          <w:shd w:fill="FFFFFF" w:val="clear"/>
        </w:rPr>
        <w:t>”</w:t>
      </w:r>
      <w:r>
        <w:rPr>
          <w:rFonts w:ascii="Times New Roman;serif" w:hAnsi="Times New Roman;serif"/>
          <w:b w:val="false"/>
          <w:color w:val="000000"/>
          <w:sz w:val="20"/>
          <w:shd w:fill="FFFFFF" w:val="clear"/>
        </w:rPr>
        <w:t>), I, Jonathan Maurer, Co-Chief Executive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6450"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109"/>
        <w:gridCol w:w="109"/>
        <w:gridCol w:w="109"/>
        <w:gridCol w:w="109"/>
        <w:gridCol w:w="109"/>
        <w:gridCol w:w="109"/>
        <w:gridCol w:w="836"/>
        <w:gridCol w:w="836"/>
        <w:gridCol w:w="119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Jonathan Maurer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 Jonathan Maurer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 Co-Chief Executive Officer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(Co-Principal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37565"/>
                <wp:effectExtent l="0" t="0" r="0" b="0"/>
                <wp:wrapNone/>
                <wp:docPr id="61" name="Frame6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32.3</w:t>
      </w:r>
    </w:p>
    <w:p>
      <w:pPr>
        <w:pStyle w:val="TextBody"/>
        <w:bidi w:val="0"/>
        <w:spacing w:lineRule="auto" w:line="240"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erif" w:hAnsi="Times New Roman;serif"/>
          <w:b w:val="false"/>
          <w:color w:val="000000"/>
          <w:sz w:val="20"/>
          <w:shd w:fill="FFFFFF" w:val="clear"/>
        </w:rPr>
        <w:t>In connection with the Quarterly Report of OPAL Fuels Inc. (the “</w:t>
      </w:r>
      <w:r>
        <w:rPr>
          <w:rFonts w:ascii="Times New Roman;serif" w:hAnsi="Times New Roman;serif"/>
          <w:b w:val="false"/>
          <w:color w:val="000000"/>
          <w:sz w:val="20"/>
          <w:u w:val="single"/>
          <w:shd w:fill="FFFFFF" w:val="clear"/>
        </w:rPr>
        <w:t>Company</w:t>
      </w:r>
      <w:r>
        <w:rPr>
          <w:color w:val="000000"/>
          <w:shd w:fill="FFFFFF" w:val="clear"/>
        </w:rPr>
        <w:t>”</w:t>
      </w:r>
      <w:r>
        <w:rPr>
          <w:rFonts w:ascii="Times New Roman;serif" w:hAnsi="Times New Roman;serif"/>
          <w:b w:val="false"/>
          <w:color w:val="000000"/>
          <w:sz w:val="20"/>
          <w:shd w:fill="FFFFFF" w:val="clear"/>
        </w:rPr>
        <w:t>) on Form </w:t>
      </w:r>
      <w:r>
        <w:rPr>
          <w:rFonts w:ascii="Times New Roman;serif" w:hAnsi="Times New Roman;serif"/>
          <w:b w:val="false"/>
          <w:color w:val="000000"/>
          <w:sz w:val="20"/>
        </w:rPr>
        <w:t>10-Q</w:t>
      </w:r>
      <w:r>
        <w:rPr>
          <w:color w:val="000000"/>
          <w:shd w:fill="FFFFFF" w:val="clear"/>
        </w:rPr>
        <w:t>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period</w:t>
      </w:r>
      <w:r>
        <w:rPr>
          <w:color w:val="000000"/>
          <w:shd w:fill="FFFFFF" w:val="clear"/>
        </w:rPr>
        <w:t xml:space="preserve">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as filed with the Securities and Exchange Commission on the date hereof (the “</w:t>
      </w:r>
      <w:r>
        <w:rPr>
          <w:rFonts w:ascii="Times New Roman;serif" w:hAnsi="Times New Roman;serif"/>
          <w:b w:val="false"/>
          <w:color w:val="000000"/>
          <w:sz w:val="20"/>
          <w:u w:val="single"/>
          <w:shd w:fill="FFFFFF" w:val="clear"/>
        </w:rPr>
        <w:t>Report</w:t>
      </w:r>
      <w:r>
        <w:rPr>
          <w:color w:val="000000"/>
          <w:shd w:fill="FFFFFF" w:val="clear"/>
        </w:rPr>
        <w:t>”</w:t>
      </w:r>
      <w:r>
        <w:rPr>
          <w:rFonts w:ascii="Times New Roman;serif" w:hAnsi="Times New Roman;serif"/>
          <w:b w:val="false"/>
          <w:color w:val="000000"/>
          <w:sz w:val="20"/>
          <w:shd w:fill="FFFFFF" w:val="clear"/>
        </w:rPr>
        <w:t>), I, Kazi Hasan, Chief Financial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40" w:before="0" w:after="0"/>
        <w:jc w:val="left"/>
        <w:rPr>
          <w:color w:val="000000"/>
          <w:shd w:fill="FFFFFF" w:val="clear"/>
        </w:rPr>
      </w:pPr>
      <w:r>
        <w:rPr>
          <w:color w:val="000000"/>
          <w:shd w:fill="FFFFFF" w:val="clear"/>
        </w:rPr>
        <w:t> </w:t>
      </w:r>
    </w:p>
    <w:tbl>
      <w:tblPr>
        <w:tblW w:w="6090"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109"/>
        <w:gridCol w:w="109"/>
        <w:gridCol w:w="109"/>
        <w:gridCol w:w="109"/>
        <w:gridCol w:w="109"/>
        <w:gridCol w:w="109"/>
        <w:gridCol w:w="733"/>
        <w:gridCol w:w="733"/>
        <w:gridCol w:w="103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Kazi Hasan</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 Kazi Hasan</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37565"/>
                <wp:effectExtent l="0" t="0" r="0" b="0"/>
                <wp:wrapNone/>
                <wp:docPr id="62" name="Frame6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2279/000121390022046338/ea164030ex3-1_opal.htm" TargetMode="External"/><Relationship Id="rId3" Type="http://schemas.openxmlformats.org/officeDocument/2006/relationships/hyperlink" Target="https://www.sec.gov/Archives/edgar/data/1842279/000121390022042020/ea163248ex3-2_opal.htm" TargetMode="External"/><Relationship Id="rId4" Type="http://schemas.openxmlformats.org/officeDocument/2006/relationships/hyperlink" Target="https://www.sec.gov/Archives/edgar/data/1842279/000162828026016131/a31opalfuelsllc-amendedand.htm" TargetMode="External"/><Relationship Id="rId5" Type="http://schemas.openxmlformats.org/officeDocument/2006/relationships/hyperlink" Target="https://www.sec.gov/Archives/edgar/data/1842279/000162828026036906/hillman-preferredstock.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25433</Words>
  <Characters>140136</Characters>
  <CharactersWithSpaces>163989</CharactersWithSpaces>
  <Paragraphs>4332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