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4, 2022 (July 29,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001-40272</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98-1578357</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North Lexington Avenue</w:t>
      </w:r>
      <w:r>
        <w:rPr>
          <w:rFonts w:ascii="Arial" w:cs="Arial" w:eastAsia="Arial" w:hAnsi="Arial"/>
          <w:sz w:val="18"/>
          <w:szCs w:val="18"/>
          <w:b w:val="1"/>
          <w:bCs w:val="1"/>
          <w:color w:val="3051F2"/>
        </w:rPr>
        <w:t>,</w:t>
      </w:r>
      <w:r>
        <w:rPr>
          <w:rFonts w:ascii="Times New Roman" w:cs="Times New Roman" w:eastAsia="Times New Roman" w:hAnsi="Times New Roman"/>
          <w:sz w:val="18"/>
          <w:szCs w:val="18"/>
          <w:b w:val="1"/>
          <w:bCs w:val="1"/>
          <w:color w:val="auto"/>
        </w:rPr>
        <w:t xml:space="preserve"> Suite 1450</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1245" w:right="339" w:bottom="1440" w:gutter="0" w:footer="0" w:header="0"/>
          <w:type w:val="continuous"/>
        </w:sect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9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42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OPAL</w:t>
            </w:r>
          </w:p>
        </w:tc>
        <w:tc>
          <w:tcPr>
            <w:tcW w:w="720" w:type="dxa"/>
            <w:vAlign w:val="bottom"/>
          </w:tcPr>
          <w:p>
            <w:pPr>
              <w:spacing w:after="0"/>
              <w:rPr>
                <w:sz w:val="24"/>
                <w:szCs w:val="24"/>
                <w:color w:val="auto"/>
              </w:rPr>
            </w:pPr>
          </w:p>
        </w:tc>
        <w:tc>
          <w:tcPr>
            <w:tcW w:w="39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65"/>
        </w:trPr>
        <w:tc>
          <w:tcPr>
            <w:tcW w:w="4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42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w w:val="96"/>
              </w:rPr>
              <w:t>OPALW</w:t>
            </w:r>
          </w:p>
        </w:tc>
        <w:tc>
          <w:tcPr>
            <w:tcW w:w="720" w:type="dxa"/>
            <w:vAlign w:val="bottom"/>
          </w:tcPr>
          <w:p>
            <w:pPr>
              <w:spacing w:after="0"/>
              <w:rPr>
                <w:sz w:val="23"/>
                <w:szCs w:val="23"/>
                <w:color w:val="auto"/>
              </w:rPr>
            </w:pPr>
          </w:p>
        </w:tc>
        <w:tc>
          <w:tcPr>
            <w:tcW w:w="39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26"/>
        </w:trPr>
        <w:tc>
          <w:tcPr>
            <w:tcW w:w="4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9"/>
              </w:rPr>
              <w:t>share of Class A Common Stock</w:t>
            </w:r>
          </w:p>
        </w:tc>
        <w:tc>
          <w:tcPr>
            <w:tcW w:w="42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3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6"/>
        </w:trPr>
        <w:tc>
          <w:tcPr>
            <w:tcW w:w="1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ind w:right="1620"/>
        <w:spacing w:after="0" w:line="294"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9"/>
          <w:szCs w:val="19"/>
          <w:color w:val="auto"/>
        </w:rPr>
        <w:t>☒</w:t>
      </w:r>
    </w:p>
    <w:p>
      <w:pPr>
        <w:spacing w:after="0" w:line="61" w:lineRule="exact"/>
        <w:rPr>
          <w:sz w:val="20"/>
          <w:szCs w:val="20"/>
          <w:color w:val="auto"/>
        </w:rPr>
      </w:pPr>
    </w:p>
    <w:p>
      <w:pPr>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 xml:space="preserve">Item 3.02 - </w:t>
      </w:r>
      <w:r>
        <w:rPr>
          <w:rFonts w:ascii="Times New Roman" w:cs="Times New Roman" w:eastAsia="Times New Roman" w:hAnsi="Times New Roman"/>
          <w:sz w:val="17"/>
          <w:szCs w:val="17"/>
          <w:b w:val="1"/>
          <w:bCs w:val="1"/>
          <w:color w:val="auto"/>
        </w:rPr>
        <w:t>Unregistered Sales of Equity Securities.</w:t>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As previously announced, in connection with the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between OPAL Fuels Inc. (f/k/a ArcLight Clean Transition Corp. II)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OPAL Fuels LLC, the Company entered into subscription agreements with certain investors (the “</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for the purchase of the Company’s Class A common stock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and concurrently with the closing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the Company received $105,806,000 in proceeds from the PIPE Investors, in exchange for which it issued 10,580,600 shares of Class A common stock to the PIPE Investors. On July 29, 2022, the Company received payment in full of the remaining outstanding subscription commitment from the PIPE Investors in the amount of $5,000,000, in exchange for which it issued an additional 500,000 shares of Class A common stock. As a result, the Company received a total of $110,806,000 in proceeds from the PIPE Investors, in exchange for which it issued 11,080,600 shares of its Class A common stock. The shares of Class A common stock offered and sold pursuant to the PIPE Investment have not been registered under the Securities Act in reliance on the exemption from registration provided by Section 4(a)(2)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1722120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August 4, 2022</w:t>
      </w:r>
    </w:p>
    <w:p>
      <w:pPr>
        <w:spacing w:after="0" w:line="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2022-08-04T15:52:43Z</dcterms:created>
  <dcterms:modified xsi:type="dcterms:W3CDTF">2022-08-04T15:52:43Z</dcterms:modified>
</cp:coreProperties>
</file>