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wf-form4_168064168518654.xml.htm"/>
      <w:bookmarkStart w:id="1" w:name="kswfform4_16806416851865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Edelbach Scott</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ONE NORTH LEXINGTON AVE, 14TH FLOOR</w:t>
                  </w:r>
                </w:p>
              </w:tc>
            </w:tr>
            <w:tr>
              <w:trPr/>
              <w:tc>
                <w:tcPr>
                  <w:tcW w:w="345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WHITE PLAINS</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10601</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OPAL Fuels Inc.</w:t>
              </w:r>
            </w:hyperlink>
            <w:r>
              <w:rPr/>
              <w:t xml:space="preserve"> [ </w:t>
            </w:r>
            <w:r>
              <w:rPr>
                <w:rFonts w:ascii="Times;serif" w:hAnsi="Times;serif"/>
                <w:color w:val="0000FF"/>
                <w:sz w:val="24"/>
                <w:highlight w:val="white"/>
              </w:rPr>
              <w:t>OPAL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Executive Vice President</w:t>
                  </w:r>
                  <w:r>
                    <w:rPr/>
                    <w:t xml:space="preserve"> </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03/31/2023</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2"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2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7"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12149" w:type="dxa"/>
        <w:jc w:val="left"/>
        <w:tblInd w:w="0" w:type="dxa"/>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46"/>
        <w:gridCol w:w="801"/>
        <w:gridCol w:w="801"/>
        <w:gridCol w:w="936"/>
        <w:gridCol w:w="831"/>
        <w:gridCol w:w="846"/>
      </w:tblGrid>
      <w:tr>
        <w:trPr>
          <w:tblHeader w:val="true"/>
        </w:trPr>
        <w:tc>
          <w:tcPr>
            <w:tcW w:w="12149"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4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4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98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Stock options (right to buy)</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6.97</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03/31/2023</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A</w:t>
            </w:r>
            <w:r>
              <w:rPr>
                <w:rFonts w:ascii="Times;serif" w:hAnsi="Times;serif"/>
                <w:color w:val="008000"/>
                <w:position w:val="7"/>
                <w:sz w:val="16"/>
                <w:sz w:val="20"/>
                <w:highlight w:val="white"/>
              </w:rPr>
              <w:t>(1)</w:t>
            </w:r>
            <w:r>
              <w:rPr/>
              <w:t xml:space="preserve"> </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6,654</w:t>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(2)(3)(4)(5)</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03/31/2033</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6,654</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6,654</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Restricted Stock Units</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(6)</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03/31/2023</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A</w:t>
            </w:r>
            <w:r>
              <w:rPr>
                <w:rFonts w:ascii="Times;serif" w:hAnsi="Times;serif"/>
                <w:color w:val="008000"/>
                <w:position w:val="7"/>
                <w:sz w:val="16"/>
                <w:sz w:val="20"/>
                <w:highlight w:val="white"/>
              </w:rPr>
              <w:t>(1)</w:t>
            </w:r>
            <w:r>
              <w:rPr/>
              <w:t xml:space="preserve"> </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12,554</w:t>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(7)(8)(9)(10)</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(6)</w:t>
            </w:r>
            <w:r>
              <w:rPr/>
              <w:t xml:space="preserve"> </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12,554</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22,554</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Granted pursuant to the Issuer's 2022 Omnibus Equity Incentive Plan (the "Plan").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Reporting Person was granted an option to purchase shares of the Issuer's Class A common stock (the "Option") at an exercise price of $6.97 per share, which was the closing price per share of the Issuer's Class A common stock on March 31, 2023, as quoted on the Nasdaq Stock Market. The Option vests in three (3) equal installments on each of the following dates: (i) March 31, 2024, (ii) March 31, 2025, and (iii) March 31, 2026, provided, that the Reporting Person continues to provide services to the Issuer through the applicable vesting date.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In the event that the Reporting Person's employment is terminated by reason of the Reporting Person's disability or termination without cause, the Options shall vest with respect to the number of shares of Class A common stock that would have vested upon the next vesting date following such termination, had the Reporting Person remained an employee.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Notwithstanding the foregoing, upon the occurrence of a termination of employment by reason of the Reporting Person's (i) termination without cause; or (ii) resignation for good reason, in connection with or within the 24 months following the consummation of a Change in Control (as defined in the Plan and the relevant award agreement), any unvested portion of the Option shall accelerate and vest in full.</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5. Upon the occurrence of a termination by reason of the Reporting Person's death, any unvested portion of the Option shall accelerate and vest in full.</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6. Each restricted stock unit represents the contingent right to receive, at settlement, one share of the Issuer's Class A common stock.</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7. The restricted stock units vest in three equal installments on March 31, 2024, March 31, 2025 and March 31, 2026, provided that the Reporting Person continues to provide services to the Issuer through the applicable vesting date.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8. In the event that the Reporting Person's employment is terminated by reason of the Reporting Person's disability or termination without cause, the restricted stock units (the "RSUs") shall vest with respect to the number of RSUs that would have vested upon the next vesting date following such termination had the Reporting Person remained an employee.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9. Notwithstanding the foregoing, upon the occurrence of a termination of employment by reason of the Reporting Person's (i) termination without cause; or (ii) resignation for good reason, in connection with or within the 24 months following the consummation of a Change in Control (as defined in the Plan and the relevant award agreement), any unvested portion of the RSUs shall accelerate and vest in full.</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10. Upon the occurrence of a termination by reason of the Reporting Person's death, any unvested portion of the RSUs shall accelerate and vest in full.</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John Coghlin as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04/03/2023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930676" TargetMode="External"/><Relationship Id="rId4" Type="http://schemas.openxmlformats.org/officeDocument/2006/relationships/hyperlink" Target="http://www.sec.gov/cgi-bin/browse-edgar?action=getcompany&amp;CIK=0001842279"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1016</Words>
  <CharactersWithSpaces>6311</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