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860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6092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00" w:type="dxa"/>
            <w:vAlign w:val="bottom"/>
            <w:gridSpan w:val="2"/>
            <w:vMerge w:val="restart"/>
          </w:tcPr>
          <w:p>
            <w:pPr>
              <w:ind w:left="20"/>
              <w:spacing w:after="0"/>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Dols Scott V.</w:t>
              </w:r>
            </w:hyperlink>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24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1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39"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03/31/2025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10601</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03/31/2025</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27,218</w:t>
            </w:r>
          </w:p>
        </w:tc>
        <w:tc>
          <w:tcPr>
            <w:tcW w:w="6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56,712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w w:val="98"/>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and 4)</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27,218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03/31/2025</w:t>
            </w:r>
          </w:p>
        </w:tc>
        <w:tc>
          <w:tcPr>
            <w:tcW w:w="1080" w:type="dxa"/>
            <w:vAlign w:val="bottom"/>
          </w:tcPr>
          <w:p>
            <w:pPr>
              <w:spacing w:after="0"/>
              <w:rPr>
                <w:sz w:val="12"/>
                <w:szCs w:val="12"/>
                <w:color w:val="auto"/>
              </w:rPr>
            </w:pPr>
          </w:p>
        </w:tc>
        <w:tc>
          <w:tcPr>
            <w:tcW w:w="760" w:type="dxa"/>
            <w:vAlign w:val="bottom"/>
          </w:tcPr>
          <w:p>
            <w:pPr>
              <w:jc w:val="center"/>
              <w:ind w:right="26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27,218</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66,073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03/31/2025</w:t>
            </w:r>
          </w:p>
        </w:tc>
        <w:tc>
          <w:tcPr>
            <w:tcW w:w="1080" w:type="dxa"/>
            <w:vAlign w:val="bottom"/>
          </w:tcPr>
          <w:p>
            <w:pPr>
              <w:spacing w:after="0"/>
              <w:rPr>
                <w:sz w:val="12"/>
                <w:szCs w:val="12"/>
                <w:color w:val="auto"/>
              </w:rPr>
            </w:pPr>
          </w:p>
        </w:tc>
        <w:tc>
          <w:tcPr>
            <w:tcW w:w="76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66,073</w:t>
            </w:r>
          </w:p>
        </w:tc>
        <w:tc>
          <w:tcPr>
            <w:tcW w:w="5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66,073</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-2171065</wp:posOffset>
            </wp:positionV>
            <wp:extent cx="28575" cy="2176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7614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19" w:lineRule="exact"/>
        <w:rPr>
          <w:rFonts w:ascii="Times New Roman" w:cs="Times New Roman" w:eastAsia="Times New Roman" w:hAnsi="Times New Roman"/>
          <w:sz w:val="13"/>
          <w:szCs w:val="13"/>
          <w:color w:val="008000"/>
        </w:rPr>
      </w:pPr>
    </w:p>
    <w:p>
      <w:pPr>
        <w:ind w:left="40" w:right="24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2025, the Reporting Person was granted 66,073 RSUs pursuant to the terms of the Issuer's 2022 Omnibus Equity Incentive Plan. The RSUs are scheduled to vest on March 31, 2026, provided that the Reporting Person continues to provide services to the Issuer through the applicable vesting date. Each restricted stock unit represents the right to receive, at settlement, one share of Class A common stock.</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9919"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2025-04-02T16:50:48Z</dcterms:created>
  <dcterms:modified xsi:type="dcterms:W3CDTF">2025-04-02T16:50:48Z</dcterms:modified>
</cp:coreProperties>
</file>