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-5080</wp:posOffset>
            </wp:positionV>
            <wp:extent cx="118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120" w:type="dxa"/>
            <w:vAlign w:val="bottom"/>
          </w:tcPr>
          <w:p>
            <w:pPr>
              <w:jc w:val="center"/>
              <w:ind w:right="21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49"/>
        </w:trPr>
        <w:tc>
          <w:tcPr>
            <w:tcW w:w="4120" w:type="dxa"/>
            <w:vAlign w:val="bottom"/>
          </w:tcPr>
          <w:p>
            <w:pPr>
              <w:jc w:val="center"/>
              <w:ind w:right="21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1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6360" w:type="dxa"/>
            <w:vAlign w:val="bottom"/>
            <w:gridSpan w:val="2"/>
          </w:tcPr>
          <w:p>
            <w:pPr>
              <w:jc w:val="center"/>
              <w:ind w:right="742"/>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 Suite 1450</w:t>
            </w:r>
          </w:p>
        </w:tc>
        <w:tc>
          <w:tcPr>
            <w:tcW w:w="2680" w:type="dxa"/>
            <w:vAlign w:val="bottom"/>
          </w:tcPr>
          <w:p>
            <w:pPr>
              <w:spacing w:after="0"/>
              <w:rPr>
                <w:sz w:val="24"/>
                <w:szCs w:val="24"/>
                <w:color w:val="auto"/>
              </w:rPr>
            </w:pPr>
          </w:p>
        </w:tc>
      </w:tr>
      <w:tr>
        <w:trPr>
          <w:trHeight w:val="214"/>
        </w:trPr>
        <w:tc>
          <w:tcPr>
            <w:tcW w:w="4120" w:type="dxa"/>
            <w:vAlign w:val="bottom"/>
          </w:tcPr>
          <w:p>
            <w:pPr>
              <w:jc w:val="center"/>
              <w:ind w:left="1279"/>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2240" w:type="dxa"/>
            <w:vAlign w:val="bottom"/>
          </w:tcPr>
          <w:p>
            <w:pPr>
              <w:spacing w:after="0"/>
              <w:rPr>
                <w:sz w:val="18"/>
                <w:szCs w:val="18"/>
                <w:color w:val="auto"/>
              </w:rPr>
            </w:pPr>
          </w:p>
        </w:tc>
        <w:tc>
          <w:tcPr>
            <w:tcW w:w="268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190"/>
        </w:trPr>
        <w:tc>
          <w:tcPr>
            <w:tcW w:w="412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705-4000</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200 Clarendon Street, 55th Floor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OPAL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OPALW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exercisable for one share of Class A Common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at an exercise price of $11.50</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50" w:orient="portrait"/>
          <w:cols w:equalWidth="0" w:num="1">
            <w:col w:w="11140"/>
          </w:cols>
          <w:pgMar w:left="320" w:top="226" w:right="439" w:bottom="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50" w:orient="portrait"/>
          <w:cols w:equalWidth="0" w:num="4">
            <w:col w:w="1740" w:space="380"/>
            <w:col w:w="5760" w:space="720"/>
            <w:col w:w="1600" w:space="720"/>
            <w:col w:w="220"/>
          </w:cols>
          <w:pgMar w:left="320" w:top="226" w:right="439" w:bottom="0" w:gutter="0" w:footer="0" w:header="0"/>
          <w:type w:val="continuous"/>
        </w:sectPr>
      </w:pP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50" w:orient="portrait"/>
          <w:cols w:equalWidth="0" w:num="4">
            <w:col w:w="1640" w:space="480"/>
            <w:col w:w="5760" w:space="720"/>
            <w:col w:w="1980" w:space="340"/>
            <w:col w:w="220"/>
          </w:cols>
          <w:pgMar w:left="320" w:top="226"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5, 2022, there were 25,171,390 shares of Class A Common Stock, par value $0.0001,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6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the fiscal quarter to which this Quarterly Report on Form 10-Q (this “Quarterly Report”) relates, ArcLight Clean Transition Corp. II (“ArcLight”), now known as OPAL Fuels Inc. (“New OPAL”), consummated the previously announced business combination (the “Business Combination”) with OPAL Holdco LLC, a Delaware limited liability company (“OPAL HoldCo”), and OPAL Fuels LLC (“OPAL Fuels”), a Delaware limited liability company, pursuant to that certain Business Combination Agreement dated December 2, 2021 (the “Business Combination Agreement”), by and among ArcLight, OPAL Fuels and OPAL HoldCo. Pursuant to the Business Combination Agreement, upon the closing of the Business Combination,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(the “Class B ordinary shares”),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New OPAL Class A common stock, par value $0.0001 per share (the “New OPAL Class A common stock”); (iii) each issued and outstanding whole warrant to purchase Class A ordinary shares of ArcLight automatically converted into a warrant to acquire one share of New OPAL Class A common stock at an exercise price of $11.50 per share (each a “New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New OPAL Class A common stock and one-fifth of one New OPAL warrant.</w:t>
      </w:r>
    </w:p>
    <w:p>
      <w:pPr>
        <w:spacing w:after="0" w:line="19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Unless stated otherwise, this Quarterly Report contains information about ArcLight before the Business Combination. References to the “Company,” “our,” “us” or “we” in this Quarterly Report refer to ArcLight before the consummation of the Business Combination and to OPAL Fuels Inc. after the Business Combination, unless stated otherwise or the context otherwise requires. References to “ArcLight” in this Quarterly Report also refer to ArcLight before the consummation of the Business Combination.</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Business Combination, see the Company’s Current Report on Form 8-K filed with the Securities and Exchange Commission on July 27, 2022.</w:t>
      </w:r>
    </w:p>
    <w:p>
      <w:pPr>
        <w:spacing w:after="0" w:line="15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Except as otherwise expressly provided herein, the information in this Quarterly Report does not reflect the consummation of the Business Combination, which, as discussed above, occurred subsequent to the period covered by this Quarterly Report.</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71"/>
        </w:trPr>
        <w:tc>
          <w:tcPr>
            <w:tcW w:w="31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7580" w:type="dxa"/>
            <w:vAlign w:val="bottom"/>
            <w:gridSpan w:val="1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61"/>
        </w:trPr>
        <w:tc>
          <w:tcPr>
            <w:tcW w:w="3100" w:type="dxa"/>
            <w:vAlign w:val="bottom"/>
            <w:tcBorders>
              <w:bottom w:val="single" w:sz="8" w:color="0000EE"/>
            </w:tcBorders>
            <w:gridSpan w:val="10"/>
            <w:vMerge w:val="continue"/>
          </w:tcPr>
          <w:p>
            <w:pPr>
              <w:spacing w:after="0"/>
              <w:rPr>
                <w:sz w:val="13"/>
                <w:szCs w:val="13"/>
                <w:color w:val="auto"/>
              </w:rPr>
            </w:pPr>
          </w:p>
        </w:tc>
        <w:tc>
          <w:tcPr>
            <w:tcW w:w="758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6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Balance Sheets as of June 30, 2022 (unaudited) and December 31, 2021</w:t>
            </w:r>
          </w:p>
        </w:tc>
        <w:tc>
          <w:tcPr>
            <w:tcW w:w="38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and Six Months ended June 30, 2022, the Three Months Ended June 30,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2021 and for the period from January 13, 2021 (inception) through June 30, 2021</w:t>
            </w:r>
          </w:p>
        </w:tc>
        <w:tc>
          <w:tcPr>
            <w:tcW w:w="3800" w:type="dxa"/>
            <w:vAlign w:val="bottom"/>
            <w:tcBorders>
              <w:top w:val="single" w:sz="8" w:color="0000EE"/>
            </w:tcBorders>
            <w:gridSpan w:val="7"/>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Changes in Shareholders’ Deficit for the Three and Six Months ended June 30, 2022, the Three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June 30, 2021 and for the period from January 13, 2021 (inception) through June 30, 2021</w:t>
            </w:r>
          </w:p>
        </w:tc>
        <w:tc>
          <w:tcPr>
            <w:tcW w:w="1920" w:type="dxa"/>
            <w:vAlign w:val="bottom"/>
            <w:tcBorders>
              <w:top w:val="single" w:sz="8" w:color="0000EE"/>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4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Six Months ended June 30, 2022 and for the period from January 13, 2021</w:t>
            </w:r>
          </w:p>
        </w:tc>
        <w:tc>
          <w:tcPr>
            <w:tcW w:w="3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(inception) through June 30, 2021</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Financial Statements</w:t>
            </w:r>
          </w:p>
        </w:tc>
        <w:tc>
          <w:tcPr>
            <w:tcW w:w="60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 (as restated)</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788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3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 from Registered Securities</w:t>
            </w:r>
          </w:p>
        </w:tc>
        <w:tc>
          <w:tcPr>
            <w:tcW w:w="35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80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922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4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2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2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219,127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811,526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701,663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1,513,189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159,954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311,615,892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311,175,471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312,381,387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312,848,614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6,193,192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3,966,447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16,218,840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25,795,700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22,515,550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311,515,892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311,163,050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(excluding 31,116,305 shares subject to</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 at June 30, 2022 and December 31, 2021</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 at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(21,650,833)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(39,081,329)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(21,650,055)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(39,080,551)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312,381,387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312,848,614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280" w:type="dxa"/>
            <w:vAlign w:val="bottom"/>
            <w:gridSpan w:val="3"/>
            <w:vMerge w:val="restart"/>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80" w:type="dxa"/>
            <w:vAlign w:val="bottom"/>
          </w:tcPr>
          <w:p>
            <w:pPr>
              <w:spacing w:after="0"/>
              <w:rPr>
                <w:sz w:val="12"/>
                <w:szCs w:val="12"/>
                <w:color w:val="auto"/>
              </w:rPr>
            </w:pPr>
          </w:p>
        </w:tc>
        <w:tc>
          <w:tcPr>
            <w:tcW w:w="11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13, 2021</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2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80" w:type="dxa"/>
            <w:vAlign w:val="bottom"/>
            <w:gridSpan w:val="3"/>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 June 30,</w:t>
            </w:r>
          </w:p>
        </w:tc>
        <w:tc>
          <w:tcPr>
            <w:tcW w:w="0" w:type="dxa"/>
            <w:vAlign w:val="bottom"/>
          </w:tcPr>
          <w:p>
            <w:pPr>
              <w:spacing w:after="0"/>
              <w:rPr>
                <w:sz w:val="1"/>
                <w:szCs w:val="1"/>
                <w:color w:val="auto"/>
              </w:rPr>
            </w:pPr>
          </w:p>
        </w:tc>
      </w:tr>
      <w:tr>
        <w:trPr>
          <w:trHeight w:val="180"/>
        </w:trPr>
        <w:tc>
          <w:tcPr>
            <w:tcW w:w="6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gridSpan w:val="2"/>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20" w:type="dxa"/>
            <w:vAlign w:val="bottom"/>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1,733,643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394,413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3,124,650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522,889</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(1,733,643)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(394,413)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(3,124,650)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4,325,040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6"/>
              </w:rPr>
              <w:t>(11,225,560)</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9,576,860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279,890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80" w:type="dxa"/>
            <w:vAlign w:val="bottom"/>
          </w:tcPr>
          <w:p>
            <w:pPr>
              <w:spacing w:after="0"/>
              <w:rPr>
                <w:sz w:val="18"/>
                <w:szCs w:val="18"/>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415,868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440,421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5,020,798</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(11,221,256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10,297,171</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(11,412,563)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3,287,155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(11,615,669</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7,172,521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(11,935,452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31,116,305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31,116,305</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31,116,305</w:t>
            </w: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18,823,444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ordinary share</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ordinary shares, basic and</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7,779,076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7,779,076</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7,421,910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ordinary share</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SHAREHOLDERS’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1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bottom w:val="single" w:sz="8" w:color="auto"/>
            </w:tcBorders>
            <w:gridSpan w:val="5"/>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5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4"/>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b w:val="1"/>
                <w:bCs w:val="1"/>
                <w:color w:val="auto"/>
                <w:w w:val="99"/>
              </w:rPr>
              <w:t>7,779,076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778</w:t>
            </w:r>
          </w:p>
        </w:tc>
        <w:tc>
          <w:tcPr>
            <w:tcW w:w="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right w:val="single" w:sz="8" w:color="CCEEFF"/>
            </w:tcBorders>
            <w:gridSpan w:val="6"/>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(39,081,329)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(39,080,551)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3,885,366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3,885,366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2022 (unaudited)</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7,779,076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778</w:t>
            </w:r>
          </w:p>
        </w:tc>
        <w:tc>
          <w:tcPr>
            <w:tcW w:w="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right w:val="single" w:sz="8" w:color="CCEEFF"/>
            </w:tcBorders>
            <w:gridSpan w:val="6"/>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 (35,195,963)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(35,195,185)</w:t>
            </w: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 subject to</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 amount</w:t>
            </w:r>
          </w:p>
        </w:tc>
        <w:tc>
          <w:tcPr>
            <w:tcW w:w="260" w:type="dxa"/>
            <w:vAlign w:val="bottom"/>
          </w:tcPr>
          <w:p>
            <w:pPr>
              <w:spacing w:after="0"/>
              <w:rPr>
                <w:sz w:val="20"/>
                <w:szCs w:val="20"/>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(352,842)</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(352,842)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10,610,817</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10,610,817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3,287,155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3,287,155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2022 (unaudited)</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7,779,076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778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(21,650,833</w:t>
            </w:r>
          </w:p>
        </w:tc>
        <w:tc>
          <w:tcPr>
            <w:tcW w:w="32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(21,650,055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940" w:type="dxa"/>
            <w:vAlign w:val="bottom"/>
            <w:gridSpan w:val="30"/>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Three Months Ended and For the Period From January 13, 2021 (inception) through June 30, 2021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40" w:type="dxa"/>
            <w:vAlign w:val="bottom"/>
          </w:tcPr>
          <w:p>
            <w:pPr>
              <w:spacing w:after="0"/>
              <w:rPr>
                <w:sz w:val="12"/>
                <w:szCs w:val="12"/>
                <w:color w:val="auto"/>
              </w:rPr>
            </w:pPr>
          </w:p>
        </w:tc>
        <w:tc>
          <w:tcPr>
            <w:tcW w:w="108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13, 2021 (inception)</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right w:val="single" w:sz="8" w:color="CCEEFF"/>
            </w:tcBorders>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to Sponsor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Class A ordinary shares subject to</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(22,886,667)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(23,086,620)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possible redemption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 Sponsor less fair</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of private warrants</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175,731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175,731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(319,783)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2021 (unaudited)</w:t>
            </w:r>
          </w:p>
        </w:tc>
        <w:tc>
          <w:tcPr>
            <w:tcW w:w="4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7,779,076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(23,206,450)</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$(23,205,672)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(11,615,669)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(11,615,669)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2021 (unaudited)</w:t>
            </w:r>
          </w:p>
        </w:tc>
        <w:tc>
          <w:tcPr>
            <w:tcW w:w="42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7,779,076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(34,822,119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(34,821,341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13, 2021</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 June 30,</w:t>
            </w:r>
          </w:p>
        </w:tc>
        <w:tc>
          <w:tcPr>
            <w:tcW w:w="0" w:type="dxa"/>
            <w:vAlign w:val="bottom"/>
          </w:tcPr>
          <w:p>
            <w:pPr>
              <w:spacing w:after="0"/>
              <w:rPr>
                <w:sz w:val="1"/>
                <w:szCs w:val="1"/>
                <w:color w:val="auto"/>
              </w:rPr>
            </w:pPr>
          </w:p>
        </w:tc>
      </w:tr>
      <w:tr>
        <w:trPr>
          <w:trHeight w:val="173"/>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5"/>
                <w:szCs w:val="15"/>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7,172,521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(11,935,452)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26,800</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(9,576,860)</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(440,421)</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(279,890)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315,249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(1,225,548)</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49,767</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(64,595)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105,056</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5,085</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legal fees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2,226,745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(311,163,050)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(311,163,050)</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(171,742)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9,223,261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(6,295,461)</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313,919,208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(592,399)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1,164,577</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811,526</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219,127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1,164,577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352,842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144,842</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16"/>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10,610,817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698"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w:t>
      </w:r>
    </w:p>
    <w:p>
      <w:pPr>
        <w:spacing w:after="0" w:line="1" w:lineRule="exact"/>
        <w:rPr>
          <w:sz w:val="20"/>
          <w:szCs w:val="20"/>
          <w:color w:val="auto"/>
        </w:rPr>
      </w:pPr>
    </w:p>
    <w:p>
      <w:pPr>
        <w:ind w:left="120" w:hanging="4"/>
        <w:spacing w:after="0" w:line="251" w:lineRule="auto"/>
        <w:tabs>
          <w:tab w:leader="none" w:pos="4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“First Earnout Triggering Event”), New OPAL will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 to OPAL HoldCo, Ares and Hillman (collectively, the “Earnout Participants”) an aggregate of 5,000,000 shares of New OPAL Class B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and New OPAL Class D Common Stock and corresponding OPAL Units (collectively, the “First Earnout Tranche”) in accordance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allocations set forth in the Business Combination Agreement. Additionally, if New OPAL’s annual EBITDA for the calendar year 2024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$446,000,000 (the “Second Earnout Triggering Event”), New OPAL will issue to the Earnout Participants an aggregate of 5,000,000 additional shares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OPAL Class B Common Stock and New OPAL Class D Common Stock and corresponding OPAL Units (collectively, the “Second Earnout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Tranche”) in accordance with the allocations set forth in the Business Combination Agreement. In the event that the First Earnout Triggering Event does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occur but the Second Earnout Triggering Event does occur, New OPAL will be obligated to issue both the First Earnout Tranche and the Second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Earnout Tranche upon the occurrence of the Second Earnout Triggering Event.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Subscription Agreements provide that the Company will grant the investors in the PIPE Investment certain customary registration rights.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Prior to Business Combination</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8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jc w:val="both"/>
        <w:ind w:left="120"/>
        <w:spacing w:after="0" w:line="270" w:lineRule="auto"/>
        <w:rPr>
          <w:sz w:val="20"/>
          <w:szCs w:val="20"/>
          <w:color w:val="auto"/>
        </w:rPr>
      </w:pPr>
      <w:r>
        <w:rPr>
          <w:rFonts w:ascii="Times New Roman" w:cs="Times New Roman" w:eastAsia="Times New Roman" w:hAnsi="Times New Roman"/>
          <w:sz w:val="17"/>
          <w:szCs w:val="17"/>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the Company had approximately $219,000 in its operating bank account and working capital of approximately $662,000.</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8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June 30, 2022 and December 31, 2021.</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82"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9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520"/>
        <w:spacing w:after="0" w:line="289" w:lineRule="auto"/>
        <w:rPr>
          <w:sz w:val="20"/>
          <w:szCs w:val="20"/>
          <w:color w:val="auto"/>
        </w:rPr>
      </w:pPr>
      <w:r>
        <w:rPr>
          <w:rFonts w:ascii="Times New Roman" w:cs="Times New Roman" w:eastAsia="Times New Roman" w:hAnsi="Times New Roman"/>
          <w:sz w:val="17"/>
          <w:szCs w:val="17"/>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9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income</w:t>
            </w:r>
          </w:p>
        </w:tc>
        <w:tc>
          <w:tcPr>
            <w:tcW w:w="3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657,431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5,738,017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1,434,504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7,779,076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31,116,305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7,779,076</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January 13, 2021</w:t>
            </w: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(inception) through June 30, 2021</w:t>
            </w:r>
          </w:p>
        </w:tc>
      </w:tr>
      <w:tr>
        <w:trPr>
          <w:trHeight w:val="142"/>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gridSpan w:val="2"/>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(9,292,535)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(2,323,134)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(8,560,232)</w:t>
            </w:r>
          </w:p>
        </w:tc>
        <w:tc>
          <w:tcPr>
            <w:tcW w:w="2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(3,375,220)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31,116,305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7,779,076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18,823,444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7,421,910</w:t>
            </w:r>
          </w:p>
        </w:tc>
        <w:tc>
          <w:tcPr>
            <w:tcW w:w="4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gridSpan w:val="2"/>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gridSpan w:val="2"/>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left="120" w:right="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4-Private Placement</w:t>
      </w:r>
    </w:p>
    <w:p>
      <w:pPr>
        <w:spacing w:after="0" w:line="121" w:lineRule="exact"/>
        <w:rPr>
          <w:sz w:val="20"/>
          <w:szCs w:val="20"/>
          <w:color w:val="auto"/>
        </w:rPr>
      </w:pPr>
    </w:p>
    <w:p>
      <w:pPr>
        <w:ind w:left="120" w:right="560"/>
        <w:spacing w:after="0" w:line="312" w:lineRule="auto"/>
        <w:rPr>
          <w:sz w:val="20"/>
          <w:szCs w:val="20"/>
          <w:color w:val="auto"/>
        </w:rPr>
      </w:pPr>
      <w:r>
        <w:rPr>
          <w:rFonts w:ascii="Times New Roman" w:cs="Times New Roman" w:eastAsia="Times New Roman" w:hAnsi="Times New Roman"/>
          <w:sz w:val="17"/>
          <w:szCs w:val="17"/>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4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698"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9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Nasdaq through the earlier of consummation of the initial Business Combination and the liquidation, the Company agreed to pay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 per month for office space, secretarial and administrative services provided to the Company. The Company incurred $30,000 and $30,000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in connection with such services for the three months ended June 30, 2022 and 2021, respectively, as reflected in the accompanying unaudited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condensed statements of operations. The Company incurred $60,000 and $40,000 in expenses in connection with such services for the six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 and for the period from January 13, 2021 (inception) through June 30, 2021, respectively, as reflected in the accompanying unaudited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condensed statements of operations. The company ceased paying these quarterly fees and periodic cost reimbursements following the consummation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w:t>
      </w:r>
    </w:p>
    <w:p>
      <w:pPr>
        <w:spacing w:after="0" w:line="207"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 Agreement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jc w:val="both"/>
        <w:ind w:left="120" w:right="200"/>
        <w:spacing w:after="0" w:line="289" w:lineRule="auto"/>
        <w:rPr>
          <w:sz w:val="20"/>
          <w:szCs w:val="20"/>
          <w:color w:val="auto"/>
        </w:rPr>
      </w:pPr>
      <w:r>
        <w:rPr>
          <w:rFonts w:ascii="Times New Roman" w:cs="Times New Roman" w:eastAsia="Times New Roman" w:hAnsi="Times New Roman"/>
          <w:sz w:val="17"/>
          <w:szCs w:val="17"/>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balance representing the original amount recorded to the statement of operations of approximately $280,000 was recorded for the three and six months ended June 30, 2022, which represents the original amount.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Legal Fees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June 30, 2022, Class A ordinary shares subject to possible redemption reflected on the condensed balance sheets is reconciled on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Re-measurement on Class A ordinary shares subject to possible redemption</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23,086,620</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at December 31, 2021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198"/>
        </w:trPr>
        <w:tc>
          <w:tcPr>
            <w:tcW w:w="20" w:type="dxa"/>
            <w:vAlign w:val="bottom"/>
          </w:tcPr>
          <w:p>
            <w:pPr>
              <w:spacing w:after="0"/>
              <w:rPr>
                <w:sz w:val="17"/>
                <w:szCs w:val="17"/>
                <w:color w:val="auto"/>
              </w:rPr>
            </w:pPr>
          </w:p>
        </w:tc>
        <w:tc>
          <w:tcPr>
            <w:tcW w:w="6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 subject to possible redemption</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at June 30, 2022</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311,515,892</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8-Shareholders’ Deficit</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-The Company is authorized to issue 500,000,000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-The Company is authorized to issue 50,000,000 Class B ordinary shares with a par value of $0.0001 per share. On January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9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-The Company is authorized to issue 5,000,000 preference shares with a par value of $0.0001 per share. As of June 30,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no preference shares issued or outstanding.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9-Derivative Warrant Liabilities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aggregate of 15,446,522 warrants outstanding, comprised of 6,223,261 and 9,223,261 Public Warrants and Private Placement Warrants, respectively.</w:t>
      </w:r>
    </w:p>
    <w:p>
      <w:pPr>
        <w:spacing w:after="0" w:line="16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9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Class A ordinary share equals or exceeds $18.00:</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Class A ordinary share equals or exceeds $10.00:</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162"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10-Fair Value Measurements</w:t>
      </w:r>
    </w:p>
    <w:p>
      <w:pPr>
        <w:spacing w:after="0" w:line="12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440" w:type="dxa"/>
            <w:vAlign w:val="bottom"/>
          </w:tcPr>
          <w:p>
            <w:pPr>
              <w:spacing w:after="0"/>
              <w:rPr>
                <w:sz w:val="12"/>
                <w:szCs w:val="12"/>
                <w:color w:val="auto"/>
              </w:rPr>
            </w:pPr>
          </w:p>
        </w:tc>
        <w:tc>
          <w:tcPr>
            <w:tcW w:w="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40" w:type="dxa"/>
            <w:vAlign w:val="bottom"/>
          </w:tcPr>
          <w:p>
            <w:pPr>
              <w:spacing w:after="0"/>
              <w:rPr>
                <w:sz w:val="12"/>
                <w:szCs w:val="12"/>
                <w:color w:val="auto"/>
              </w:rPr>
            </w:pPr>
          </w:p>
        </w:tc>
        <w:tc>
          <w:tcPr>
            <w:tcW w:w="9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0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540" w:type="dxa"/>
            <w:vAlign w:val="bottom"/>
            <w:gridSpan w:val="5"/>
          </w:tcPr>
          <w:p>
            <w:pPr>
              <w:ind w:left="1540"/>
              <w:spacing w:after="0"/>
              <w:rPr>
                <w:sz w:val="20"/>
                <w:szCs w:val="20"/>
                <w:color w:val="auto"/>
              </w:rPr>
            </w:pPr>
            <w:r>
              <w:rPr>
                <w:rFonts w:ascii="Times New Roman" w:cs="Times New Roman" w:eastAsia="Times New Roman" w:hAnsi="Times New Roman"/>
                <w:sz w:val="18"/>
                <w:szCs w:val="18"/>
                <w:color w:val="auto"/>
                <w:w w:val="98"/>
              </w:rPr>
              <w:t>$311,615,892</w:t>
            </w:r>
          </w:p>
        </w:tc>
        <w:tc>
          <w:tcPr>
            <w:tcW w:w="5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6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6,534,420</w:t>
            </w:r>
          </w:p>
        </w:tc>
        <w:tc>
          <w:tcPr>
            <w:tcW w:w="5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640" w:type="dxa"/>
            <w:vAlign w:val="bottom"/>
            <w:gridSpan w:val="3"/>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$ 9,684,420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440" w:type="dxa"/>
            <w:vAlign w:val="bottom"/>
          </w:tcPr>
          <w:p>
            <w:pPr>
              <w:spacing w:after="0"/>
              <w:rPr>
                <w:sz w:val="24"/>
                <w:szCs w:val="24"/>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Prices</w:t>
            </w:r>
          </w:p>
        </w:tc>
        <w:tc>
          <w:tcPr>
            <w:tcW w:w="4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00" w:type="dxa"/>
            <w:vAlign w:val="bottom"/>
            <w:gridSpan w:val="5"/>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40" w:type="dxa"/>
            <w:vAlign w:val="bottom"/>
          </w:tcPr>
          <w:p>
            <w:pPr>
              <w:spacing w:after="0"/>
              <w:rPr>
                <w:sz w:val="12"/>
                <w:szCs w:val="12"/>
                <w:color w:val="auto"/>
              </w:rPr>
            </w:pPr>
          </w:p>
        </w:tc>
        <w:tc>
          <w:tcPr>
            <w:tcW w:w="9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80" w:type="dxa"/>
            <w:vAlign w:val="bottom"/>
            <w:gridSpan w:val="4"/>
          </w:tcPr>
          <w:p>
            <w:pPr>
              <w:ind w:left="1480"/>
              <w:spacing w:after="0"/>
              <w:rPr>
                <w:sz w:val="20"/>
                <w:szCs w:val="20"/>
                <w:color w:val="auto"/>
              </w:rPr>
            </w:pPr>
            <w:r>
              <w:rPr>
                <w:rFonts w:ascii="Times New Roman" w:cs="Times New Roman" w:eastAsia="Times New Roman" w:hAnsi="Times New Roman"/>
                <w:sz w:val="18"/>
                <w:szCs w:val="18"/>
                <w:color w:val="auto"/>
                <w:w w:val="98"/>
              </w:rPr>
              <w:t>$311,175,471</w:t>
            </w:r>
          </w:p>
        </w:tc>
        <w:tc>
          <w:tcPr>
            <w:tcW w:w="60" w:type="dxa"/>
            <w:vAlign w:val="bottom"/>
          </w:tcPr>
          <w:p>
            <w:pPr>
              <w:spacing w:after="0"/>
              <w:rPr>
                <w:sz w:val="18"/>
                <w:szCs w:val="18"/>
                <w:color w:val="auto"/>
              </w:rPr>
            </w:pP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6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10,392,850</w:t>
            </w:r>
          </w:p>
        </w:tc>
        <w:tc>
          <w:tcPr>
            <w:tcW w:w="60" w:type="dxa"/>
            <w:vAlign w:val="bottom"/>
          </w:tcPr>
          <w:p>
            <w:pPr>
              <w:spacing w:after="0"/>
              <w:rPr>
                <w:sz w:val="18"/>
                <w:szCs w:val="18"/>
                <w:color w:val="auto"/>
              </w:rPr>
            </w:pP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640" w:type="dxa"/>
            <w:vAlign w:val="bottom"/>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$15,402,850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ind w:left="120" w:right="600"/>
        <w:spacing w:after="0" w:line="261" w:lineRule="auto"/>
        <w:rPr>
          <w:sz w:val="20"/>
          <w:szCs w:val="20"/>
          <w:color w:val="auto"/>
        </w:rPr>
      </w:pPr>
      <w:r>
        <w:rPr>
          <w:rFonts w:ascii="Times New Roman" w:cs="Times New Roman" w:eastAsia="Times New Roman" w:hAnsi="Times New Roman"/>
          <w:sz w:val="18"/>
          <w:szCs w:val="18"/>
          <w:color w:val="auto"/>
        </w:rPr>
        <w:t>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00" w:type="dxa"/>
            <w:vAlign w:val="bottom"/>
          </w:tcPr>
          <w:p>
            <w:pPr>
              <w:spacing w:after="0"/>
              <w:rPr>
                <w:sz w:val="15"/>
                <w:szCs w:val="15"/>
                <w:color w:val="auto"/>
              </w:rPr>
            </w:pP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$ 9.95</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29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derivative warrant liabilities for the period from January 13, 2021 (inception) through June 30, 2022 is summarized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10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9,047,530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(10,455,080)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(10,455,080)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6,355,320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7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15,402,850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(3,135,910)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31, 2022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(2,582,520)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(2,582,520)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June 30, 2022</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6,534,420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6,534,420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consummated the previously announced Business Combination with OPAL HoldCo, and OPAL Fuels, pursuant to the Business Combination Agreement.</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Company cash held in trust, net of redemptions, and $110,806,000 in aggregate gross proceeds to New OPAL from the PIPE Investment.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92"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ectPr>
          <w:pgSz w:w="11900" w:h="16838" w:orient="portrait"/>
          <w:cols w:equalWidth="0" w:num="1">
            <w:col w:w="11120"/>
          </w:cols>
          <w:pgMar w:left="320" w:top="482" w:right="45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119"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(f/k/a ArcLight Clean Transition Corp. II)</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13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References to the “Company,” “our,” “us” or “we” refer to ArcLight Clean Transition Corp. II prior ot the closing of the Business Combination.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statements regarding the Company’s or the Company’s management team’s expectations, hopes, intentions or strategies regarding the future, including those related to the Business Combination,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were incorporated on January 13, 2021 as a Cayman Islands exempted company for the purpose of effecting a merger, share exchange, asset acquisition, share purchase, reorganization or similar business combination with one or more businesses or entities (a “Business Combination”). Our sponsor is ArcLight CTC Holdings II, L.P., a Delaware limited partnership (our “Sponsor”).</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completed our initial public offering (the “Initial Public Offering”) on March 25, 2021 and completed a Business Combination on July 21, 2022 as further described in Note 1 – Description of Organization, Business Operations and Basis of Presentation and Note 11 – Subsequent Events, to our unaudited condensed financial information contained elsewhere in this report.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82"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June 30, 2022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and non-operating income in the form of interest and investment income on investments held in Trust Account from the proceeds derived from the Initial Public Offering.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net income of approximately $3.3 million from changes in the value of derivative warrant liabilities of approximately $4.3 million, an unrealized gain on investments held in Trust Account of approximately $416,000 and a $280,000 gain on the settlement of underwriting fees, partially offset by approximately $1.7 million in general and administrative costs.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2021, we had a net loss of approximately $11.6 million from changes in the value of derivative warrant liabilities of approximately $11.2 million and approximately $0.4 million in general and administrative costs.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had a net income of approximately $7.2 million from changes in the value of derivative warrant liabilities of approximately $9.6 million, an unrealized gain on investments held in Trust Account of approximately $440,000 and a $280,000 gain on the settlement of underwriting fees, partially offset by approximately $3.1 million in general and administrative costs.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the period from January 13, 2021 (inception) through June 30, 2021, we had a net loss of approximately $11.9 million from changes in the value of derivative warrant liabilities of approximately $11.0 million, financing costs of approximately $0.5 million and approximately $0.5 million in general and administrative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we had approximately $219,000 in our operating bank account and working capital of approximately $662,000.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liquidity needs up to June 30, 2022 had been satisfied through a payment of $25,000 from the Sponsor to cover certain expenses on behalf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in exchange for the issuance of the Founder Shares (as defined below), a loan under a promissory note from our Sponsor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$172,000 (the “Note”), and the net proceeds from the consummation of the Private Placement not held in the Trust Account. The Note was repaid in full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26, 2021. In addition, in order to finance transaction costs in connection with a Business Combination, our officers, directors and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may, but are not obligated to, provide the Company with Working Capital Loans. On May 16, 2022, we entered into a non-interest bearing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promissory note with the Sponsor for $1,000,000.</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condensed balance sheet. The financial statements do not include any adjustments that might result from the outcome of this uncertainty.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used substantially all of the funds held in the Trust Account to complete the Business Combination and to fund the redemption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June 30, 2022, 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 The Company ceased paying these quarterly fees and periodic cost reimbursements following the consummation of the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and Shareholder Rights</w:t>
      </w:r>
    </w:p>
    <w:p>
      <w:pPr>
        <w:spacing w:after="0" w:line="119"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At any time on or after the date the Company consummates a Business Combination, the holders of these securities will be entitled to make up to three demands, excluding short form demands, that we will register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granted the underwriters a 45-day option from the date of the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the Business Combination, subject to the terms of the underwriting agreement.</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balance representing the original amount recorded to the statement of operations of approximately $280,000 was recorded for the three and six months ended June 30, 2022, which represents the original 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1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March 25, 2021, we entered into an agreement that provided that, commencing on the date that our securities were first listed on Nasdaq through the earlier of consummation of the initial Business Combination and the liquidation, we agreed to pay the sponsor $10,000 per month for office space, secretarial and administrative services provided to us. We incurred $30,000 and $30,000 in expenses in connection with such services for the three months ended June 30, 2022 and 2021, respectively, as reflected in the accompanying unaudited condensed statements of operations. We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the sponsor, executive officers or directors, or their affiliates. Any such payments prior to an initial Business Combination will be made using funds held outside the Trust Account.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Legal Fees</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entered into an engagement letter to obtain legal advisory services, pursuant to which our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management to make estimates and judgments that affect the reported amounts of assets, liabilities, revenues and expenses. A summary of our significant accounting policies is included in Note 2 to our condensed financial statements in Part I, Item 1 of this Quarterly Report. Certain of our accounting policies are considered critical, as these policies are the most important to the depiction of our unaudited condensed financial statements and require significant, difficult or complex judgments, often employing the use of estimates about the effects of matters that are inherently uncertain. Such policies are summarized in the Management’s Discussion and Analysis of Financial Condition and Results of Operations section in our 2021 Annual Report on Form 10-K filed with the SEC on March 9, 2022. There have been no significant changes in the application of our critical accounting policies during the six months ended June 30, 2022.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See Note 2 to the unaudited condensed financial statements included in Part I, Item 1 of this Quarterly Report for a discussion of recent accounting pronouncements.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5" w:lineRule="exact"/>
        <w:rPr>
          <w:sz w:val="20"/>
          <w:szCs w:val="20"/>
          <w:color w:val="auto"/>
        </w:rPr>
      </w:pPr>
    </w:p>
    <w:p>
      <w:pPr>
        <w:ind w:left="120" w:hanging="4"/>
        <w:spacing w:after="0" w:line="255" w:lineRule="auto"/>
        <w:tabs>
          <w:tab w:leader="none" w:pos="4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June 30, 2022, as such, the term is defined in Rules 13a-15(e) and 15d-15(e) under the Exchange Act. Based on this evaluation, our principal executive officer and principal financial officer have concluded that during the period covered by this Report, our disclosure controls and procedures were not effective as of June 30, 2022,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and warrants issued by the Company was not effectively designed or maintained. This material weakness resulted in the restatement of the Company’s balance sheet as of March 25, 2021 and its interim financial statements for the quarters ended March 31, 2021 and June 30, 2021. Additionally, this material weakness could result in a misstatement of the warrant liability, Class A ordinary shares and related accounts and disclosures that would result in a material misstatement of the financial statements that would not be prevented or detected on a timely basis.</w:t>
      </w:r>
    </w:p>
    <w:p>
      <w:pPr>
        <w:spacing w:after="0" w:line="19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June 30, 2022 covered by this Quarterly Report on Form 10-Q that has materially affected, or is reasonably likely to materially affect, our internal control over financial reporting except for the below:</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performed additional accounting and financial analyses and other post-closing procedures including consulting with subject matter experts related to the accounting for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result of closing of the Business Combination on July 21, 2022, the risk factors previously disclosed Part I, Item 1A of our Annual Report on Form 10-K for the fiscal year ended December 31, 2021 no longer apply. For risk factors relating to our business following the Business Combination, please refer to the section “Risk Factors” in the final prospectus with respect to the Business Combination, filed with the SEC on June 27, 2022 (the “Prospectus”).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287" w:lineRule="exact"/>
        <w:rPr>
          <w:sz w:val="20"/>
          <w:szCs w:val="20"/>
          <w:color w:val="auto"/>
        </w:rPr>
      </w:pPr>
    </w:p>
    <w:p>
      <w:pPr>
        <w:ind w:left="120" w:right="37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from Registered Securities </w:t>
      </w:r>
      <w:r>
        <w:rPr>
          <w:rFonts w:ascii="Times New Roman" w:cs="Times New Roman" w:eastAsia="Times New Roman" w:hAnsi="Times New Roman"/>
          <w:sz w:val="18"/>
          <w:szCs w:val="18"/>
          <w:i w:val="1"/>
          <w:iCs w:val="1"/>
          <w:color w:val="auto"/>
        </w:rPr>
        <w:t>Unregistered Sales</w:t>
      </w:r>
    </w:p>
    <w:p>
      <w:pPr>
        <w:ind w:left="120"/>
        <w:spacing w:after="0" w:line="254" w:lineRule="auto"/>
        <w:rPr>
          <w:sz w:val="20"/>
          <w:szCs w:val="20"/>
          <w:color w:val="auto"/>
        </w:rPr>
      </w:pPr>
      <w:r>
        <w:rPr>
          <w:rFonts w:ascii="Times New Roman" w:cs="Times New Roman" w:eastAsia="Times New Roman" w:hAnsi="Times New Roman"/>
          <w:sz w:val="18"/>
          <w:szCs w:val="18"/>
          <w:color w:val="auto"/>
        </w:rPr>
        <w:t>On January 20,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Initial Public Offering and the underwriters of their over-allotment option, we incurred offering costs of approximately</w:t>
      </w:r>
    </w:p>
    <w:p>
      <w:pPr>
        <w:spacing w:after="0" w:line="27" w:lineRule="exact"/>
        <w:rPr>
          <w:sz w:val="20"/>
          <w:szCs w:val="20"/>
          <w:color w:val="auto"/>
        </w:rPr>
      </w:pPr>
    </w:p>
    <w:p>
      <w:pPr>
        <w:jc w:val="both"/>
        <w:ind w:left="120" w:right="300"/>
        <w:spacing w:after="0" w:line="252" w:lineRule="auto"/>
        <w:rPr>
          <w:sz w:val="20"/>
          <w:szCs w:val="20"/>
          <w:color w:val="auto"/>
        </w:rPr>
      </w:pPr>
      <w:r>
        <w:rPr>
          <w:rFonts w:ascii="Times New Roman" w:cs="Times New Roman" w:eastAsia="Times New Roman" w:hAnsi="Times New Roman"/>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88"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20" w:type="dxa"/>
            <w:vAlign w:val="bottom"/>
            <w:gridSpan w:val="1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2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22"/>
                <w:szCs w:val="22"/>
                <w:color w:val="auto"/>
              </w:rPr>
            </w:pPr>
          </w:p>
        </w:tc>
        <w:tc>
          <w:tcPr>
            <w:tcW w:w="91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Business Combination Agreement, dated as of December 2, 2021, by and among ArcLight, OPAL Fuels and OPAL HoldCo.(1)</w:t>
              </w:r>
            </w:hyperlink>
          </w:p>
        </w:tc>
        <w:tc>
          <w:tcPr>
            <w:tcW w:w="72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Certificate of Incorporation of OPAL Fuels Inc. (1)</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24"/>
                <w:szCs w:val="24"/>
                <w:color w:val="auto"/>
              </w:rPr>
            </w:pPr>
          </w:p>
        </w:tc>
        <w:tc>
          <w:tcPr>
            <w:tcW w:w="36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Bylaws of OPAL Fuels Inc. (1)</w:t>
              </w:r>
            </w:hyperlink>
          </w:p>
        </w:tc>
        <w:tc>
          <w:tcPr>
            <w:tcW w:w="62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24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50">
              <w:r>
                <w:rPr>
                  <w:rFonts w:ascii="Times New Roman" w:cs="Times New Roman" w:eastAsia="Times New Roman" w:hAnsi="Times New Roman"/>
                  <w:sz w:val="18"/>
                  <w:szCs w:val="18"/>
                  <w:color w:val="0000EE"/>
                  <w:w w:val="98"/>
                </w:rPr>
                <w:t>Specimen Warrant Certificate.(1)</w:t>
              </w:r>
            </w:hyperlink>
          </w:p>
        </w:tc>
        <w:tc>
          <w:tcPr>
            <w:tcW w:w="75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4"/>
                <w:szCs w:val="24"/>
                <w:color w:val="auto"/>
              </w:rPr>
            </w:pPr>
          </w:p>
        </w:tc>
        <w:tc>
          <w:tcPr>
            <w:tcW w:w="8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Warrant Agreement between Continental Stock Transfer &amp; Trust Company and ArcLight, dated March 22, 2021.(1)</w:t>
              </w:r>
            </w:hyperlink>
          </w:p>
        </w:tc>
        <w:tc>
          <w:tcPr>
            <w:tcW w:w="1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Letter Agreement, dated as of March 25, 2021, by and among ArcLight CTC Holdings II, L.P., ArcLight and certain other parties thereto.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2">
              <w:r>
                <w:rPr>
                  <w:rFonts w:ascii="Times New Roman" w:cs="Times New Roman" w:eastAsia="Times New Roman" w:hAnsi="Times New Roman"/>
                  <w:sz w:val="18"/>
                  <w:szCs w:val="18"/>
                  <w:color w:val="0000EE"/>
                  <w:w w:val="95"/>
                </w:rPr>
                <w:t>(1)</w:t>
              </w:r>
            </w:hyperlink>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Subscription Agreement.(1)</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Pr>
          <w:p>
            <w:pPr>
              <w:spacing w:after="0"/>
              <w:rPr>
                <w:sz w:val="24"/>
                <w:szCs w:val="24"/>
                <w:color w:val="auto"/>
              </w:rPr>
            </w:pPr>
          </w:p>
        </w:tc>
        <w:tc>
          <w:tcPr>
            <w:tcW w:w="44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Amendment No. 1 to the Subscription Agreement.(1)</w:t>
              </w:r>
            </w:hyperlink>
          </w:p>
        </w:tc>
        <w:tc>
          <w:tcPr>
            <w:tcW w:w="5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Investor Rights Agreement, dated July 21, 2022, by and among OPAL Fuels Inc., ArcLight CTC Holdings II, LP, and other persons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named therein. (1)</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Forward Purchase Agreement, dated July 18, 2022, among ArcLight Clean Transition Corp. II, Meteora Special Opportunity Fund I, LP,</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Meteora Select Trading Opportunities Master, LP and Meteora Capital Partners, LP (incorporated by reference to Exhibit 10.1 to the</w:t>
              </w:r>
            </w:hyperlink>
          </w:p>
        </w:tc>
        <w:tc>
          <w:tcPr>
            <w:tcW w:w="28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Current Report on Form 8-K filed by the Company on July 18, 2022).</w:t>
              </w:r>
            </w:hyperlink>
          </w:p>
        </w:tc>
        <w:tc>
          <w:tcPr>
            <w:tcW w:w="4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tcPr>
          <w:p>
            <w:pPr>
              <w:spacing w:after="0"/>
              <w:rPr>
                <w:sz w:val="24"/>
                <w:szCs w:val="24"/>
                <w:color w:val="auto"/>
              </w:rPr>
            </w:pPr>
          </w:p>
        </w:tc>
        <w:tc>
          <w:tcPr>
            <w:tcW w:w="5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Promissory Note, dated as of May 16, 2022, by and between Arclight and Sponsor.</w:t>
            </w:r>
          </w:p>
        </w:tc>
        <w:tc>
          <w:tcPr>
            <w:tcW w:w="39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Certification of Co-Chief Executive Officer Pursuant to Rules 13a-14(a) and 15d-14(a) under the Securities Exchange Act of 1934, as</w:t>
            </w: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Certification of Co-Chief Executive Officer Pursuant to Rules 13a-14(a) and 15d-14(a) under the Securities Exchange Act of 1934, as</w:t>
            </w: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31.3</w:t>
            </w:r>
          </w:p>
        </w:tc>
        <w:tc>
          <w:tcPr>
            <w:tcW w:w="460" w:type="dxa"/>
            <w:vAlign w:val="bottom"/>
          </w:tcPr>
          <w:p>
            <w:pPr>
              <w:spacing w:after="0"/>
              <w:rPr>
                <w:sz w:val="24"/>
                <w:szCs w:val="24"/>
                <w:color w:val="auto"/>
              </w:rPr>
            </w:pPr>
          </w:p>
        </w:tc>
        <w:tc>
          <w:tcPr>
            <w:tcW w:w="9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Rules 13a-14(a) and 15d-14(a) under the Securities Exchange Act of 1934, as</w:t>
            </w:r>
          </w:p>
        </w:tc>
        <w:tc>
          <w:tcPr>
            <w:tcW w:w="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580" w:type="dxa"/>
            <w:vAlign w:val="bottom"/>
            <w:gridSpan w:val="7"/>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220" w:type="dxa"/>
            <w:vAlign w:val="bottom"/>
            <w:tcBorders>
              <w:top w:val="single" w:sz="8" w:color="0000EE"/>
            </w:tcBorders>
            <w:gridSpan w:val="17"/>
          </w:tcPr>
          <w:p>
            <w:pPr>
              <w:spacing w:after="0"/>
              <w:rPr>
                <w:sz w:val="17"/>
                <w:szCs w:val="17"/>
                <w:color w:val="auto"/>
              </w:rPr>
            </w:pPr>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4"/>
                <w:szCs w:val="24"/>
                <w:color w:val="auto"/>
              </w:rPr>
            </w:pP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Co-Chief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180" w:type="dxa"/>
            <w:vAlign w:val="bottom"/>
            <w:tcBorders>
              <w:top w:val="single" w:sz="8" w:color="0000EE"/>
            </w:tcBorders>
            <w:gridSpan w:val="16"/>
          </w:tcPr>
          <w:p>
            <w:pPr>
              <w:spacing w:after="0"/>
              <w:rPr>
                <w:sz w:val="17"/>
                <w:szCs w:val="17"/>
                <w:color w:val="auto"/>
              </w:rPr>
            </w:pP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32.3</w:t>
            </w:r>
          </w:p>
        </w:tc>
        <w:tc>
          <w:tcPr>
            <w:tcW w:w="460" w:type="dxa"/>
            <w:vAlign w:val="bottom"/>
          </w:tcPr>
          <w:p>
            <w:pPr>
              <w:spacing w:after="0"/>
              <w:rPr>
                <w:sz w:val="24"/>
                <w:szCs w:val="24"/>
                <w:color w:val="auto"/>
              </w:rPr>
            </w:pP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9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w:t>
      </w:r>
    </w:p>
    <w:p>
      <w:pPr>
        <w:spacing w:after="0" w:line="9" w:lineRule="exact"/>
        <w:rPr>
          <w:sz w:val="20"/>
          <w:szCs w:val="20"/>
          <w:color w:val="auto"/>
        </w:rPr>
      </w:pPr>
    </w:p>
    <w:p>
      <w:pPr>
        <w:ind w:left="5540" w:right="1540" w:hanging="5424"/>
        <w:spacing w:after="0" w:line="433" w:lineRule="auto"/>
        <w:tabs>
          <w:tab w:leader="none" w:pos="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our Current Report on Form 8-K filed on July 27, 2022 and incorporated by reference herein. 27</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9th day of August 2022.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Ann Anthony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80"/>
          </w:cols>
          <w:pgMar w:left="320" w:top="482" w:right="1199" w:bottom="1440" w:gutter="0" w:footer="0" w:header="0"/>
        </w:sectPr>
      </w:pPr>
    </w:p>
    <w:bookmarkStart w:id="33" w:name="page34"/>
    <w:bookmarkEnd w:id="33"/>
    <w:p>
      <w:pPr>
        <w:ind w:left="1008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PROMISSORY NOTE (“NOTE”) AND THE SECURITIES INTO WHICH THE NOTE MAY BE CONVERTED HAVE NOT BEEN REGISTERED UNDER THE SECURITIES ACT OF 1933, AS AMENDED (THE “SECURITIES ACT”), OR UNDER THE SECURITIES LAWS OF ANY STATE. THIS NOTE HAS BEEN ACQUIRED FOR INVESTMENT ONLY AND MAY NOT BE SOLD, TRANSFERRED OR ASSIGNED IN THE ABSENCE OF REGISTRATION OF THE RESALE THEREOF UNDER THE SECURITIES ACT AND APPLICABLE STATE SECURITIES LAWS OR AN OPINION OF COUNSEL REASONABLY SATISFACTORY IN FORM, SCOPE AND SUBSTANCE TO THE COMPANY THAT SUCH REGISTRATION IS NOT REQUIRED.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ectPr>
          <w:pgSz w:w="11900" w:h="16838" w:orient="portrait"/>
          <w:cols w:equalWidth="0" w:num="1">
            <w:col w:w="11020"/>
          </w:cols>
          <w:pgMar w:left="440" w:top="117" w:right="4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up to $1,000,000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set forth on the Schedule of Borrowings attached hereto)</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May 16, 2022</w:t>
      </w:r>
    </w:p>
    <w:p>
      <w:pPr>
        <w:spacing w:after="0" w:line="422" w:lineRule="exact"/>
        <w:rPr>
          <w:sz w:val="20"/>
          <w:szCs w:val="20"/>
          <w:color w:val="auto"/>
        </w:rPr>
      </w:pPr>
    </w:p>
    <w:p>
      <w:pPr>
        <w:sectPr>
          <w:pgSz w:w="11900" w:h="16838" w:orient="portrait"/>
          <w:cols w:equalWidth="0" w:num="2">
            <w:col w:w="8420" w:space="720"/>
            <w:col w:w="1880"/>
          </w:cols>
          <w:pgMar w:left="440" w:top="117" w:right="439" w:bottom="1440" w:gutter="0" w:footer="0" w:header="0"/>
          <w:type w:val="continuous"/>
        </w:sectPr>
      </w:pPr>
    </w:p>
    <w:p>
      <w:pPr>
        <w:spacing w:after="0" w:line="28"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ArcLight Clean Transition Corp. II, a Cayman Islands exempted company and blank check company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ArcLight CTC Holdings II, L.P., a Delaware limited partnership,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the principal sum of up to One Million Dollars ($1,000,000) (as set forth on the Schedule of Borrowings attached hereto) in lawful money of the United States of America, on the terms and conditions described below. Except for the optional conversions described below in Section 15,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2" w:lineRule="exact"/>
        <w:rPr>
          <w:sz w:val="20"/>
          <w:szCs w:val="20"/>
          <w:color w:val="auto"/>
        </w:rPr>
      </w:pPr>
    </w:p>
    <w:p>
      <w:pPr>
        <w:ind w:right="120" w:firstLine="436"/>
        <w:spacing w:after="0" w:line="259"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The principal balance of this Note shall be payable by the Maker on the earlier of: (i) September 25, 2023 and (ii) the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Maker consummates a merger, capital stock exchange, asset acquisition, stock purchase, reorganization or similar business combination with one or more businesses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No interest shall accrue on the unpaid principal balance of this Note.</w:t>
      </w:r>
    </w:p>
    <w:p>
      <w:pPr>
        <w:spacing w:after="0" w:line="225" w:lineRule="exact"/>
        <w:rPr>
          <w:rFonts w:ascii="Times New Roman" w:cs="Times New Roman" w:eastAsia="Times New Roman" w:hAnsi="Times New Roman"/>
          <w:sz w:val="18"/>
          <w:szCs w:val="18"/>
          <w:color w:val="auto"/>
        </w:rPr>
      </w:pPr>
    </w:p>
    <w:p>
      <w:pPr>
        <w:ind w:right="180" w:firstLine="436"/>
        <w:spacing w:after="0" w:line="275"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Drawdown Requests</w:t>
      </w:r>
      <w:r>
        <w:rPr>
          <w:rFonts w:ascii="Times New Roman" w:cs="Times New Roman" w:eastAsia="Times New Roman" w:hAnsi="Times New Roman"/>
          <w:sz w:val="17"/>
          <w:szCs w:val="17"/>
          <w:color w:val="auto"/>
        </w:rPr>
        <w:t>. Maker and Payee agree that Maker may request up to One Million Dollars ($1,000,000) for working capital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by Maker. The principal of this Note may be drawn down from time to time prior to the Maturity Date, upon written request from Maker to Payee (each, a “</w:t>
      </w:r>
      <w:r>
        <w:rPr>
          <w:rFonts w:ascii="Times New Roman" w:cs="Times New Roman" w:eastAsia="Times New Roman" w:hAnsi="Times New Roman"/>
          <w:sz w:val="17"/>
          <w:szCs w:val="17"/>
          <w:b w:val="1"/>
          <w:bCs w:val="1"/>
          <w:color w:val="auto"/>
        </w:rPr>
        <w:t>Drawdown Request</w:t>
      </w:r>
      <w:r>
        <w:rPr>
          <w:rFonts w:ascii="Times New Roman" w:cs="Times New Roman" w:eastAsia="Times New Roman" w:hAnsi="Times New Roman"/>
          <w:sz w:val="17"/>
          <w:szCs w:val="17"/>
          <w:color w:val="auto"/>
        </w:rPr>
        <w:t>”). Each Drawdown Request must state the amount to be drawn down, and must not be an amount less than One Thousand Dollars ($1,000) unless agreed upon by Maker and Payee. Payee shall fund each Drawdown Request no later than one (1) business day after receipt of a Drawdown Request; provided, however, that the maximum amount of drawdowns collectively under this Note is One Million Dollars ($1,000,000). No fees, payments or other amounts shall be due to Payee in connection with, or as a result of, any Drawdown Request by Maker.</w:t>
      </w:r>
    </w:p>
    <w:p>
      <w:pPr>
        <w:spacing w:after="0" w:line="168" w:lineRule="exact"/>
        <w:rPr>
          <w:rFonts w:ascii="Times New Roman" w:cs="Times New Roman" w:eastAsia="Times New Roman" w:hAnsi="Times New Roman"/>
          <w:sz w:val="17"/>
          <w:szCs w:val="17"/>
          <w:color w:val="auto"/>
        </w:rPr>
      </w:pPr>
    </w:p>
    <w:p>
      <w:pPr>
        <w:ind w:right="280" w:firstLine="436"/>
        <w:spacing w:after="0" w:line="268"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of Payments</w:t>
      </w:r>
      <w:r>
        <w:rPr>
          <w:rFonts w:ascii="Times New Roman" w:cs="Times New Roman" w:eastAsia="Times New Roman" w:hAnsi="Times New Roman"/>
          <w:sz w:val="18"/>
          <w:szCs w:val="18"/>
          <w:color w:val="auto"/>
        </w:rPr>
        <w:t>. All payments (or conversions into warrants, as applicable) shall be applied first to payment in full of any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the collection of any sum due under this Note, including (without limitation) reasonable attorneys’ fees,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the principal amount due pursuant to this Note within five (5) business days of the Maturity Date or issue warrants pursuant to Section 15 hereof, if so elected by Payee.</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ectPr>
          <w:pgSz w:w="11900" w:h="16838" w:orient="portrait"/>
          <w:cols w:equalWidth="0" w:num="1">
            <w:col w:w="11020"/>
          </w:cols>
          <w:pgMar w:left="440" w:top="117" w:right="439" w:bottom="1440" w:gutter="0" w:footer="0" w:header="0"/>
          <w:type w:val="continuous"/>
        </w:sectPr>
      </w:pPr>
    </w:p>
    <w:bookmarkStart w:id="34" w:name="page35"/>
    <w:bookmarkEnd w:id="34"/>
    <w:p>
      <w:pPr>
        <w:ind w:left="444" w:firstLine="419"/>
        <w:spacing w:after="0" w:line="261" w:lineRule="auto"/>
        <w:tabs>
          <w:tab w:leader="none" w:pos="111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7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1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71"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2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71" w:lineRule="exact"/>
        <w:rPr>
          <w:rFonts w:ascii="Times New Roman" w:cs="Times New Roman" w:eastAsia="Times New Roman" w:hAnsi="Times New Roman"/>
          <w:sz w:val="18"/>
          <w:szCs w:val="18"/>
          <w:color w:val="auto"/>
        </w:rPr>
      </w:pPr>
    </w:p>
    <w:p>
      <w:pPr>
        <w:ind w:left="4" w:right="80" w:firstLine="436"/>
        <w:spacing w:after="0" w:line="257" w:lineRule="auto"/>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Maker and all endorsers and guarantors of, and sureties for, this Note waive presentment for payment, demand, notice of dishonor,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2" w:lineRule="exact"/>
        <w:rPr>
          <w:rFonts w:ascii="Times New Roman" w:cs="Times New Roman" w:eastAsia="Times New Roman" w:hAnsi="Times New Roman"/>
          <w:sz w:val="18"/>
          <w:szCs w:val="18"/>
          <w:color w:val="auto"/>
        </w:rPr>
      </w:pPr>
    </w:p>
    <w:p>
      <w:pPr>
        <w:ind w:left="4" w:right="60" w:firstLine="436"/>
        <w:spacing w:after="0" w:line="259" w:lineRule="auto"/>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Maker hereby waives all notices in connection with the delivery, acceptance, performance, default, or enforcement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affecting Maker’s liability hereunder.</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statements or other documents which are required or contemplated by this Note shall be in writing and delivered:</w:t>
      </w:r>
    </w:p>
    <w:p>
      <w:pPr>
        <w:spacing w:after="0" w:line="31"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or (ii)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electronic transmission, one (1) business day after delivery to an overnight courier service or five (5) days after mailing if sent by mail.</w:t>
      </w:r>
    </w:p>
    <w:p>
      <w:pPr>
        <w:spacing w:after="0" w:line="182"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THIS NOTE SHALL BE CONSTRUED AND ENFORCED IN ACCORDANCE WITH THE LAWS OF NEW YORK,</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REGARD TO CONFLICT OF LAW PROVISIONS THEREOF.</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5" w:name="page36"/>
    <w:bookmarkEnd w:id="35"/>
    <w:p>
      <w:pPr>
        <w:ind w:left="-40" w:right="260" w:firstLine="436"/>
        <w:spacing w:after="0" w:line="268" w:lineRule="auto"/>
        <w:tabs>
          <w:tab w:leader="none" w:pos="6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Any provision contained in this Note which is prohibited or unenforceable in any jurisdiction shall, as to such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rFonts w:ascii="Times New Roman" w:cs="Times New Roman" w:eastAsia="Times New Roman" w:hAnsi="Times New Roman"/>
          <w:sz w:val="18"/>
          <w:szCs w:val="18"/>
          <w:color w:val="auto"/>
        </w:rPr>
      </w:pPr>
    </w:p>
    <w:p>
      <w:pPr>
        <w:ind w:left="-40" w:right="100" w:firstLine="436"/>
        <w:spacing w:after="0" w:line="259" w:lineRule="auto"/>
        <w:tabs>
          <w:tab w:leader="none" w:pos="6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Waiver</w:t>
      </w:r>
      <w:r>
        <w:rPr>
          <w:rFonts w:ascii="Times New Roman" w:cs="Times New Roman" w:eastAsia="Times New Roman" w:hAnsi="Times New Roman"/>
          <w:sz w:val="18"/>
          <w:szCs w:val="18"/>
          <w:color w:val="auto"/>
        </w:rPr>
        <w:t>. Notwithstanding anything herein to the contrary, the Payee hereby waives any and all right, title, interest or claim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containing the proceeds of the Maker’s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certain of the proceeds of the sale of the warrants issued in a private placement in connection with, as described in greater detail in the registration statement and prospectus filed by Maker with the Securities and Exchange Commission, and hereby agrees not to seek recourse, reimbursement, payment or satisfaction for any Claim against the trust account for any reason whatsoever.</w:t>
      </w:r>
    </w:p>
    <w:p>
      <w:pPr>
        <w:spacing w:after="0" w:line="179" w:lineRule="exact"/>
        <w:rPr>
          <w:rFonts w:ascii="Times New Roman" w:cs="Times New Roman" w:eastAsia="Times New Roman" w:hAnsi="Times New Roman"/>
          <w:sz w:val="18"/>
          <w:szCs w:val="18"/>
          <w:color w:val="auto"/>
        </w:rPr>
      </w:pPr>
    </w:p>
    <w:p>
      <w:pPr>
        <w:ind w:left="-40" w:right="60" w:firstLine="436"/>
        <w:spacing w:after="0" w:line="286" w:lineRule="auto"/>
        <w:tabs>
          <w:tab w:leader="none" w:pos="6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Waiver</w:t>
      </w:r>
      <w:r>
        <w:rPr>
          <w:rFonts w:ascii="Times New Roman" w:cs="Times New Roman" w:eastAsia="Times New Roman" w:hAnsi="Times New Roman"/>
          <w:sz w:val="18"/>
          <w:szCs w:val="18"/>
          <w:color w:val="auto"/>
        </w:rPr>
        <w:t>. Any amendment hereto or waiver of any provision hereof may be made with, and only with, the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Maker and the Payee.</w:t>
      </w:r>
    </w:p>
    <w:p>
      <w:pPr>
        <w:spacing w:after="0" w:line="154" w:lineRule="exact"/>
        <w:rPr>
          <w:rFonts w:ascii="Times New Roman" w:cs="Times New Roman" w:eastAsia="Times New Roman" w:hAnsi="Times New Roman"/>
          <w:sz w:val="18"/>
          <w:szCs w:val="18"/>
          <w:color w:val="auto"/>
        </w:rPr>
      </w:pPr>
    </w:p>
    <w:p>
      <w:pPr>
        <w:ind w:left="-40" w:right="120" w:firstLine="436"/>
        <w:spacing w:after="0" w:line="317" w:lineRule="auto"/>
        <w:tabs>
          <w:tab w:leader="none" w:pos="67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 No assignment or transfer of this Note or any rights or obligations hereunder may be made by any party hereto (by operation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 or otherwise) without the prior written consent of the other party hereto and any attempted assignment without the required consent shall be void.</w:t>
      </w:r>
    </w:p>
    <w:p>
      <w:pPr>
        <w:spacing w:after="0" w:line="131" w:lineRule="exact"/>
        <w:rPr>
          <w:rFonts w:ascii="Times New Roman" w:cs="Times New Roman" w:eastAsia="Times New Roman" w:hAnsi="Times New Roman"/>
          <w:sz w:val="17"/>
          <w:szCs w:val="17"/>
          <w:color w:val="auto"/>
        </w:rPr>
      </w:pPr>
    </w:p>
    <w:p>
      <w:pPr>
        <w:ind w:left="660" w:hanging="264"/>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Conversion Into Warrants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00" w:right="20" w:firstLine="419"/>
        <w:spacing w:after="0" w:line="254" w:lineRule="auto"/>
        <w:tabs>
          <w:tab w:leader="none" w:pos="10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Payee’s option, on the Maturity Date, the Payee may elect to convert all or any portion of this Note into that number of warrants (the “</w:t>
      </w:r>
      <w:r>
        <w:rPr>
          <w:rFonts w:ascii="Times New Roman" w:cs="Times New Roman" w:eastAsia="Times New Roman" w:hAnsi="Times New Roman"/>
          <w:sz w:val="18"/>
          <w:szCs w:val="18"/>
          <w:b w:val="1"/>
          <w:bCs w:val="1"/>
          <w:u w:val="single" w:color="auto"/>
          <w:color w:val="auto"/>
        </w:rPr>
        <w:t>Conversion Warrants</w:t>
      </w:r>
      <w:r>
        <w:rPr>
          <w:rFonts w:ascii="Times New Roman" w:cs="Times New Roman" w:eastAsia="Times New Roman" w:hAnsi="Times New Roman"/>
          <w:sz w:val="18"/>
          <w:szCs w:val="18"/>
          <w:color w:val="auto"/>
        </w:rPr>
        <w:t>”) equal to: (i) the portion of the principal amount of the Note being converted pursuant to this Section 15, divided by (ii) $1.00, rounded down to the nearest whole number. Each Conversion Warrant shall have the same terms and conditions as the warrants issued by the Maker pursuant to a private placement to Payee, as described in Maker’s Registration Statement on Form S-1 originally filed with the Securities and Exchange Commission on February 4, 2021 (333-252730), including the transfer restrictions applicable thereto. The Conversion Warrants and the shares of Common Stock underlying such Conversion Warrants, and any other equity security of Maker issued or issuable with respect to the foregoing by way of a stock dividend or stock split or in connection with a combination of shares, recapitalization, amalgamation, consolidation or reorganization (the “</w:t>
      </w:r>
      <w:r>
        <w:rPr>
          <w:rFonts w:ascii="Times New Roman" w:cs="Times New Roman" w:eastAsia="Times New Roman" w:hAnsi="Times New Roman"/>
          <w:sz w:val="18"/>
          <w:szCs w:val="18"/>
          <w:b w:val="1"/>
          <w:bCs w:val="1"/>
          <w:u w:val="single" w:color="auto"/>
          <w:color w:val="auto"/>
        </w:rPr>
        <w:t>Warrant Securities</w:t>
      </w:r>
      <w:r>
        <w:rPr>
          <w:rFonts w:ascii="Times New Roman" w:cs="Times New Roman" w:eastAsia="Times New Roman" w:hAnsi="Times New Roman"/>
          <w:sz w:val="18"/>
          <w:szCs w:val="18"/>
          <w:color w:val="auto"/>
        </w:rPr>
        <w:t>”), shall be entitled to the registration rights set forth in that certain registration and shareholder rights agreement between the Maker and the parties thereto, dated as of March 25, 2021.</w:t>
      </w:r>
    </w:p>
    <w:p>
      <w:pPr>
        <w:spacing w:after="0" w:line="80" w:lineRule="exact"/>
        <w:rPr>
          <w:rFonts w:ascii="Times New Roman" w:cs="Times New Roman" w:eastAsia="Times New Roman" w:hAnsi="Times New Roman"/>
          <w:sz w:val="18"/>
          <w:szCs w:val="18"/>
          <w:color w:val="auto"/>
        </w:rPr>
      </w:pPr>
    </w:p>
    <w:p>
      <w:pPr>
        <w:ind w:left="400" w:right="120" w:firstLine="419"/>
        <w:spacing w:after="0" w:line="255" w:lineRule="auto"/>
        <w:tabs>
          <w:tab w:leader="none" w:pos="10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complete or partial conversion of the principal amount of this Note, (i) such principal amount shall be so converted and such converted portion of this Note shall become fully paid and satisfied, (ii) the Payee shall surrender and deliver this Note, duly endorsed, to Maker or such other address which Maker shall designate against delivery of the Conversion Warrants, (iii) Maker shall promptly deliver a new duly executed Note to the Payee in the principal amount that remains outstanding, if any, after any such conversion and (iv) in exchange for all or any portion of the surrendered Note, Maker shall, within five (5) business days following receipt by Maker of Payee’s election to convert this Note pursuant to this Section 15, deliver to Payee the Conversion Warrants, which shall bear such legends as are required, in the opinion of counsel to Maker or by any other agreement between Maker and the Payee and applicable state and federal securities laws.</w:t>
      </w:r>
    </w:p>
    <w:p>
      <w:pPr>
        <w:spacing w:after="0" w:line="80" w:lineRule="exact"/>
        <w:rPr>
          <w:rFonts w:ascii="Times New Roman" w:cs="Times New Roman" w:eastAsia="Times New Roman" w:hAnsi="Times New Roman"/>
          <w:sz w:val="18"/>
          <w:szCs w:val="18"/>
          <w:color w:val="auto"/>
        </w:rPr>
      </w:pPr>
    </w:p>
    <w:p>
      <w:pPr>
        <w:ind w:left="400" w:firstLine="419"/>
        <w:spacing w:after="0" w:line="266" w:lineRule="auto"/>
        <w:tabs>
          <w:tab w:leader="none" w:pos="10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Payee shall pay any and all issue and other taxes that may be payable with respect to any issue or delivery of the Conversion Warrants upon conversion of this Note pursuant hereto; provided, however, that the Payee shall not be obligated to pay any transfer taxes resulting from any transfer requested by the Payee in connection with any such conversion.</w:t>
      </w:r>
    </w:p>
    <w:p>
      <w:pPr>
        <w:spacing w:after="0" w:line="67" w:lineRule="exact"/>
        <w:rPr>
          <w:rFonts w:ascii="Times New Roman" w:cs="Times New Roman" w:eastAsia="Times New Roman" w:hAnsi="Times New Roman"/>
          <w:sz w:val="18"/>
          <w:szCs w:val="18"/>
          <w:color w:val="auto"/>
        </w:rPr>
      </w:pPr>
    </w:p>
    <w:p>
      <w:pPr>
        <w:ind w:left="400" w:right="300" w:firstLine="419"/>
        <w:spacing w:after="0" w:line="282" w:lineRule="auto"/>
        <w:tabs>
          <w:tab w:leader="none" w:pos="10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Warrants shall not be issued upon conversion of this Note unless such issuance and such conversion comply with all applicable provisions of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266" w:right="479" w:bottom="1440" w:gutter="0" w:footer="0" w:header="0"/>
        </w:sectPr>
      </w:pPr>
    </w:p>
    <w:bookmarkStart w:id="36" w:name="page37"/>
    <w:bookmarkEnd w:id="3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Cayman Islands exempted company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F. Erhard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Promissory Note by ArcLight Clean Transition Corp. II</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 favor of ArcLight CTC Holdings II, L.P.</w:t>
      </w:r>
      <w:r>
        <w:rPr>
          <w:rFonts w:ascii="Times New Roman" w:cs="Times New Roman" w:eastAsia="Times New Roman" w:hAnsi="Times New Roman"/>
          <w:sz w:val="18"/>
          <w:szCs w:val="18"/>
          <w:color w:val="auto"/>
        </w:rPr>
        <w:t>]</w:t>
      </w:r>
    </w:p>
    <w:p>
      <w:pPr>
        <w:sectPr>
          <w:pgSz w:w="11900" w:h="16838" w:orient="portrait"/>
          <w:cols w:equalWidth="0" w:num="1">
            <w:col w:w="10840"/>
          </w:cols>
          <w:pgMar w:left="440" w:top="266" w:right="619" w:bottom="1440" w:gutter="0" w:footer="0" w:header="0"/>
        </w:sectPr>
      </w:pPr>
    </w:p>
    <w:bookmarkStart w:id="37" w:name="page38"/>
    <w:bookmarkEnd w:id="37"/>
    <w:p>
      <w:pPr>
        <w:ind w:left="4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BORROWINGS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increases or decreases in this Promissory Note have been made:</w:t>
      </w:r>
    </w:p>
    <w:p>
      <w:pPr>
        <w:sectPr>
          <w:pgSz w:w="11900" w:h="16838" w:orient="portrait"/>
          <w:cols w:equalWidth="0" w:num="1">
            <w:col w:w="10580"/>
          </w:cols>
          <w:pgMar w:left="440" w:top="266" w:right="879"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Increase or</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0" w:type="dxa"/>
            <w:vAlign w:val="bottom"/>
          </w:tcPr>
          <w:p>
            <w:pPr>
              <w:spacing w:after="0"/>
              <w:rPr>
                <w:sz w:val="1"/>
                <w:szCs w:val="1"/>
                <w:color w:val="auto"/>
              </w:rPr>
            </w:pPr>
          </w:p>
        </w:tc>
      </w:tr>
      <w:tr>
        <w:trPr>
          <w:trHeight w:val="148"/>
        </w:trPr>
        <w:tc>
          <w:tcPr>
            <w:tcW w:w="3040" w:type="dxa"/>
            <w:vAlign w:val="bottom"/>
            <w:gridSpan w:val="2"/>
            <w:vMerge w:val="continue"/>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Promissory Note</w:t>
            </w:r>
          </w:p>
        </w:tc>
        <w:tc>
          <w:tcPr>
            <w:tcW w:w="0" w:type="dxa"/>
            <w:vAlign w:val="bottom"/>
          </w:tcPr>
          <w:p>
            <w:pPr>
              <w:spacing w:after="0"/>
              <w:rPr>
                <w:sz w:val="1"/>
                <w:szCs w:val="1"/>
                <w:color w:val="auto"/>
              </w:rPr>
            </w:pPr>
          </w:p>
        </w:tc>
      </w:tr>
      <w:tr>
        <w:trPr>
          <w:trHeight w:val="27"/>
        </w:trPr>
        <w:tc>
          <w:tcPr>
            <w:tcW w:w="54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Amount of increase in</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Principal Amount of</w:t>
      </w:r>
    </w:p>
    <w:p>
      <w:pPr>
        <w:ind w:left="40"/>
        <w:spacing w:after="0"/>
        <w:rPr>
          <w:sz w:val="20"/>
          <w:szCs w:val="20"/>
          <w:color w:val="auto"/>
        </w:rPr>
      </w:pPr>
      <w:r>
        <w:rPr>
          <w:rFonts w:ascii="Times New Roman" w:cs="Times New Roman" w:eastAsia="Times New Roman" w:hAnsi="Times New Roman"/>
          <w:sz w:val="14"/>
          <w:szCs w:val="14"/>
          <w:b w:val="1"/>
          <w:bCs w:val="1"/>
          <w:color w:val="auto"/>
        </w:rPr>
        <w:t>this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5080</wp:posOffset>
            </wp:positionV>
            <wp:extent cx="1748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4"/>
          <w:szCs w:val="14"/>
          <w:b w:val="1"/>
          <w:bCs w:val="1"/>
          <w:color w:val="auto"/>
        </w:rPr>
        <w:t>Principal Amount of this Promissory Note following such decrease or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0</wp:posOffset>
            </wp:positionV>
            <wp:extent cx="1465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ectPr>
          <w:pgSz w:w="11900" w:h="16838" w:orient="portrait"/>
          <w:cols w:equalWidth="0" w:num="3">
            <w:col w:w="5760" w:space="720"/>
            <w:col w:w="1940" w:space="720"/>
            <w:col w:w="1440"/>
          </w:cols>
          <w:pgMar w:left="440" w:top="266" w:right="87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left="440" w:right="20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Adam Comora, certify that:</w:t>
      </w:r>
    </w:p>
    <w:p>
      <w:pPr>
        <w:spacing w:after="0" w:line="131"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Quarterly Report on Form 10-Q for the three months ended June 30, 2022 of OPAL Fuels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024"/>
          </w:cols>
          <w:pgMar w:left="436" w:top="117"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6"/>
        <w:spacing w:after="0" w:line="266" w:lineRule="auto"/>
        <w:rPr>
          <w:sz w:val="20"/>
          <w:szCs w:val="20"/>
          <w:color w:val="auto"/>
        </w:rPr>
      </w:pPr>
      <w:r>
        <w:rPr>
          <w:rFonts w:ascii="Times New Roman" w:cs="Times New Roman" w:eastAsia="Times New Roman" w:hAnsi="Times New Roman"/>
          <w:sz w:val="18"/>
          <w:szCs w:val="18"/>
          <w:color w:val="auto"/>
        </w:rPr>
        <w:t>CERTIFICATION PURSUANT TO RULES 13a-14(a) AND 15d-14(a) UNDER THE SECURITIES EXCHANGE ACT OF 1934, AS ADOPTED PURSUANT TO SECTION 302 OF THE SARBANES-OXLEY ACT OF 2002</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Jonathan Maurer, certify that:</w:t>
      </w:r>
    </w:p>
    <w:p>
      <w:pPr>
        <w:spacing w:after="0" w:line="131"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June 30, 2022 of OPAL Fuels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024"/>
          </w:cols>
          <w:pgMar w:left="436" w:top="121"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ind w:left="440" w:right="20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Ann Anthony, certify that:</w:t>
      </w:r>
    </w:p>
    <w:p>
      <w:pPr>
        <w:spacing w:after="0" w:line="13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Quarterly Report on Form 10-Q for the three months ended June 30, 2022 of OPALFuels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4"/>
          </w:cols>
          <w:pgMar w:left="436" w:top="117"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three months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Adam Comora, Co-Chief Executive Officer and Director of the Company, certify, pursuant to 18 U.S.C. Section 1350, as adopted pursuant to Section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5944"/>
        <w:spacing w:after="0"/>
        <w:rPr>
          <w:sz w:val="20"/>
          <w:szCs w:val="20"/>
          <w:color w:val="auto"/>
        </w:rPr>
      </w:pPr>
      <w:r>
        <w:rPr>
          <w:rFonts w:ascii="Times New Roman" w:cs="Times New Roman" w:eastAsia="Times New Roman" w:hAnsi="Times New Roman"/>
          <w:sz w:val="18"/>
          <w:szCs w:val="18"/>
          <w:color w:val="auto"/>
        </w:rPr>
        <w:t>Name: Adam Comora</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024"/>
          </w:cols>
          <w:pgMar w:left="436" w:top="117"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304"/>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264"/>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three months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Jonathan Maurer, Co-Chief Executive Officer of the Company, certify, pursuant to 18 U.S.C. Section 1350, as adopted pursuant to Section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17145</wp:posOffset>
            </wp:positionV>
            <wp:extent cx="26828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024"/>
          </w:cols>
          <w:pgMar w:left="436" w:top="121"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three months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Ann Anthony, Chief Financial Officer of the Company, certify, pursuant to 18 U.S.C. Section 1350, as adopted pursuant to Section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5944"/>
        <w:spacing w:after="0"/>
        <w:rPr>
          <w:sz w:val="20"/>
          <w:szCs w:val="20"/>
          <w:color w:val="auto"/>
        </w:rPr>
      </w:pPr>
      <w:r>
        <w:rPr>
          <w:rFonts w:ascii="Times New Roman" w:cs="Times New Roman" w:eastAsia="Times New Roman" w:hAnsi="Times New Roman"/>
          <w:sz w:val="18"/>
          <w:szCs w:val="18"/>
          <w:color w:val="auto"/>
        </w:rPr>
        <w:t>Name: Ann Anthony</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4"/>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Roman"/>
      <w:start w:val="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1">
    <w:nsid w:val="6B68079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
    <w:nsid w:val="4E6AFB66"/>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13">
    <w:nsid w:val="25E45D32"/>
    <w:multiLevelType w:val="hybridMultilevel"/>
    <w:lvl w:ilvl="0">
      <w:lvlJc w:val="left"/>
      <w:lvlText w:val="%1."/>
      <w:numFmt w:val="decimal"/>
      <w:start w:val="11"/>
    </w:lvl>
    <w:lvl w:ilvl="1">
      <w:lvlJc w:val="left"/>
      <w:lvlText w:val="(%2)"/>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47" Type="http://schemas.openxmlformats.org/officeDocument/2006/relationships/hyperlink" Target="http://www.sec.gov/Archives/edgar/data/1842279/000119312521347023/d270539dex21.htm" TargetMode="External"/><Relationship Id="rId48" Type="http://schemas.openxmlformats.org/officeDocument/2006/relationships/hyperlink" Target="http://www.sec.gov/Archives/edgar/data/1842279/000121390022042020/ea163248ex3-1_opal.htm" TargetMode="External"/><Relationship Id="rId49" Type="http://schemas.openxmlformats.org/officeDocument/2006/relationships/hyperlink" Target="http://www.sec.gov/Archives/edgar/data/1842279/000121390022042020/ea163248ex3-2_opal.htm" TargetMode="External"/><Relationship Id="rId50" Type="http://schemas.openxmlformats.org/officeDocument/2006/relationships/hyperlink" Target="http://www.sec.gov/Archives/edgar/data/1842279/000119312521073580/d118209dex43.htm" TargetMode="External"/><Relationship Id="rId51" Type="http://schemas.openxmlformats.org/officeDocument/2006/relationships/hyperlink" Target="http://www.sec.gov/Archives/edgar/data/1842279/000119312521096722/d167128dex41.htm" TargetMode="External"/><Relationship Id="rId52" Type="http://schemas.openxmlformats.org/officeDocument/2006/relationships/hyperlink" Target="http://www.sec.gov/Archives/edgar/data/1842279/000119312521096722/d167128dex104.htm" TargetMode="External"/><Relationship Id="rId53" Type="http://schemas.openxmlformats.org/officeDocument/2006/relationships/hyperlink" Target="http://www.sec.gov/Archives/edgar/data/1842279/000119312521347023/d270539dex101.htm" TargetMode="External"/><Relationship Id="rId54" Type="http://schemas.openxmlformats.org/officeDocument/2006/relationships/hyperlink" Target="http://www.sec.gov/Archives/edgar/data/1842279/000121390022025716/ea159809ex10-1_arclight2.htm" TargetMode="External"/><Relationship Id="rId55" Type="http://schemas.openxmlformats.org/officeDocument/2006/relationships/hyperlink" Target="http://www.sec.gov/Archives/edgar/data/1842279/000121390022042020/ea163248ex10-7_opal.htm" TargetMode="External"/><Relationship Id="rId56" Type="http://schemas.openxmlformats.org/officeDocument/2006/relationships/hyperlink" Target="http://www.sec.gov/Archives/edgar/data/1842279/000121390022039824/ea162977ex10-1_arcligh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2022-08-10T05:19:30Z</dcterms:created>
  <dcterms:modified xsi:type="dcterms:W3CDTF">2022-08-10T05:19:30Z</dcterms:modified>
</cp:coreProperties>
</file>