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464820</wp:posOffset>
            </wp:positionH>
            <wp:positionV relativeFrom="page">
              <wp:posOffset>990600</wp:posOffset>
            </wp:positionV>
            <wp:extent cx="3761740" cy="895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1740" cy="895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right="2987"/>
        <w:spacing w:after="0" w:line="272" w:lineRule="auto"/>
        <w:rPr>
          <w:sz w:val="20"/>
          <w:szCs w:val="20"/>
          <w:color w:val="auto"/>
        </w:rPr>
      </w:pPr>
      <w:r>
        <w:rPr>
          <w:rFonts w:ascii="Times New Roman" w:cs="Times New Roman" w:eastAsia="Times New Roman" w:hAnsi="Times New Roman"/>
          <w:sz w:val="83"/>
          <w:szCs w:val="83"/>
          <w:b w:val="1"/>
          <w:bCs w:val="1"/>
          <w:color w:val="00000A"/>
        </w:rPr>
        <w:t xml:space="preserve">Leadership for a Low Carbon </w:t>
      </w:r>
      <w:r>
        <w:rPr>
          <w:rFonts w:ascii="Times New Roman" w:cs="Times New Roman" w:eastAsia="Times New Roman" w:hAnsi="Times New Roman"/>
          <w:sz w:val="83"/>
          <w:szCs w:val="83"/>
          <w:b w:val="1"/>
          <w:bCs w:val="1"/>
          <w:color w:val="3B2390"/>
        </w:rPr>
        <w:t>Future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-456565</wp:posOffset>
            </wp:positionH>
            <wp:positionV relativeFrom="paragraph">
              <wp:posOffset>132080</wp:posOffset>
            </wp:positionV>
            <wp:extent cx="7771765" cy="5930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1765" cy="59309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240"/>
        </w:trPr>
        <w:tc>
          <w:tcPr>
            <w:tcW w:w="230" w:type="dxa"/>
            <w:vAlign w:val="bottom"/>
            <w:textDirection w:val="btLr"/>
          </w:tcPr>
          <w:p>
            <w:pPr>
              <w:spacing w:after="0"/>
              <w:rPr>
                <w:sz w:val="20"/>
                <w:szCs w:val="20"/>
                <w:color w:val="auto"/>
              </w:rPr>
            </w:pPr>
            <w:r>
              <w:rPr>
                <w:rFonts w:ascii="Times New Roman" w:cs="Times New Roman" w:eastAsia="Times New Roman" w:hAnsi="Times New Roman"/>
                <w:sz w:val="20"/>
                <w:szCs w:val="20"/>
                <w:b w:val="1"/>
                <w:bCs w:val="1"/>
                <w:color w:val="00000A"/>
              </w:rPr>
              <w:t>2022 ANNUAL REPORT</w:t>
            </w: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43815</wp:posOffset>
                </wp:positionH>
                <wp:positionV relativeFrom="paragraph">
                  <wp:posOffset>-3796665</wp:posOffset>
                </wp:positionV>
                <wp:extent cx="92710" cy="220980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710" cy="2209800"/>
                        </a:xfrm>
                        <a:prstGeom prst="rect">
                          <a:avLst/>
                        </a:prstGeom>
                        <a:solidFill>
                          <a:srgbClr val="EAEBF1"/>
                        </a:solidFill>
                      </wps:spPr>
                      <wps:bodyPr/>
                    </wps:wsp>
                  </a:graphicData>
                </a:graphic>
              </wp:anchor>
            </w:drawing>
          </mc:Choice>
          <mc:Fallback>
            <w:pict>
              <v:rect id="Shape 3" o:spid="_x0000_s1028" style="position:absolute;margin-left:3.45pt;margin-top:-298.9499pt;width:7.3pt;height:17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F1" stroked="f"/>
            </w:pict>
          </mc:Fallback>
        </mc:AlternateContent>
      </w:r>
    </w:p>
    <w:p>
      <w:pPr>
        <w:sectPr>
          <w:pgSz w:w="12240" w:h="15839" w:orient="portrait"/>
          <w:cols w:equalWidth="0" w:num="2">
            <w:col w:w="10207" w:space="720"/>
            <w:col w:w="230"/>
          </w:cols>
          <w:pgMar w:left="720" w:top="1440" w:right="362"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1765" cy="448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7771765" cy="448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FFFFFF"/>
        </w:rPr>
        <w:t>Vision</w:t>
      </w:r>
    </w:p>
    <w:p>
      <w:pPr>
        <w:spacing w:after="0" w:line="316" w:lineRule="exact"/>
        <w:rPr>
          <w:sz w:val="20"/>
          <w:szCs w:val="20"/>
          <w:color w:val="auto"/>
        </w:rPr>
      </w:pPr>
    </w:p>
    <w:p>
      <w:pPr>
        <w:jc w:val="center"/>
        <w:ind w:left="980" w:right="620"/>
        <w:spacing w:after="0" w:line="294" w:lineRule="auto"/>
        <w:rPr>
          <w:sz w:val="20"/>
          <w:szCs w:val="20"/>
          <w:color w:val="auto"/>
        </w:rPr>
      </w:pPr>
      <w:r>
        <w:rPr>
          <w:rFonts w:ascii="Times New Roman" w:cs="Times New Roman" w:eastAsia="Times New Roman" w:hAnsi="Times New Roman"/>
          <w:sz w:val="32"/>
          <w:szCs w:val="32"/>
          <w:color w:val="FFFFFF"/>
        </w:rPr>
        <w:t>Our vision is to transition to a world where energy is clean, air is safe, and the environment is secure for generations to come.</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FFFFFF"/>
        </w:rPr>
        <w:t>Mission</w:t>
      </w:r>
    </w:p>
    <w:p>
      <w:pPr>
        <w:spacing w:after="0" w:line="316" w:lineRule="exact"/>
        <w:rPr>
          <w:sz w:val="20"/>
          <w:szCs w:val="20"/>
          <w:color w:val="auto"/>
        </w:rPr>
      </w:pPr>
    </w:p>
    <w:p>
      <w:pPr>
        <w:jc w:val="center"/>
        <w:ind w:left="980" w:right="820"/>
        <w:spacing w:after="0" w:line="312" w:lineRule="auto"/>
        <w:rPr>
          <w:sz w:val="20"/>
          <w:szCs w:val="20"/>
          <w:color w:val="auto"/>
        </w:rPr>
      </w:pPr>
      <w:r>
        <w:rPr>
          <w:rFonts w:ascii="Times New Roman" w:cs="Times New Roman" w:eastAsia="Times New Roman" w:hAnsi="Times New Roman"/>
          <w:sz w:val="31"/>
          <w:szCs w:val="31"/>
          <w:color w:val="FFFFFF"/>
        </w:rPr>
        <w:t>Our mission is to deliver low-carbon energy solutions that mitigate climate change and provide value to all of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814070</wp:posOffset>
            </wp:positionV>
            <wp:extent cx="403860" cy="421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403860" cy="42100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821055</wp:posOffset>
            </wp:positionV>
            <wp:extent cx="365125" cy="407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365125" cy="4070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3279775</wp:posOffset>
                </wp:positionH>
                <wp:positionV relativeFrom="paragraph">
                  <wp:posOffset>728980</wp:posOffset>
                </wp:positionV>
                <wp:extent cx="0" cy="383095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30955"/>
                        </a:xfrm>
                        <a:prstGeom prst="line">
                          <a:avLst/>
                        </a:prstGeom>
                        <a:solidFill>
                          <a:srgbClr val="FFFFFF"/>
                        </a:solidFill>
                        <a:ln w="12700">
                          <a:solidFill>
                            <a:srgbClr val="EAEBF1"/>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25pt,57.4pt" to="258.25pt,359.05pt" o:allowincell="f" strokecolor="#EAEBF1"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345"/>
        </w:trPr>
        <w:tc>
          <w:tcPr>
            <w:tcW w:w="5180" w:type="dxa"/>
            <w:vAlign w:val="bottom"/>
          </w:tcPr>
          <w:p>
            <w:pPr>
              <w:jc w:val="center"/>
              <w:ind w:right="918"/>
              <w:spacing w:after="0"/>
              <w:rPr>
                <w:sz w:val="20"/>
                <w:szCs w:val="20"/>
                <w:color w:val="auto"/>
              </w:rPr>
            </w:pPr>
            <w:r>
              <w:rPr>
                <w:rFonts w:ascii="Times New Roman" w:cs="Times New Roman" w:eastAsia="Times New Roman" w:hAnsi="Times New Roman"/>
                <w:sz w:val="26"/>
                <w:szCs w:val="26"/>
                <w:b w:val="1"/>
                <w:bCs w:val="1"/>
                <w:color w:val="3B2390"/>
              </w:rPr>
              <w:t>SAFETY</w:t>
            </w:r>
          </w:p>
        </w:tc>
        <w:tc>
          <w:tcPr>
            <w:tcW w:w="4780" w:type="dxa"/>
            <w:vAlign w:val="bottom"/>
          </w:tcPr>
          <w:p>
            <w:pPr>
              <w:jc w:val="center"/>
              <w:ind w:left="898"/>
              <w:spacing w:after="0"/>
              <w:rPr>
                <w:sz w:val="20"/>
                <w:szCs w:val="20"/>
                <w:color w:val="auto"/>
              </w:rPr>
            </w:pPr>
            <w:r>
              <w:rPr>
                <w:rFonts w:ascii="Times New Roman" w:cs="Times New Roman" w:eastAsia="Times New Roman" w:hAnsi="Times New Roman"/>
                <w:sz w:val="26"/>
                <w:szCs w:val="26"/>
                <w:b w:val="1"/>
                <w:bCs w:val="1"/>
                <w:color w:val="3B2390"/>
              </w:rPr>
              <w:t>INTEGRITY</w:t>
            </w:r>
          </w:p>
        </w:tc>
      </w:tr>
      <w:tr>
        <w:trPr>
          <w:trHeight w:val="468"/>
        </w:trPr>
        <w:tc>
          <w:tcPr>
            <w:tcW w:w="5180" w:type="dxa"/>
            <w:vAlign w:val="bottom"/>
          </w:tcPr>
          <w:p>
            <w:pPr>
              <w:jc w:val="center"/>
              <w:ind w:right="898"/>
              <w:spacing w:after="0"/>
              <w:rPr>
                <w:sz w:val="20"/>
                <w:szCs w:val="20"/>
                <w:color w:val="auto"/>
              </w:rPr>
            </w:pPr>
            <w:r>
              <w:rPr>
                <w:rFonts w:ascii="Times New Roman" w:cs="Times New Roman" w:eastAsia="Times New Roman" w:hAnsi="Times New Roman"/>
                <w:sz w:val="22"/>
                <w:szCs w:val="22"/>
                <w:b w:val="1"/>
                <w:bCs w:val="1"/>
                <w:color w:val="auto"/>
              </w:rPr>
              <w:t>Passion for Safety</w:t>
            </w:r>
          </w:p>
        </w:tc>
        <w:tc>
          <w:tcPr>
            <w:tcW w:w="4780" w:type="dxa"/>
            <w:vAlign w:val="bottom"/>
          </w:tcPr>
          <w:p>
            <w:pPr>
              <w:jc w:val="center"/>
              <w:ind w:left="898"/>
              <w:spacing w:after="0"/>
              <w:rPr>
                <w:sz w:val="20"/>
                <w:szCs w:val="20"/>
                <w:color w:val="auto"/>
              </w:rPr>
            </w:pPr>
            <w:r>
              <w:rPr>
                <w:rFonts w:ascii="Times New Roman" w:cs="Times New Roman" w:eastAsia="Times New Roman" w:hAnsi="Times New Roman"/>
                <w:sz w:val="22"/>
                <w:szCs w:val="22"/>
                <w:b w:val="1"/>
                <w:bCs w:val="1"/>
                <w:color w:val="auto"/>
              </w:rPr>
              <w:t>Straightforward, Open, and Honest</w:t>
            </w:r>
          </w:p>
        </w:tc>
      </w:tr>
      <w:tr>
        <w:trPr>
          <w:trHeight w:val="308"/>
        </w:trPr>
        <w:tc>
          <w:tcPr>
            <w:tcW w:w="5180" w:type="dxa"/>
            <w:vAlign w:val="bottom"/>
          </w:tcPr>
          <w:p>
            <w:pPr>
              <w:jc w:val="center"/>
              <w:ind w:right="898"/>
              <w:spacing w:after="0"/>
              <w:rPr>
                <w:sz w:val="20"/>
                <w:szCs w:val="20"/>
                <w:color w:val="auto"/>
              </w:rPr>
            </w:pPr>
            <w:r>
              <w:rPr>
                <w:rFonts w:ascii="Times New Roman" w:cs="Times New Roman" w:eastAsia="Times New Roman" w:hAnsi="Times New Roman"/>
                <w:sz w:val="18"/>
                <w:szCs w:val="18"/>
                <w:color w:val="auto"/>
                <w:w w:val="99"/>
              </w:rPr>
              <w:t>We are committed to ensuring our employees return home</w:t>
            </w:r>
          </w:p>
        </w:tc>
        <w:tc>
          <w:tcPr>
            <w:tcW w:w="478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w w:val="99"/>
              </w:rPr>
              <w:t>We are committed to adhering to the highest ethical</w:t>
            </w:r>
          </w:p>
        </w:tc>
      </w:tr>
      <w:tr>
        <w:trPr>
          <w:trHeight w:val="240"/>
        </w:trPr>
        <w:tc>
          <w:tcPr>
            <w:tcW w:w="5180" w:type="dxa"/>
            <w:vAlign w:val="bottom"/>
          </w:tcPr>
          <w:p>
            <w:pPr>
              <w:jc w:val="center"/>
              <w:ind w:right="898"/>
              <w:spacing w:after="0"/>
              <w:rPr>
                <w:sz w:val="20"/>
                <w:szCs w:val="20"/>
                <w:color w:val="auto"/>
              </w:rPr>
            </w:pPr>
            <w:r>
              <w:rPr>
                <w:rFonts w:ascii="Times New Roman" w:cs="Times New Roman" w:eastAsia="Times New Roman" w:hAnsi="Times New Roman"/>
                <w:sz w:val="18"/>
                <w:szCs w:val="18"/>
                <w:color w:val="auto"/>
                <w:w w:val="99"/>
              </w:rPr>
              <w:t>safely at the end of each and every workday. No task at</w:t>
            </w:r>
          </w:p>
        </w:tc>
        <w:tc>
          <w:tcPr>
            <w:tcW w:w="478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standards. By being authentic and real, we earn trust</w:t>
            </w:r>
          </w:p>
        </w:tc>
      </w:tr>
      <w:tr>
        <w:trPr>
          <w:trHeight w:val="240"/>
        </w:trPr>
        <w:tc>
          <w:tcPr>
            <w:tcW w:w="5180" w:type="dxa"/>
            <w:vAlign w:val="bottom"/>
          </w:tcPr>
          <w:p>
            <w:pPr>
              <w:jc w:val="center"/>
              <w:ind w:right="898"/>
              <w:spacing w:after="0"/>
              <w:rPr>
                <w:sz w:val="20"/>
                <w:szCs w:val="20"/>
                <w:color w:val="auto"/>
              </w:rPr>
            </w:pPr>
            <w:r>
              <w:rPr>
                <w:rFonts w:ascii="Times New Roman" w:cs="Times New Roman" w:eastAsia="Times New Roman" w:hAnsi="Times New Roman"/>
                <w:sz w:val="18"/>
                <w:szCs w:val="18"/>
                <w:color w:val="auto"/>
                <w:w w:val="99"/>
              </w:rPr>
              <w:t>OPAL Fuels is worth doing if we cannot do it safely.</w:t>
            </w:r>
          </w:p>
        </w:tc>
        <w:tc>
          <w:tcPr>
            <w:tcW w:w="478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with each other and our stakeholders.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484505</wp:posOffset>
            </wp:positionV>
            <wp:extent cx="573405" cy="354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573405" cy="35496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460375</wp:posOffset>
            </wp:positionV>
            <wp:extent cx="403225" cy="40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403225" cy="4032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-101600</wp:posOffset>
                </wp:positionH>
                <wp:positionV relativeFrom="paragraph">
                  <wp:posOffset>350520</wp:posOffset>
                </wp:positionV>
                <wp:extent cx="670496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4965" cy="4763"/>
                        </a:xfrm>
                        <a:prstGeom prst="line">
                          <a:avLst/>
                        </a:prstGeom>
                        <a:solidFill>
                          <a:srgbClr val="FFFFFF"/>
                        </a:solidFill>
                        <a:ln w="12700">
                          <a:solidFill>
                            <a:srgbClr val="EAEBF1"/>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7.6pt" to="519.95pt,27.6pt" o:allowincell="f" strokecolor="#EAEBF1"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5160" w:type="dxa"/>
            <w:vAlign w:val="bottom"/>
          </w:tcPr>
          <w:p>
            <w:pPr>
              <w:jc w:val="center"/>
              <w:ind w:right="660"/>
              <w:spacing w:after="0"/>
              <w:rPr>
                <w:sz w:val="20"/>
                <w:szCs w:val="20"/>
                <w:color w:val="auto"/>
              </w:rPr>
            </w:pPr>
            <w:r>
              <w:rPr>
                <w:rFonts w:ascii="Times New Roman" w:cs="Times New Roman" w:eastAsia="Times New Roman" w:hAnsi="Times New Roman"/>
                <w:sz w:val="26"/>
                <w:szCs w:val="26"/>
                <w:b w:val="1"/>
                <w:bCs w:val="1"/>
                <w:color w:val="3B2390"/>
              </w:rPr>
              <w:t>RELATIONSHIPS</w:t>
            </w:r>
          </w:p>
        </w:tc>
        <w:tc>
          <w:tcPr>
            <w:tcW w:w="5140" w:type="dxa"/>
            <w:vAlign w:val="bottom"/>
          </w:tcPr>
          <w:p>
            <w:pPr>
              <w:jc w:val="center"/>
              <w:ind w:left="660"/>
              <w:spacing w:after="0"/>
              <w:rPr>
                <w:sz w:val="20"/>
                <w:szCs w:val="20"/>
                <w:color w:val="auto"/>
              </w:rPr>
            </w:pPr>
            <w:r>
              <w:rPr>
                <w:rFonts w:ascii="Times New Roman" w:cs="Times New Roman" w:eastAsia="Times New Roman" w:hAnsi="Times New Roman"/>
                <w:sz w:val="26"/>
                <w:szCs w:val="26"/>
                <w:b w:val="1"/>
                <w:bCs w:val="1"/>
                <w:color w:val="3B2390"/>
              </w:rPr>
              <w:t>EXCELLENCE</w:t>
            </w:r>
          </w:p>
        </w:tc>
      </w:tr>
      <w:tr>
        <w:trPr>
          <w:trHeight w:val="468"/>
        </w:trPr>
        <w:tc>
          <w:tcPr>
            <w:tcW w:w="5160" w:type="dxa"/>
            <w:vAlign w:val="bottom"/>
          </w:tcPr>
          <w:p>
            <w:pPr>
              <w:jc w:val="center"/>
              <w:ind w:right="660"/>
              <w:spacing w:after="0"/>
              <w:rPr>
                <w:sz w:val="20"/>
                <w:szCs w:val="20"/>
                <w:color w:val="auto"/>
              </w:rPr>
            </w:pPr>
            <w:r>
              <w:rPr>
                <w:rFonts w:ascii="Times New Roman" w:cs="Times New Roman" w:eastAsia="Times New Roman" w:hAnsi="Times New Roman"/>
                <w:sz w:val="22"/>
                <w:szCs w:val="22"/>
                <w:b w:val="1"/>
                <w:bCs w:val="1"/>
                <w:color w:val="auto"/>
              </w:rPr>
              <w:t>Engaging All Stakeholders</w:t>
            </w:r>
          </w:p>
        </w:tc>
        <w:tc>
          <w:tcPr>
            <w:tcW w:w="5140" w:type="dxa"/>
            <w:vAlign w:val="bottom"/>
          </w:tcPr>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Quality and Creativity</w:t>
            </w:r>
          </w:p>
        </w:tc>
      </w:tr>
      <w:tr>
        <w:trPr>
          <w:trHeight w:val="299"/>
        </w:trPr>
        <w:tc>
          <w:tcPr>
            <w:tcW w:w="5160" w:type="dxa"/>
            <w:vAlign w:val="bottom"/>
          </w:tcPr>
          <w:p>
            <w:pPr>
              <w:jc w:val="center"/>
              <w:ind w:right="660"/>
              <w:spacing w:after="0"/>
              <w:rPr>
                <w:sz w:val="20"/>
                <w:szCs w:val="20"/>
                <w:color w:val="auto"/>
              </w:rPr>
            </w:pPr>
            <w:r>
              <w:rPr>
                <w:rFonts w:ascii="Times New Roman" w:cs="Times New Roman" w:eastAsia="Times New Roman" w:hAnsi="Times New Roman"/>
                <w:sz w:val="18"/>
                <w:szCs w:val="18"/>
                <w:color w:val="auto"/>
              </w:rPr>
              <w:t>We cultivate an environment of dignity and respect where</w:t>
            </w:r>
          </w:p>
        </w:tc>
        <w:tc>
          <w:tcPr>
            <w:tcW w:w="5140" w:type="dxa"/>
            <w:vAlign w:val="bottom"/>
          </w:tcPr>
          <w:p>
            <w:pPr>
              <w:jc w:val="center"/>
              <w:ind w:left="680"/>
              <w:spacing w:after="0"/>
              <w:rPr>
                <w:sz w:val="20"/>
                <w:szCs w:val="20"/>
                <w:color w:val="auto"/>
              </w:rPr>
            </w:pPr>
            <w:r>
              <w:rPr>
                <w:rFonts w:ascii="Times New Roman" w:cs="Times New Roman" w:eastAsia="Times New Roman" w:hAnsi="Times New Roman"/>
                <w:sz w:val="18"/>
                <w:szCs w:val="18"/>
                <w:color w:val="auto"/>
                <w:w w:val="99"/>
              </w:rPr>
              <w:t>We facilitate a results-oriented and innovation-driven</w:t>
            </w:r>
          </w:p>
        </w:tc>
      </w:tr>
      <w:tr>
        <w:trPr>
          <w:trHeight w:val="240"/>
        </w:trPr>
        <w:tc>
          <w:tcPr>
            <w:tcW w:w="5160" w:type="dxa"/>
            <w:vAlign w:val="bottom"/>
          </w:tcPr>
          <w:p>
            <w:pPr>
              <w:jc w:val="center"/>
              <w:ind w:right="660"/>
              <w:spacing w:after="0"/>
              <w:rPr>
                <w:sz w:val="20"/>
                <w:szCs w:val="20"/>
                <w:color w:val="auto"/>
              </w:rPr>
            </w:pPr>
            <w:r>
              <w:rPr>
                <w:rFonts w:ascii="Times New Roman" w:cs="Times New Roman" w:eastAsia="Times New Roman" w:hAnsi="Times New Roman"/>
                <w:sz w:val="18"/>
                <w:szCs w:val="18"/>
                <w:color w:val="auto"/>
              </w:rPr>
              <w:t>all perspectives are heard and valued. We understand that</w:t>
            </w:r>
          </w:p>
        </w:tc>
        <w:tc>
          <w:tcPr>
            <w:tcW w:w="5140" w:type="dxa"/>
            <w:vAlign w:val="bottom"/>
          </w:tcPr>
          <w:p>
            <w:pPr>
              <w:jc w:val="center"/>
              <w:ind w:left="660"/>
              <w:spacing w:after="0"/>
              <w:rPr>
                <w:sz w:val="20"/>
                <w:szCs w:val="20"/>
                <w:color w:val="auto"/>
              </w:rPr>
            </w:pPr>
            <w:r>
              <w:rPr>
                <w:rFonts w:ascii="Times New Roman" w:cs="Times New Roman" w:eastAsia="Times New Roman" w:hAnsi="Times New Roman"/>
                <w:sz w:val="18"/>
                <w:szCs w:val="18"/>
                <w:color w:val="auto"/>
                <w:w w:val="99"/>
              </w:rPr>
              <w:t>culture, delivering best-in-class solutions. We hold ourselves</w:t>
            </w:r>
          </w:p>
        </w:tc>
      </w:tr>
      <w:tr>
        <w:trPr>
          <w:trHeight w:val="240"/>
        </w:trPr>
        <w:tc>
          <w:tcPr>
            <w:tcW w:w="5160" w:type="dxa"/>
            <w:vAlign w:val="bottom"/>
          </w:tcPr>
          <w:p>
            <w:pPr>
              <w:jc w:val="center"/>
              <w:ind w:right="660"/>
              <w:spacing w:after="0"/>
              <w:rPr>
                <w:sz w:val="20"/>
                <w:szCs w:val="20"/>
                <w:color w:val="auto"/>
              </w:rPr>
            </w:pPr>
            <w:r>
              <w:rPr>
                <w:rFonts w:ascii="Times New Roman" w:cs="Times New Roman" w:eastAsia="Times New Roman" w:hAnsi="Times New Roman"/>
                <w:sz w:val="18"/>
                <w:szCs w:val="18"/>
                <w:color w:val="auto"/>
              </w:rPr>
              <w:t>diverse perspectives are critical to solutions that engage our</w:t>
            </w:r>
          </w:p>
        </w:tc>
        <w:tc>
          <w:tcPr>
            <w:tcW w:w="5140" w:type="dxa"/>
            <w:vAlign w:val="bottom"/>
          </w:tcPr>
          <w:p>
            <w:pPr>
              <w:jc w:val="center"/>
              <w:ind w:left="660"/>
              <w:spacing w:after="0"/>
              <w:rPr>
                <w:sz w:val="20"/>
                <w:szCs w:val="20"/>
                <w:color w:val="auto"/>
              </w:rPr>
            </w:pPr>
            <w:r>
              <w:rPr>
                <w:rFonts w:ascii="Times New Roman" w:cs="Times New Roman" w:eastAsia="Times New Roman" w:hAnsi="Times New Roman"/>
                <w:sz w:val="18"/>
                <w:szCs w:val="18"/>
                <w:color w:val="auto"/>
              </w:rPr>
              <w:t>accountable for fostering the success of all stakeholders,</w:t>
            </w:r>
          </w:p>
        </w:tc>
      </w:tr>
      <w:tr>
        <w:trPr>
          <w:trHeight w:val="249"/>
        </w:trPr>
        <w:tc>
          <w:tcPr>
            <w:tcW w:w="5160" w:type="dxa"/>
            <w:vAlign w:val="bottom"/>
          </w:tcPr>
          <w:p>
            <w:pPr>
              <w:jc w:val="center"/>
              <w:ind w:right="660"/>
              <w:spacing w:after="0"/>
              <w:rPr>
                <w:sz w:val="20"/>
                <w:szCs w:val="20"/>
                <w:color w:val="auto"/>
              </w:rPr>
            </w:pPr>
            <w:r>
              <w:rPr>
                <w:rFonts w:ascii="Times New Roman" w:cs="Times New Roman" w:eastAsia="Times New Roman" w:hAnsi="Times New Roman"/>
                <w:sz w:val="18"/>
                <w:szCs w:val="18"/>
                <w:color w:val="auto"/>
              </w:rPr>
              <w:t>stakeholders and forge better partnerships.</w:t>
            </w:r>
          </w:p>
        </w:tc>
        <w:tc>
          <w:tcPr>
            <w:tcW w:w="5140" w:type="dxa"/>
            <w:vAlign w:val="bottom"/>
          </w:tcPr>
          <w:p>
            <w:pPr>
              <w:jc w:val="center"/>
              <w:ind w:left="680"/>
              <w:spacing w:after="0"/>
              <w:rPr>
                <w:sz w:val="20"/>
                <w:szCs w:val="20"/>
                <w:color w:val="auto"/>
              </w:rPr>
            </w:pPr>
            <w:r>
              <w:rPr>
                <w:rFonts w:ascii="Times New Roman" w:cs="Times New Roman" w:eastAsia="Times New Roman" w:hAnsi="Times New Roman"/>
                <w:sz w:val="18"/>
                <w:szCs w:val="18"/>
                <w:color w:val="auto"/>
                <w:w w:val="99"/>
              </w:rPr>
              <w:t>creating value for them and a more sustainable future for all.</w:t>
            </w:r>
          </w:p>
        </w:tc>
      </w:tr>
    </w:tbl>
    <w:p>
      <w:pPr>
        <w:spacing w:after="0" w:line="200" w:lineRule="exact"/>
        <w:rPr>
          <w:sz w:val="20"/>
          <w:szCs w:val="20"/>
          <w:color w:val="auto"/>
        </w:rPr>
      </w:pPr>
    </w:p>
    <w:p>
      <w:pPr>
        <w:sectPr>
          <w:pgSz w:w="12240" w:h="15839" w:orient="portrait"/>
          <w:cols w:equalWidth="0" w:num="1">
            <w:col w:w="10300"/>
          </w:cols>
          <w:pgMar w:left="880" w:top="1440" w:right="1059" w:bottom="4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3B2390"/>
        </w:rPr>
        <w:t>These core values enable us to make our business and the world a better place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-558165</wp:posOffset>
                </wp:positionH>
                <wp:positionV relativeFrom="paragraph">
                  <wp:posOffset>275590</wp:posOffset>
                </wp:positionV>
                <wp:extent cx="7771130" cy="38100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1130" cy="381000"/>
                        </a:xfrm>
                        <a:prstGeom prst="rect">
                          <a:avLst/>
                        </a:prstGeom>
                        <a:solidFill>
                          <a:srgbClr val="3B2390"/>
                        </a:solidFill>
                      </wps:spPr>
                      <wps:bodyPr/>
                    </wps:wsp>
                  </a:graphicData>
                </a:graphic>
              </wp:anchor>
            </w:drawing>
          </mc:Choice>
          <mc:Fallback>
            <w:pict>
              <v:rect id="Shape 11" o:spid="_x0000_s1036" style="position:absolute;margin-left:-43.9499pt;margin-top:21.7pt;width:611.9pt;height:3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B2390" stroked="f"/>
            </w:pict>
          </mc:Fallback>
        </mc:AlternateContent>
      </w:r>
    </w:p>
    <w:p>
      <w:pPr>
        <w:sectPr>
          <w:pgSz w:w="12240" w:h="15839" w:orient="portrait"/>
          <w:cols w:equalWidth="0" w:num="1">
            <w:col w:w="10300"/>
          </w:cols>
          <w:pgMar w:left="880" w:top="1440" w:right="1059" w:bottom="469"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60"/>
          <w:szCs w:val="60"/>
          <w:b w:val="1"/>
          <w:bCs w:val="1"/>
          <w:color w:val="3C2490"/>
        </w:rPr>
        <w:t>Dear Fellow</w:t>
      </w:r>
    </w:p>
    <w:p>
      <w:pPr>
        <w:spacing w:after="0"/>
        <w:rPr>
          <w:sz w:val="20"/>
          <w:szCs w:val="20"/>
          <w:color w:val="auto"/>
        </w:rPr>
      </w:pPr>
      <w:r>
        <w:rPr>
          <w:rFonts w:ascii="Times New Roman" w:cs="Times New Roman" w:eastAsia="Times New Roman" w:hAnsi="Times New Roman"/>
          <w:sz w:val="58"/>
          <w:szCs w:val="58"/>
          <w:b w:val="1"/>
          <w:bCs w:val="1"/>
          <w:color w:val="3C2490"/>
        </w:rPr>
        <w:t>Shareholder,</w:t>
      </w:r>
    </w:p>
    <w:p>
      <w:pPr>
        <w:sectPr>
          <w:pgSz w:w="12240" w:h="15839" w:orient="portrait"/>
          <w:cols w:equalWidth="0" w:num="1">
            <w:col w:w="10560"/>
          </w:cols>
          <w:pgMar w:left="960" w:top="1226" w:right="7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9"/>
          <w:szCs w:val="19"/>
          <w:color w:val="auto"/>
        </w:rPr>
        <w:t>We are pleased to report that 2022 was a successful year for OPAL Fuels, from becoming a public company in July to continuing to execute our growth plans. Success is being driven by employees committed to our mission to deliver ESG solutions at a lower cost to our stakeholders. Unlike other solutions, OPAL Fuels can deliver these benefits now.</w:t>
      </w:r>
    </w:p>
    <w:p>
      <w:pPr>
        <w:spacing w:after="0" w:line="20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9"/>
          <w:szCs w:val="19"/>
          <w:color w:val="auto"/>
        </w:rPr>
        <w:t>Another reason for our success is strong tailwinds from public policy initiatives and an increasing number of companies committing to aggressive ESG targets. The Inflation Reduction Act passed in 2022 provides multiple long-term incentives and expands the number of customers benefiting from using RNG. Also, the number of state initiatives continues to increase.</w:t>
      </w:r>
    </w:p>
    <w:p>
      <w:pPr>
        <w:spacing w:after="0" w:line="20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9"/>
          <w:szCs w:val="19"/>
          <w:color w:val="auto"/>
        </w:rPr>
        <w:t>These tailwinds are significantly increasing the number of industries and companies seeking to use RNG. The transportation industry (particularly Class 8 trucks) is using RNG to displace diesel; the utility industry is using RNG to displace fossil methane for its customers; European markets are seeking ways to use RNG and now car manufacturers are seeking to use RNG to expand the sale of electric vehicles. Each of these markets is developing at a different pace with different opportunities for RNG companies like OPAL Fuels.</w:t>
      </w:r>
    </w:p>
    <w:p>
      <w:pPr>
        <w:spacing w:after="0" w:line="212"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8"/>
          <w:szCs w:val="18"/>
          <w:color w:val="auto"/>
        </w:rPr>
        <w:t>Growth over the last two years has been substantial and our future looks bright. OPAL Fuels ended 2022 with six operating RNG facilities and 19 renewable power facilities. Over the course of 2022, our fueling network nearly doubled in size compared to 2021, growing to 137 stations (26 of which are under construction). At the end of 2022, we had seven RNG projects in construction and our advanced development pipeline represented approximately 8.3 million MMBtu of anticipated capacity. Importantly, we continue to see an even larger set of potential opportunities.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80" w:hanging="147"/>
        <w:spacing w:after="0" w:line="272" w:lineRule="auto"/>
        <w:rPr>
          <w:sz w:val="20"/>
          <w:szCs w:val="20"/>
          <w:color w:val="auto"/>
        </w:rPr>
      </w:pPr>
      <w:r>
        <w:rPr>
          <w:rFonts w:ascii="Times New Roman" w:cs="Times New Roman" w:eastAsia="Times New Roman" w:hAnsi="Times New Roman"/>
          <w:sz w:val="36"/>
          <w:szCs w:val="36"/>
          <w:color w:val="3C2490"/>
        </w:rPr>
        <w:t>“Growth over the last two years has been substantial and our future looks bright.”</w:t>
      </w:r>
    </w:p>
    <w:p>
      <w:pPr>
        <w:spacing w:after="0" w:line="303" w:lineRule="exact"/>
        <w:rPr>
          <w:sz w:val="20"/>
          <w:szCs w:val="20"/>
          <w:color w:val="auto"/>
        </w:rPr>
      </w:pPr>
    </w:p>
    <w:p>
      <w:pPr>
        <w:ind w:left="20" w:right="40"/>
        <w:spacing w:after="0" w:line="285" w:lineRule="auto"/>
        <w:rPr>
          <w:sz w:val="20"/>
          <w:szCs w:val="20"/>
          <w:color w:val="auto"/>
        </w:rPr>
      </w:pPr>
      <w:r>
        <w:rPr>
          <w:rFonts w:ascii="Times New Roman" w:cs="Times New Roman" w:eastAsia="Times New Roman" w:hAnsi="Times New Roman"/>
          <w:sz w:val="19"/>
          <w:szCs w:val="19"/>
          <w:color w:val="auto"/>
        </w:rPr>
        <w:t>Looking ahead to 2023 our priorities are clear – we remain focused on executing our business plan and managing opportunities in our evolving industry. In 2023, this includes the commencement of operations of four projects – bringing our total to 10 operating RNG projects; managing the remaining construction projects while putting at least two million MMBtu of RNG projects</w:t>
      </w:r>
    </w:p>
    <w:p>
      <w:pPr>
        <w:spacing w:after="0" w:line="3" w:lineRule="exact"/>
        <w:rPr>
          <w:sz w:val="20"/>
          <w:szCs w:val="20"/>
          <w:color w:val="auto"/>
        </w:rPr>
      </w:pPr>
    </w:p>
    <w:p>
      <w:pPr>
        <w:ind w:left="20" w:right="260"/>
        <w:spacing w:after="0" w:line="313" w:lineRule="auto"/>
        <w:rPr>
          <w:sz w:val="20"/>
          <w:szCs w:val="20"/>
          <w:color w:val="auto"/>
        </w:rPr>
      </w:pPr>
      <w:r>
        <w:rPr>
          <w:rFonts w:ascii="Times New Roman" w:cs="Times New Roman" w:eastAsia="Times New Roman" w:hAnsi="Times New Roman"/>
          <w:sz w:val="18"/>
          <w:szCs w:val="18"/>
          <w:color w:val="auto"/>
        </w:rPr>
        <w:t>into construction; growing our pipeline of opportunities; and streamlining our capital structure. Finally, and most importantly, we believe that OPAL Fuels’ integrated business model and flexibility to sell to multiple markets best positions the company to take advantage of changes that are evolving in our industry.</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Thank you for your support and investment in OPAL Fuels.</w:t>
      </w:r>
    </w:p>
    <w:p>
      <w:pPr>
        <w:spacing w:after="0" w:line="41" w:lineRule="exact"/>
        <w:rPr>
          <w:sz w:val="20"/>
          <w:szCs w:val="20"/>
          <w:color w:val="auto"/>
        </w:rPr>
      </w:pPr>
    </w:p>
    <w:p>
      <w:pPr>
        <w:ind w:left="20" w:right="80"/>
        <w:spacing w:after="0" w:line="319" w:lineRule="auto"/>
        <w:rPr>
          <w:sz w:val="20"/>
          <w:szCs w:val="20"/>
          <w:color w:val="auto"/>
        </w:rPr>
      </w:pPr>
      <w:r>
        <w:rPr>
          <w:rFonts w:ascii="Times New Roman" w:cs="Times New Roman" w:eastAsia="Times New Roman" w:hAnsi="Times New Roman"/>
          <w:sz w:val="19"/>
          <w:szCs w:val="19"/>
          <w:color w:val="auto"/>
        </w:rPr>
        <w:t>We are excited about the future, and we are confident in our ability to deliver value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3290570" cy="906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3290570" cy="90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Mark Comora</w:t>
      </w:r>
    </w:p>
    <w:p>
      <w:pPr>
        <w:spacing w:after="0" w:line="3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3290570" cy="906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3290570" cy="906145"/>
                    </a:xfrm>
                    <a:prstGeom prst="rect">
                      <a:avLst/>
                    </a:prstGeom>
                    <a:noFill/>
                  </pic:spPr>
                </pic:pic>
              </a:graphicData>
            </a:graphic>
          </wp:anchor>
        </w:drawing>
      </w:r>
    </w:p>
    <w:p>
      <w:pPr>
        <w:spacing w:after="0" w:line="1156" w:lineRule="exact"/>
        <w:rPr>
          <w:sz w:val="20"/>
          <w:szCs w:val="20"/>
          <w:color w:val="auto"/>
        </w:rPr>
      </w:pPr>
    </w:p>
    <w:p>
      <w:pPr>
        <w:sectPr>
          <w:pgSz w:w="12240" w:h="15839" w:orient="portrait"/>
          <w:cols w:equalWidth="0" w:num="2">
            <w:col w:w="5140" w:space="240"/>
            <w:col w:w="5180"/>
          </w:cols>
          <w:pgMar w:left="960" w:top="1226" w:right="719" w:bottom="0" w:gutter="0" w:footer="0" w:header="0"/>
          <w:type w:val="continuous"/>
        </w:sectPr>
      </w:pPr>
    </w:p>
    <w:p>
      <w:pPr>
        <w:spacing w:after="0" w:line="116" w:lineRule="exact"/>
        <w:rPr>
          <w:sz w:val="20"/>
          <w:szCs w:val="20"/>
          <w:color w:val="auto"/>
        </w:rPr>
      </w:pPr>
    </w:p>
    <w:p>
      <w:pPr>
        <w:ind w:right="1620"/>
        <w:spacing w:after="0" w:line="289" w:lineRule="auto"/>
        <w:rPr>
          <w:sz w:val="20"/>
          <w:szCs w:val="20"/>
          <w:color w:val="auto"/>
        </w:rPr>
      </w:pPr>
      <w:r>
        <w:rPr>
          <w:rFonts w:ascii="Times New Roman" w:cs="Times New Roman" w:eastAsia="Times New Roman" w:hAnsi="Times New Roman"/>
          <w:sz w:val="19"/>
          <w:szCs w:val="19"/>
          <w:color w:val="auto"/>
        </w:rPr>
        <w:t>New fast-growing industries also come with challenges. Ours is no different. First, final regulations and the timing of implementing the IRA are not set. Second, some of our markets are merchant and some offer long-term fixed price contracts. These are two of the reasons OPAL Fuels is focused on the optionality of selling to multiple markets and end users. Another major challenge comes with being subject to various regulations that require permits and licenses which impact the timing of putting projects into construction and service.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-608965</wp:posOffset>
                </wp:positionH>
                <wp:positionV relativeFrom="paragraph">
                  <wp:posOffset>516890</wp:posOffset>
                </wp:positionV>
                <wp:extent cx="7771130" cy="38036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1130" cy="380365"/>
                        </a:xfrm>
                        <a:prstGeom prst="rect">
                          <a:avLst/>
                        </a:prstGeom>
                        <a:solidFill>
                          <a:srgbClr val="3C2490"/>
                        </a:solidFill>
                      </wps:spPr>
                      <wps:bodyPr/>
                    </wps:wsp>
                  </a:graphicData>
                </a:graphic>
              </wp:anchor>
            </w:drawing>
          </mc:Choice>
          <mc:Fallback>
            <w:pict>
              <v:rect id="Shape 14" o:spid="_x0000_s1039" style="position:absolute;margin-left:-47.9499pt;margin-top:40.7pt;width:611.9pt;height:2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C2490" stroked="f"/>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Adam Comora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242570</wp:posOffset>
            </wp:positionV>
            <wp:extent cx="3290570" cy="904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3290570" cy="90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black"/>
        </w:rPr>
        <w:t>Jonathan Maurer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Co-CEO</w:t>
      </w:r>
    </w:p>
    <w:p>
      <w:pPr>
        <w:spacing w:after="0" w:line="553" w:lineRule="exact"/>
        <w:rPr>
          <w:sz w:val="20"/>
          <w:szCs w:val="20"/>
          <w:color w:val="auto"/>
        </w:rPr>
      </w:pPr>
    </w:p>
    <w:p>
      <w:pPr>
        <w:sectPr>
          <w:pgSz w:w="12240" w:h="15839" w:orient="portrait"/>
          <w:cols w:equalWidth="0" w:num="2">
            <w:col w:w="6700" w:space="720"/>
            <w:col w:w="3140"/>
          </w:cols>
          <w:pgMar w:left="960" w:top="1226" w:right="7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180"/>
        <w:spacing w:after="0"/>
        <w:tabs>
          <w:tab w:leader="none" w:pos="10460" w:val="left"/>
        </w:tabs>
        <w:rPr>
          <w:sz w:val="20"/>
          <w:szCs w:val="20"/>
          <w:color w:val="auto"/>
        </w:rPr>
      </w:pPr>
      <w:r>
        <w:rPr>
          <w:rFonts w:ascii="Times New Roman" w:cs="Times New Roman" w:eastAsia="Times New Roman" w:hAnsi="Times New Roman"/>
          <w:sz w:val="14"/>
          <w:szCs w:val="14"/>
          <w:color w:val="FFFFFF"/>
        </w:rPr>
        <w:t>2022 ANNUAL REPORT</w:t>
      </w:r>
      <w:r>
        <w:rPr>
          <w:sz w:val="20"/>
          <w:szCs w:val="20"/>
          <w:color w:val="auto"/>
        </w:rPr>
        <w:tab/>
      </w:r>
      <w:r>
        <w:rPr>
          <w:rFonts w:ascii="Times New Roman" w:cs="Times New Roman" w:eastAsia="Times New Roman" w:hAnsi="Times New Roman"/>
          <w:sz w:val="16"/>
          <w:szCs w:val="16"/>
          <w:b w:val="1"/>
          <w:bCs w:val="1"/>
          <w:color w:val="FFFFFF"/>
        </w:rPr>
        <w:t>1</w:t>
      </w:r>
    </w:p>
    <w:p>
      <w:pPr>
        <w:sectPr>
          <w:pgSz w:w="12240" w:h="15839" w:orient="portrait"/>
          <w:cols w:equalWidth="0" w:num="1">
            <w:col w:w="10560"/>
          </w:cols>
          <w:pgMar w:left="960" w:top="1226" w:right="719" w:bottom="0" w:gutter="0" w:footer="0" w:header="0"/>
          <w:type w:val="continuous"/>
        </w:sectPr>
      </w:pPr>
    </w:p>
    <w:bookmarkStart w:id="3" w:name="page4"/>
    <w:bookmarkEnd w:id="3"/>
    <w:p>
      <w:pPr>
        <w:ind w:left="612"/>
        <w:spacing w:after="0"/>
        <w:rPr>
          <w:sz w:val="20"/>
          <w:szCs w:val="20"/>
          <w:color w:val="auto"/>
        </w:rPr>
      </w:pPr>
      <w:r>
        <w:rPr>
          <w:rFonts w:ascii="Times New Roman" w:cs="Times New Roman" w:eastAsia="Times New Roman" w:hAnsi="Times New Roman"/>
          <w:sz w:val="60"/>
          <w:szCs w:val="60"/>
          <w:b w:val="1"/>
          <w:bCs w:val="1"/>
          <w:color w:val="3B2390"/>
        </w:rPr>
        <w:t>Financial</w:t>
      </w:r>
    </w:p>
    <w:p>
      <w:pPr>
        <w:ind w:left="612"/>
        <w:spacing w:after="0"/>
        <w:rPr>
          <w:sz w:val="20"/>
          <w:szCs w:val="20"/>
          <w:color w:val="auto"/>
        </w:rPr>
      </w:pPr>
      <w:r>
        <w:rPr>
          <w:rFonts w:ascii="Times New Roman" w:cs="Times New Roman" w:eastAsia="Times New Roman" w:hAnsi="Times New Roman"/>
          <w:sz w:val="60"/>
          <w:szCs w:val="60"/>
          <w:b w:val="1"/>
          <w:bCs w:val="1"/>
          <w:color w:val="3B2390"/>
        </w:rPr>
        <w:t>Highlights</w:t>
      </w:r>
    </w:p>
    <w:p>
      <w:pPr>
        <w:spacing w:after="0" w:line="200" w:lineRule="exact"/>
        <w:rPr>
          <w:sz w:val="20"/>
          <w:szCs w:val="20"/>
          <w:color w:val="auto"/>
        </w:rPr>
      </w:pPr>
    </w:p>
    <w:p>
      <w:pPr>
        <w:spacing w:after="0" w:line="323" w:lineRule="exact"/>
        <w:rPr>
          <w:sz w:val="20"/>
          <w:szCs w:val="20"/>
          <w:color w:val="auto"/>
        </w:rPr>
      </w:pPr>
    </w:p>
    <w:tbl>
      <w:tblPr>
        <w:tblLayout w:type="fixed"/>
        <w:tblInd w:w="612" w:type="dxa"/>
        <w:tblCellMar>
          <w:top w:w="0" w:type="dxa"/>
          <w:left w:w="0" w:type="dxa"/>
          <w:bottom w:w="0" w:type="dxa"/>
          <w:right w:w="0" w:type="dxa"/>
        </w:tblCellMar>
      </w:tblPr>
      <w:tr>
        <w:trPr>
          <w:trHeight w:val="992"/>
        </w:trPr>
        <w:tc>
          <w:tcPr>
            <w:tcW w:w="3500" w:type="dxa"/>
            <w:vAlign w:val="bottom"/>
            <w:tcBorders>
              <w:right w:val="single" w:sz="8" w:color="EAEBF1"/>
            </w:tcBorders>
          </w:tcPr>
          <w:p>
            <w:pPr>
              <w:jc w:val="right"/>
              <w:ind w:right="415"/>
              <w:spacing w:after="0"/>
              <w:rPr>
                <w:sz w:val="20"/>
                <w:szCs w:val="20"/>
                <w:color w:val="auto"/>
              </w:rPr>
            </w:pPr>
            <w:r>
              <w:rPr>
                <w:rFonts w:ascii="Times New Roman" w:cs="Times New Roman" w:eastAsia="Times New Roman" w:hAnsi="Times New Roman"/>
                <w:sz w:val="60"/>
                <w:szCs w:val="60"/>
                <w:b w:val="1"/>
                <w:bCs w:val="1"/>
                <w:color w:val="3B2390"/>
                <w:w w:val="99"/>
              </w:rPr>
              <w:t xml:space="preserve">$235.5 </w:t>
            </w:r>
            <w:r>
              <w:rPr>
                <w:rFonts w:ascii="Times New Roman" w:cs="Times New Roman" w:eastAsia="Times New Roman" w:hAnsi="Times New Roman"/>
                <w:sz w:val="36"/>
                <w:szCs w:val="36"/>
                <w:b w:val="1"/>
                <w:bCs w:val="1"/>
                <w:color w:val="3B2390"/>
                <w:w w:val="99"/>
              </w:rPr>
              <w:t>million</w:t>
            </w:r>
          </w:p>
        </w:tc>
        <w:tc>
          <w:tcPr>
            <w:tcW w:w="3640" w:type="dxa"/>
            <w:vAlign w:val="bottom"/>
            <w:tcBorders>
              <w:right w:val="single" w:sz="8" w:color="EAEBF1"/>
            </w:tcBorders>
          </w:tcPr>
          <w:p>
            <w:pPr>
              <w:jc w:val="right"/>
              <w:ind w:right="455"/>
              <w:spacing w:after="0"/>
              <w:rPr>
                <w:sz w:val="20"/>
                <w:szCs w:val="20"/>
                <w:color w:val="auto"/>
              </w:rPr>
            </w:pPr>
            <w:r>
              <w:rPr>
                <w:rFonts w:ascii="Times New Roman" w:cs="Times New Roman" w:eastAsia="Times New Roman" w:hAnsi="Times New Roman"/>
                <w:sz w:val="60"/>
                <w:szCs w:val="60"/>
                <w:b w:val="1"/>
                <w:bCs w:val="1"/>
                <w:color w:val="3B2390"/>
              </w:rPr>
              <w:t xml:space="preserve">$60.7 </w:t>
            </w:r>
            <w:r>
              <w:rPr>
                <w:rFonts w:ascii="Times New Roman" w:cs="Times New Roman" w:eastAsia="Times New Roman" w:hAnsi="Times New Roman"/>
                <w:sz w:val="36"/>
                <w:szCs w:val="36"/>
                <w:b w:val="1"/>
                <w:bCs w:val="1"/>
                <w:color w:val="3B2390"/>
              </w:rPr>
              <w:t>million</w:t>
            </w:r>
          </w:p>
        </w:tc>
        <w:tc>
          <w:tcPr>
            <w:tcW w:w="3020" w:type="dxa"/>
            <w:vAlign w:val="bottom"/>
          </w:tcPr>
          <w:p>
            <w:pPr>
              <w:jc w:val="center"/>
              <w:ind w:left="135"/>
              <w:spacing w:after="0"/>
              <w:rPr>
                <w:sz w:val="20"/>
                <w:szCs w:val="20"/>
                <w:color w:val="auto"/>
              </w:rPr>
            </w:pPr>
            <w:r>
              <w:rPr>
                <w:rFonts w:ascii="Times New Roman" w:cs="Times New Roman" w:eastAsia="Times New Roman" w:hAnsi="Times New Roman"/>
                <w:sz w:val="60"/>
                <w:szCs w:val="60"/>
                <w:b w:val="1"/>
                <w:bCs w:val="1"/>
                <w:color w:val="3B2390"/>
                <w:w w:val="98"/>
              </w:rPr>
              <w:t xml:space="preserve">2.2 </w:t>
            </w:r>
            <w:r>
              <w:rPr>
                <w:rFonts w:ascii="Times New Roman" w:cs="Times New Roman" w:eastAsia="Times New Roman" w:hAnsi="Times New Roman"/>
                <w:sz w:val="36"/>
                <w:szCs w:val="36"/>
                <w:b w:val="1"/>
                <w:bCs w:val="1"/>
                <w:color w:val="3B2390"/>
                <w:w w:val="98"/>
              </w:rPr>
              <w:t>million</w:t>
            </w:r>
          </w:p>
        </w:tc>
      </w:tr>
      <w:tr>
        <w:trPr>
          <w:trHeight w:val="314"/>
        </w:trPr>
        <w:tc>
          <w:tcPr>
            <w:tcW w:w="3500" w:type="dxa"/>
            <w:vAlign w:val="bottom"/>
            <w:tcBorders>
              <w:right w:val="single" w:sz="8" w:color="EAEBF1"/>
            </w:tcBorders>
          </w:tcPr>
          <w:p>
            <w:pPr>
              <w:jc w:val="center"/>
              <w:ind w:right="255"/>
              <w:spacing w:after="0"/>
              <w:rPr>
                <w:sz w:val="20"/>
                <w:szCs w:val="20"/>
                <w:color w:val="auto"/>
              </w:rPr>
            </w:pPr>
            <w:r>
              <w:rPr>
                <w:rFonts w:ascii="Times New Roman" w:cs="Times New Roman" w:eastAsia="Times New Roman" w:hAnsi="Times New Roman"/>
                <w:sz w:val="24"/>
                <w:szCs w:val="24"/>
                <w:color w:val="auto"/>
                <w:w w:val="99"/>
              </w:rPr>
              <w:t>Revenue</w:t>
            </w:r>
          </w:p>
        </w:tc>
        <w:tc>
          <w:tcPr>
            <w:tcW w:w="3640" w:type="dxa"/>
            <w:vAlign w:val="bottom"/>
            <w:tcBorders>
              <w:right w:val="single" w:sz="8" w:color="EAEBF1"/>
            </w:tcBorders>
          </w:tcPr>
          <w:p>
            <w:pPr>
              <w:jc w:val="center"/>
              <w:spacing w:after="0"/>
              <w:rPr>
                <w:sz w:val="20"/>
                <w:szCs w:val="20"/>
                <w:color w:val="auto"/>
              </w:rPr>
            </w:pPr>
            <w:r>
              <w:rPr>
                <w:rFonts w:ascii="Times New Roman" w:cs="Times New Roman" w:eastAsia="Times New Roman" w:hAnsi="Times New Roman"/>
                <w:sz w:val="24"/>
                <w:szCs w:val="24"/>
                <w:color w:val="auto"/>
              </w:rPr>
              <w:t>Adjusted EBITDA</w:t>
            </w:r>
          </w:p>
        </w:tc>
        <w:tc>
          <w:tcPr>
            <w:tcW w:w="3020" w:type="dxa"/>
            <w:vAlign w:val="bottom"/>
          </w:tcPr>
          <w:p>
            <w:pPr>
              <w:jc w:val="center"/>
              <w:ind w:left="275"/>
              <w:spacing w:after="0"/>
              <w:rPr>
                <w:sz w:val="20"/>
                <w:szCs w:val="20"/>
                <w:color w:val="auto"/>
              </w:rPr>
            </w:pPr>
            <w:r>
              <w:rPr>
                <w:rFonts w:ascii="Times New Roman" w:cs="Times New Roman" w:eastAsia="Times New Roman" w:hAnsi="Times New Roman"/>
                <w:sz w:val="24"/>
                <w:szCs w:val="24"/>
                <w:color w:val="auto"/>
                <w:w w:val="99"/>
              </w:rPr>
              <w:t>MMBtu of RNG produced</w:t>
            </w:r>
          </w:p>
        </w:tc>
      </w:tr>
      <w:tr>
        <w:trPr>
          <w:trHeight w:val="939"/>
        </w:trPr>
        <w:tc>
          <w:tcPr>
            <w:tcW w:w="3500" w:type="dxa"/>
            <w:vAlign w:val="bottom"/>
            <w:tcBorders>
              <w:right w:val="single" w:sz="8" w:color="EAEBF1"/>
            </w:tcBorders>
          </w:tcPr>
          <w:p>
            <w:pPr>
              <w:jc w:val="right"/>
              <w:ind w:right="915"/>
              <w:spacing w:after="0"/>
              <w:rPr>
                <w:sz w:val="20"/>
                <w:szCs w:val="20"/>
                <w:color w:val="auto"/>
              </w:rPr>
            </w:pPr>
            <w:r>
              <w:rPr>
                <w:rFonts w:ascii="Times New Roman" w:cs="Times New Roman" w:eastAsia="Times New Roman" w:hAnsi="Times New Roman"/>
                <w:sz w:val="60"/>
                <w:szCs w:val="60"/>
                <w:b w:val="1"/>
                <w:bCs w:val="1"/>
                <w:color w:val="3B2390"/>
              </w:rPr>
              <w:t>42%</w:t>
            </w:r>
          </w:p>
        </w:tc>
        <w:tc>
          <w:tcPr>
            <w:tcW w:w="3640" w:type="dxa"/>
            <w:vAlign w:val="bottom"/>
            <w:tcBorders>
              <w:right w:val="single" w:sz="8" w:color="EAEBF1"/>
            </w:tcBorders>
          </w:tcPr>
          <w:p>
            <w:pPr>
              <w:jc w:val="right"/>
              <w:ind w:right="795"/>
              <w:spacing w:after="0"/>
              <w:rPr>
                <w:sz w:val="20"/>
                <w:szCs w:val="20"/>
                <w:color w:val="auto"/>
              </w:rPr>
            </w:pPr>
            <w:r>
              <w:rPr>
                <w:rFonts w:ascii="Times New Roman" w:cs="Times New Roman" w:eastAsia="Times New Roman" w:hAnsi="Times New Roman"/>
                <w:sz w:val="60"/>
                <w:szCs w:val="60"/>
                <w:b w:val="1"/>
                <w:bCs w:val="1"/>
                <w:color w:val="3B2390"/>
              </w:rPr>
              <w:t>50%</w:t>
            </w:r>
          </w:p>
        </w:tc>
        <w:tc>
          <w:tcPr>
            <w:tcW w:w="3020" w:type="dxa"/>
            <w:vAlign w:val="bottom"/>
          </w:tcPr>
          <w:p>
            <w:pPr>
              <w:jc w:val="right"/>
              <w:ind w:right="215"/>
              <w:spacing w:after="0"/>
              <w:rPr>
                <w:sz w:val="20"/>
                <w:szCs w:val="20"/>
                <w:color w:val="auto"/>
              </w:rPr>
            </w:pPr>
            <w:r>
              <w:rPr>
                <w:rFonts w:ascii="Times New Roman" w:cs="Times New Roman" w:eastAsia="Times New Roman" w:hAnsi="Times New Roman"/>
                <w:sz w:val="60"/>
                <w:szCs w:val="60"/>
                <w:b w:val="1"/>
                <w:bCs w:val="1"/>
                <w:color w:val="3B2390"/>
              </w:rPr>
              <w:t>38%</w:t>
            </w:r>
          </w:p>
        </w:tc>
      </w:tr>
      <w:tr>
        <w:trPr>
          <w:trHeight w:val="261"/>
        </w:trPr>
        <w:tc>
          <w:tcPr>
            <w:tcW w:w="3500" w:type="dxa"/>
            <w:vAlign w:val="bottom"/>
            <w:tcBorders>
              <w:right w:val="single" w:sz="8" w:color="EAEBF1"/>
            </w:tcBorders>
          </w:tcPr>
          <w:p>
            <w:pPr>
              <w:jc w:val="center"/>
              <w:ind w:right="235"/>
              <w:spacing w:after="0"/>
              <w:rPr>
                <w:sz w:val="20"/>
                <w:szCs w:val="20"/>
                <w:color w:val="auto"/>
              </w:rPr>
            </w:pPr>
            <w:r>
              <w:rPr>
                <w:rFonts w:ascii="Times New Roman" w:cs="Times New Roman" w:eastAsia="Times New Roman" w:hAnsi="Times New Roman"/>
                <w:sz w:val="20"/>
                <w:szCs w:val="20"/>
                <w:color w:val="auto"/>
              </w:rPr>
              <w:t>Compared to 2021</w:t>
            </w:r>
          </w:p>
        </w:tc>
        <w:tc>
          <w:tcPr>
            <w:tcW w:w="3640" w:type="dxa"/>
            <w:vAlign w:val="bottom"/>
            <w:tcBorders>
              <w:right w:val="single" w:sz="8" w:color="EAEBF1"/>
            </w:tcBorders>
          </w:tcPr>
          <w:p>
            <w:pPr>
              <w:jc w:val="center"/>
              <w:spacing w:after="0"/>
              <w:rPr>
                <w:sz w:val="20"/>
                <w:szCs w:val="20"/>
                <w:color w:val="auto"/>
              </w:rPr>
            </w:pPr>
            <w:r>
              <w:rPr>
                <w:rFonts w:ascii="Times New Roman" w:cs="Times New Roman" w:eastAsia="Times New Roman" w:hAnsi="Times New Roman"/>
                <w:sz w:val="20"/>
                <w:szCs w:val="20"/>
                <w:color w:val="auto"/>
              </w:rPr>
              <w:t>Compared to 2021</w:t>
            </w:r>
          </w:p>
        </w:tc>
        <w:tc>
          <w:tcPr>
            <w:tcW w:w="3020" w:type="dxa"/>
            <w:vAlign w:val="bottom"/>
          </w:tcPr>
          <w:p>
            <w:pPr>
              <w:jc w:val="right"/>
              <w:ind w:right="315"/>
              <w:spacing w:after="0"/>
              <w:rPr>
                <w:sz w:val="20"/>
                <w:szCs w:val="20"/>
                <w:color w:val="auto"/>
              </w:rPr>
            </w:pPr>
            <w:r>
              <w:rPr>
                <w:rFonts w:ascii="Times New Roman" w:cs="Times New Roman" w:eastAsia="Times New Roman" w:hAnsi="Times New Roman"/>
                <w:sz w:val="20"/>
                <w:szCs w:val="20"/>
                <w:color w:val="auto"/>
              </w:rPr>
              <w:t>Compared to 2021</w:t>
            </w:r>
          </w:p>
        </w:tc>
      </w:tr>
      <w:tr>
        <w:trPr>
          <w:trHeight w:val="341"/>
        </w:trPr>
        <w:tc>
          <w:tcPr>
            <w:tcW w:w="3500" w:type="dxa"/>
            <w:vAlign w:val="bottom"/>
            <w:tcBorders>
              <w:right w:val="single" w:sz="8" w:color="EAEBF1"/>
            </w:tcBorders>
          </w:tcPr>
          <w:p>
            <w:pPr>
              <w:spacing w:after="0"/>
              <w:rPr>
                <w:sz w:val="24"/>
                <w:szCs w:val="24"/>
                <w:color w:val="auto"/>
              </w:rPr>
            </w:pPr>
          </w:p>
        </w:tc>
        <w:tc>
          <w:tcPr>
            <w:tcW w:w="3640" w:type="dxa"/>
            <w:vAlign w:val="bottom"/>
            <w:tcBorders>
              <w:right w:val="single" w:sz="8" w:color="EAEBF1"/>
            </w:tcBorders>
          </w:tcPr>
          <w:p>
            <w:pPr>
              <w:spacing w:after="0"/>
              <w:rPr>
                <w:sz w:val="24"/>
                <w:szCs w:val="24"/>
                <w:color w:val="auto"/>
              </w:rPr>
            </w:pPr>
          </w:p>
        </w:tc>
        <w:tc>
          <w:tcPr>
            <w:tcW w:w="3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-591185</wp:posOffset>
            </wp:positionV>
            <wp:extent cx="270510" cy="200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270510" cy="200025"/>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-591185</wp:posOffset>
            </wp:positionV>
            <wp:extent cx="270510" cy="200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270510" cy="200025"/>
                    </a:xfrm>
                    <a:prstGeom prst="rect">
                      <a:avLst/>
                    </a:prstGeom>
                    <a:noFill/>
                  </pic:spPr>
                </pic:pic>
              </a:graphicData>
            </a:graphic>
          </wp:anchor>
        </w:drawing>
        <w:drawing>
          <wp:anchor simplePos="0" relativeHeight="251657728" behindDoc="1" locked="0" layoutInCell="0" allowOverlap="1">
            <wp:simplePos x="0" y="0"/>
            <wp:positionH relativeFrom="column">
              <wp:posOffset>5541010</wp:posOffset>
            </wp:positionH>
            <wp:positionV relativeFrom="paragraph">
              <wp:posOffset>-591185</wp:posOffset>
            </wp:positionV>
            <wp:extent cx="270510" cy="200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270510" cy="20002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7"/>
          <w:szCs w:val="17"/>
          <w:color w:val="auto"/>
        </w:rPr>
        <w:t>For additional information, including historic audited financials please visit:</w:t>
      </w:r>
    </w:p>
    <w:p>
      <w:pPr>
        <w:spacing w:after="0" w:line="45"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7"/>
          <w:szCs w:val="17"/>
          <w:u w:val="single" w:color="auto"/>
          <w:color w:val="auto"/>
        </w:rPr>
        <w:t>https://www.sec.gov/edgar/browse/?CIK=1842279&amp;owner=exclude</w:t>
      </w:r>
    </w:p>
    <w:p>
      <w:pPr>
        <w:spacing w:after="0" w:line="334" w:lineRule="exact"/>
        <w:rPr>
          <w:sz w:val="20"/>
          <w:szCs w:val="20"/>
          <w:color w:val="auto"/>
        </w:rPr>
      </w:pPr>
    </w:p>
    <w:tbl>
      <w:tblPr>
        <w:tblLayout w:type="fixed"/>
        <w:tblInd w:w="622" w:type="dxa"/>
        <w:tblCellMar>
          <w:top w:w="0" w:type="dxa"/>
          <w:left w:w="0" w:type="dxa"/>
          <w:bottom w:w="0" w:type="dxa"/>
          <w:right w:w="0" w:type="dxa"/>
        </w:tblCellMar>
      </w:tblPr>
      <w:tr>
        <w:trPr>
          <w:trHeight w:val="528"/>
        </w:trPr>
        <w:tc>
          <w:tcPr>
            <w:tcW w:w="2360" w:type="dxa"/>
            <w:vAlign w:val="bottom"/>
            <w:tcBorders>
              <w:top w:val="single" w:sz="8" w:color="EFEEED"/>
              <w:left w:val="single" w:sz="8" w:color="EFEEED"/>
            </w:tcBorders>
            <w:gridSpan w:val="4"/>
          </w:tcPr>
          <w:p>
            <w:pPr>
              <w:ind w:left="620"/>
              <w:spacing w:after="0"/>
              <w:rPr>
                <w:sz w:val="20"/>
                <w:szCs w:val="20"/>
                <w:color w:val="auto"/>
              </w:rPr>
            </w:pPr>
            <w:r>
              <w:rPr>
                <w:rFonts w:ascii="Times New Roman" w:cs="Times New Roman" w:eastAsia="Times New Roman" w:hAnsi="Times New Roman"/>
                <w:sz w:val="22"/>
                <w:szCs w:val="22"/>
                <w:b w:val="1"/>
                <w:bCs w:val="1"/>
                <w:color w:val="auto"/>
              </w:rPr>
              <w:t>RNG Projects</w:t>
            </w:r>
          </w:p>
        </w:tc>
        <w:tc>
          <w:tcPr>
            <w:tcW w:w="5380" w:type="dxa"/>
            <w:vAlign w:val="bottom"/>
            <w:tcBorders>
              <w:top w:val="single" w:sz="8" w:color="EFEEED"/>
            </w:tcBorders>
            <w:gridSpan w:val="5"/>
          </w:tcPr>
          <w:p>
            <w:pPr>
              <w:ind w:left="1780"/>
              <w:spacing w:after="0"/>
              <w:rPr>
                <w:sz w:val="20"/>
                <w:szCs w:val="20"/>
                <w:color w:val="auto"/>
              </w:rPr>
            </w:pPr>
            <w:r>
              <w:rPr>
                <w:rFonts w:ascii="Times New Roman" w:cs="Times New Roman" w:eastAsia="Times New Roman" w:hAnsi="Times New Roman"/>
                <w:sz w:val="22"/>
                <w:szCs w:val="22"/>
                <w:b w:val="1"/>
                <w:bCs w:val="1"/>
                <w:color w:val="auto"/>
              </w:rPr>
              <w:t>Fueling Stations</w:t>
            </w:r>
          </w:p>
        </w:tc>
        <w:tc>
          <w:tcPr>
            <w:tcW w:w="2500" w:type="dxa"/>
            <w:vAlign w:val="bottom"/>
            <w:tcBorders>
              <w:top w:val="single" w:sz="8" w:color="EFEEED"/>
              <w:right w:val="single" w:sz="8" w:color="EFEEED"/>
            </w:tcBorders>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RNG Fuel Produced</w:t>
            </w:r>
          </w:p>
        </w:tc>
        <w:tc>
          <w:tcPr>
            <w:tcW w:w="0" w:type="dxa"/>
            <w:vAlign w:val="bottom"/>
          </w:tcPr>
          <w:p>
            <w:pPr>
              <w:spacing w:after="0"/>
              <w:rPr>
                <w:sz w:val="1"/>
                <w:szCs w:val="1"/>
                <w:color w:val="auto"/>
              </w:rPr>
            </w:pPr>
          </w:p>
        </w:tc>
      </w:tr>
      <w:tr>
        <w:trPr>
          <w:trHeight w:val="292"/>
        </w:trPr>
        <w:tc>
          <w:tcPr>
            <w:tcW w:w="2360" w:type="dxa"/>
            <w:vAlign w:val="bottom"/>
            <w:tcBorders>
              <w:left w:val="single" w:sz="8" w:color="EFEEED"/>
            </w:tcBorders>
            <w:gridSpan w:val="4"/>
          </w:tcPr>
          <w:p>
            <w:pPr>
              <w:ind w:left="620"/>
              <w:spacing w:after="0"/>
              <w:rPr>
                <w:sz w:val="20"/>
                <w:szCs w:val="20"/>
                <w:color w:val="auto"/>
              </w:rPr>
            </w:pPr>
            <w:r>
              <w:rPr>
                <w:rFonts w:ascii="Times New Roman" w:cs="Times New Roman" w:eastAsia="Times New Roman" w:hAnsi="Times New Roman"/>
                <w:sz w:val="22"/>
                <w:szCs w:val="22"/>
                <w:b w:val="1"/>
                <w:bCs w:val="1"/>
                <w:color w:val="auto"/>
              </w:rPr>
              <w:t>in Operation</w:t>
            </w: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(MMBtu)</w:t>
            </w:r>
          </w:p>
        </w:tc>
        <w:tc>
          <w:tcPr>
            <w:tcW w:w="620" w:type="dxa"/>
            <w:vAlign w:val="bottom"/>
          </w:tcPr>
          <w:p>
            <w:pPr>
              <w:spacing w:after="0"/>
              <w:rPr>
                <w:sz w:val="24"/>
                <w:szCs w:val="24"/>
                <w:color w:val="auto"/>
              </w:rPr>
            </w:pPr>
          </w:p>
        </w:tc>
        <w:tc>
          <w:tcPr>
            <w:tcW w:w="780" w:type="dxa"/>
            <w:vAlign w:val="bottom"/>
            <w:tcBorders>
              <w:right w:val="single" w:sz="8" w:color="EFEEED"/>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60" w:type="dxa"/>
            <w:vAlign w:val="bottom"/>
            <w:tcBorders>
              <w:left w:val="single" w:sz="8" w:color="EFEEED"/>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Borders>
              <w:right w:val="single" w:sz="8" w:color="EFEEED"/>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Borders>
              <w:left w:val="single" w:sz="8" w:color="EFEEED"/>
            </w:tcBorders>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restart"/>
            <w:shd w:val="clear" w:color="auto" w:fill="3C2390"/>
          </w:tcPr>
          <w:p>
            <w:pPr>
              <w:jc w:val="right"/>
              <w:ind w:right="235"/>
              <w:spacing w:after="0"/>
              <w:rPr>
                <w:sz w:val="20"/>
                <w:szCs w:val="20"/>
                <w:color w:val="auto"/>
              </w:rPr>
            </w:pPr>
            <w:r>
              <w:rPr>
                <w:rFonts w:ascii="Times New Roman" w:cs="Times New Roman" w:eastAsia="Times New Roman" w:hAnsi="Times New Roman"/>
                <w:sz w:val="24"/>
                <w:szCs w:val="24"/>
                <w:b w:val="1"/>
                <w:bCs w:val="1"/>
                <w:color w:val="FFFFFF"/>
              </w:rPr>
              <w:t>6</w:t>
            </w:r>
          </w:p>
        </w:tc>
        <w:tc>
          <w:tcPr>
            <w:tcW w:w="1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right w:val="single" w:sz="8" w:color="EFEEED"/>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660" w:type="dxa"/>
            <w:vAlign w:val="bottom"/>
            <w:tcBorders>
              <w:left w:val="single" w:sz="8" w:color="EFEEED"/>
            </w:tcBorders>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shd w:val="clear" w:color="auto" w:fill="3C2390"/>
          </w:tcPr>
          <w:p>
            <w:pPr>
              <w:spacing w:after="0"/>
              <w:rPr>
                <w:sz w:val="6"/>
                <w:szCs w:val="6"/>
                <w:color w:val="auto"/>
              </w:rPr>
            </w:pPr>
          </w:p>
        </w:tc>
        <w:tc>
          <w:tcPr>
            <w:tcW w:w="1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shd w:val="clear" w:color="auto" w:fill="3C2390"/>
          </w:tcPr>
          <w:p>
            <w:pPr>
              <w:jc w:val="center"/>
              <w:spacing w:after="0"/>
              <w:rPr>
                <w:sz w:val="20"/>
                <w:szCs w:val="20"/>
                <w:color w:val="auto"/>
              </w:rPr>
            </w:pPr>
            <w:r>
              <w:rPr>
                <w:rFonts w:ascii="Times New Roman" w:cs="Times New Roman" w:eastAsia="Times New Roman" w:hAnsi="Times New Roman"/>
                <w:sz w:val="24"/>
                <w:szCs w:val="24"/>
                <w:b w:val="1"/>
                <w:bCs w:val="1"/>
                <w:color w:val="FFFFFF"/>
                <w:w w:val="99"/>
              </w:rPr>
              <w:t>137</w:t>
            </w:r>
          </w:p>
        </w:tc>
        <w:tc>
          <w:tcPr>
            <w:tcW w:w="1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Borders>
              <w:right w:val="single" w:sz="8" w:color="EFEEED"/>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EFEEED"/>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shd w:val="clear" w:color="auto" w:fill="3C2390"/>
          </w:tcPr>
          <w:p>
            <w:pPr>
              <w:spacing w:after="0"/>
              <w:rPr>
                <w:sz w:val="12"/>
                <w:szCs w:val="12"/>
                <w:color w:val="auto"/>
              </w:rPr>
            </w:pPr>
          </w:p>
        </w:tc>
        <w:tc>
          <w:tcPr>
            <w:tcW w:w="1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shd w:val="clear" w:color="auto" w:fill="3C2390"/>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shd w:val="clear" w:color="auto" w:fill="3C2390"/>
          </w:tcPr>
          <w:p>
            <w:pPr>
              <w:spacing w:after="0"/>
              <w:rPr>
                <w:sz w:val="12"/>
                <w:szCs w:val="12"/>
                <w:color w:val="auto"/>
              </w:rPr>
            </w:pPr>
          </w:p>
        </w:tc>
        <w:tc>
          <w:tcPr>
            <w:tcW w:w="620" w:type="dxa"/>
            <w:vAlign w:val="bottom"/>
            <w:vMerge w:val="restart"/>
            <w:shd w:val="clear" w:color="auto" w:fill="3C2390"/>
          </w:tcPr>
          <w:p>
            <w:pPr>
              <w:jc w:val="right"/>
              <w:ind w:right="135"/>
              <w:spacing w:after="0"/>
              <w:rPr>
                <w:sz w:val="20"/>
                <w:szCs w:val="20"/>
                <w:color w:val="auto"/>
              </w:rPr>
            </w:pPr>
            <w:r>
              <w:rPr>
                <w:rFonts w:ascii="Times New Roman" w:cs="Times New Roman" w:eastAsia="Times New Roman" w:hAnsi="Times New Roman"/>
                <w:sz w:val="24"/>
                <w:szCs w:val="24"/>
                <w:b w:val="1"/>
                <w:bCs w:val="1"/>
                <w:color w:val="FFFFFF"/>
              </w:rPr>
              <w:t>2.2</w:t>
            </w:r>
          </w:p>
        </w:tc>
        <w:tc>
          <w:tcPr>
            <w:tcW w:w="780" w:type="dxa"/>
            <w:vAlign w:val="bottom"/>
            <w:tcBorders>
              <w:right w:val="single" w:sz="8" w:color="EFEEED"/>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0" w:type="dxa"/>
            <w:vAlign w:val="bottom"/>
            <w:tcBorders>
              <w:left w:val="single" w:sz="8" w:color="EFEEED"/>
            </w:tcBorders>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shd w:val="clear" w:color="auto" w:fill="3C2390"/>
          </w:tcPr>
          <w:p>
            <w:pPr>
              <w:spacing w:after="0"/>
              <w:rPr>
                <w:sz w:val="13"/>
                <w:szCs w:val="13"/>
                <w:color w:val="auto"/>
              </w:rPr>
            </w:pPr>
          </w:p>
        </w:tc>
        <w:tc>
          <w:tcPr>
            <w:tcW w:w="1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shd w:val="clear" w:color="auto" w:fill="3C2390"/>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shd w:val="clear" w:color="auto" w:fill="3C2390"/>
          </w:tcPr>
          <w:p>
            <w:pPr>
              <w:spacing w:after="0"/>
              <w:rPr>
                <w:sz w:val="13"/>
                <w:szCs w:val="13"/>
                <w:color w:val="auto"/>
              </w:rPr>
            </w:pPr>
          </w:p>
        </w:tc>
        <w:tc>
          <w:tcPr>
            <w:tcW w:w="620" w:type="dxa"/>
            <w:vAlign w:val="bottom"/>
            <w:vMerge w:val="continue"/>
            <w:shd w:val="clear" w:color="auto" w:fill="3C2390"/>
          </w:tcPr>
          <w:p>
            <w:pPr>
              <w:spacing w:after="0"/>
              <w:rPr>
                <w:sz w:val="13"/>
                <w:szCs w:val="13"/>
                <w:color w:val="auto"/>
              </w:rPr>
            </w:pPr>
          </w:p>
        </w:tc>
        <w:tc>
          <w:tcPr>
            <w:tcW w:w="780" w:type="dxa"/>
            <w:vAlign w:val="bottom"/>
            <w:tcBorders>
              <w:right w:val="single" w:sz="8" w:color="EFEEED"/>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EFEEED"/>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shd w:val="clear" w:color="auto" w:fill="3C2390"/>
          </w:tcPr>
          <w:p>
            <w:pPr>
              <w:spacing w:after="0"/>
              <w:rPr>
                <w:sz w:val="7"/>
                <w:szCs w:val="7"/>
                <w:color w:val="auto"/>
              </w:rPr>
            </w:pPr>
          </w:p>
        </w:tc>
        <w:tc>
          <w:tcPr>
            <w:tcW w:w="1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shd w:val="clear" w:color="auto" w:fill="3C2390"/>
          </w:tcPr>
          <w:p>
            <w:pPr>
              <w:spacing w:after="0"/>
              <w:rPr>
                <w:sz w:val="7"/>
                <w:szCs w:val="7"/>
                <w:color w:val="auto"/>
              </w:rPr>
            </w:pP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shd w:val="clear" w:color="auto" w:fill="3C2390"/>
          </w:tcPr>
          <w:p>
            <w:pPr>
              <w:spacing w:after="0"/>
              <w:rPr>
                <w:sz w:val="7"/>
                <w:szCs w:val="7"/>
                <w:color w:val="auto"/>
              </w:rPr>
            </w:pPr>
          </w:p>
        </w:tc>
        <w:tc>
          <w:tcPr>
            <w:tcW w:w="620" w:type="dxa"/>
            <w:vAlign w:val="bottom"/>
            <w:vMerge w:val="continue"/>
            <w:shd w:val="clear" w:color="auto" w:fill="3C2390"/>
          </w:tcPr>
          <w:p>
            <w:pPr>
              <w:spacing w:after="0"/>
              <w:rPr>
                <w:sz w:val="7"/>
                <w:szCs w:val="7"/>
                <w:color w:val="auto"/>
              </w:rPr>
            </w:pPr>
          </w:p>
        </w:tc>
        <w:tc>
          <w:tcPr>
            <w:tcW w:w="780" w:type="dxa"/>
            <w:vAlign w:val="bottom"/>
            <w:tcBorders>
              <w:right w:val="single" w:sz="8" w:color="EFEEED"/>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60" w:type="dxa"/>
            <w:vAlign w:val="bottom"/>
            <w:tcBorders>
              <w:left w:val="single" w:sz="8" w:color="EFEEED"/>
            </w:tcBorders>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shd w:val="clear" w:color="auto" w:fill="3C2390"/>
          </w:tcPr>
          <w:p>
            <w:pPr>
              <w:spacing w:after="0"/>
              <w:rPr>
                <w:sz w:val="13"/>
                <w:szCs w:val="13"/>
                <w:color w:val="auto"/>
              </w:rPr>
            </w:pPr>
          </w:p>
        </w:tc>
        <w:tc>
          <w:tcPr>
            <w:tcW w:w="1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shd w:val="clear" w:color="auto" w:fill="3C2390"/>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shd w:val="clear" w:color="auto" w:fill="3C2390"/>
          </w:tcPr>
          <w:p>
            <w:pPr>
              <w:spacing w:after="0"/>
              <w:rPr>
                <w:sz w:val="13"/>
                <w:szCs w:val="13"/>
                <w:color w:val="auto"/>
              </w:rPr>
            </w:pPr>
          </w:p>
        </w:tc>
        <w:tc>
          <w:tcPr>
            <w:tcW w:w="620" w:type="dxa"/>
            <w:vAlign w:val="bottom"/>
            <w:shd w:val="clear" w:color="auto" w:fill="3C2390"/>
          </w:tcPr>
          <w:p>
            <w:pPr>
              <w:spacing w:after="0"/>
              <w:rPr>
                <w:sz w:val="13"/>
                <w:szCs w:val="13"/>
                <w:color w:val="auto"/>
              </w:rPr>
            </w:pPr>
          </w:p>
        </w:tc>
        <w:tc>
          <w:tcPr>
            <w:tcW w:w="780" w:type="dxa"/>
            <w:vAlign w:val="bottom"/>
            <w:tcBorders>
              <w:right w:val="single" w:sz="8" w:color="EFEEED"/>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EFEEED"/>
            </w:tcBorders>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shd w:val="clear" w:color="auto" w:fill="EAEBF1"/>
          </w:tcPr>
          <w:p>
            <w:pPr>
              <w:jc w:val="right"/>
              <w:ind w:right="173"/>
              <w:spacing w:after="0"/>
              <w:rPr>
                <w:sz w:val="20"/>
                <w:szCs w:val="20"/>
                <w:color w:val="auto"/>
              </w:rPr>
            </w:pPr>
            <w:r>
              <w:rPr>
                <w:rFonts w:ascii="Times New Roman" w:cs="Times New Roman" w:eastAsia="Times New Roman" w:hAnsi="Times New Roman"/>
                <w:sz w:val="24"/>
                <w:szCs w:val="24"/>
                <w:color w:val="auto"/>
              </w:rPr>
              <w:t>1.6</w:t>
            </w:r>
          </w:p>
        </w:tc>
        <w:tc>
          <w:tcPr>
            <w:tcW w:w="80" w:type="dxa"/>
            <w:vAlign w:val="bottom"/>
          </w:tcPr>
          <w:p>
            <w:pPr>
              <w:spacing w:after="0"/>
              <w:rPr>
                <w:sz w:val="24"/>
                <w:szCs w:val="24"/>
                <w:color w:val="auto"/>
              </w:rPr>
            </w:pPr>
          </w:p>
        </w:tc>
        <w:tc>
          <w:tcPr>
            <w:tcW w:w="200" w:type="dxa"/>
            <w:vAlign w:val="bottom"/>
            <w:shd w:val="clear" w:color="auto" w:fill="3C2390"/>
          </w:tcPr>
          <w:p>
            <w:pPr>
              <w:spacing w:after="0"/>
              <w:rPr>
                <w:sz w:val="24"/>
                <w:szCs w:val="24"/>
                <w:color w:val="auto"/>
              </w:rPr>
            </w:pPr>
          </w:p>
        </w:tc>
        <w:tc>
          <w:tcPr>
            <w:tcW w:w="620" w:type="dxa"/>
            <w:vAlign w:val="bottom"/>
            <w:shd w:val="clear" w:color="auto" w:fill="3C2390"/>
          </w:tcPr>
          <w:p>
            <w:pPr>
              <w:spacing w:after="0"/>
              <w:rPr>
                <w:sz w:val="24"/>
                <w:szCs w:val="24"/>
                <w:color w:val="auto"/>
              </w:rPr>
            </w:pPr>
          </w:p>
        </w:tc>
        <w:tc>
          <w:tcPr>
            <w:tcW w:w="780" w:type="dxa"/>
            <w:vAlign w:val="bottom"/>
            <w:tcBorders>
              <w:right w:val="single" w:sz="8" w:color="EFEEED"/>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60" w:type="dxa"/>
            <w:vAlign w:val="bottom"/>
            <w:tcBorders>
              <w:left w:val="single" w:sz="8" w:color="EFEEED"/>
            </w:tcBorders>
          </w:tcPr>
          <w:p>
            <w:pPr>
              <w:spacing w:after="0"/>
              <w:rPr>
                <w:sz w:val="7"/>
                <w:szCs w:val="7"/>
                <w:color w:val="auto"/>
              </w:rPr>
            </w:pPr>
          </w:p>
        </w:tc>
        <w:tc>
          <w:tcPr>
            <w:tcW w:w="800" w:type="dxa"/>
            <w:vAlign w:val="bottom"/>
            <w:vMerge w:val="restart"/>
            <w:shd w:val="clear" w:color="auto" w:fill="EAEBF1"/>
          </w:tcPr>
          <w:p>
            <w:pPr>
              <w:jc w:val="center"/>
              <w:spacing w:after="0"/>
              <w:rPr>
                <w:sz w:val="20"/>
                <w:szCs w:val="20"/>
                <w:color w:val="auto"/>
              </w:rPr>
            </w:pPr>
            <w:r>
              <w:rPr>
                <w:rFonts w:ascii="Times New Roman" w:cs="Times New Roman" w:eastAsia="Times New Roman" w:hAnsi="Times New Roman"/>
                <w:sz w:val="24"/>
                <w:szCs w:val="24"/>
                <w:color w:val="auto"/>
                <w:w w:val="99"/>
              </w:rPr>
              <w:t>3</w:t>
            </w:r>
          </w:p>
        </w:tc>
        <w:tc>
          <w:tcPr>
            <w:tcW w:w="100" w:type="dxa"/>
            <w:vAlign w:val="bottom"/>
          </w:tcPr>
          <w:p>
            <w:pPr>
              <w:spacing w:after="0"/>
              <w:rPr>
                <w:sz w:val="7"/>
                <w:szCs w:val="7"/>
                <w:color w:val="auto"/>
              </w:rPr>
            </w:pPr>
          </w:p>
        </w:tc>
        <w:tc>
          <w:tcPr>
            <w:tcW w:w="800" w:type="dxa"/>
            <w:vAlign w:val="bottom"/>
            <w:shd w:val="clear" w:color="auto" w:fill="3C2390"/>
          </w:tcPr>
          <w:p>
            <w:pPr>
              <w:spacing w:after="0"/>
              <w:rPr>
                <w:sz w:val="7"/>
                <w:szCs w:val="7"/>
                <w:color w:val="auto"/>
              </w:rPr>
            </w:pPr>
          </w:p>
        </w:tc>
        <w:tc>
          <w:tcPr>
            <w:tcW w:w="1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shd w:val="clear" w:color="auto" w:fill="3C2390"/>
          </w:tcPr>
          <w:p>
            <w:pPr>
              <w:spacing w:after="0"/>
              <w:rPr>
                <w:sz w:val="7"/>
                <w:szCs w:val="7"/>
                <w:color w:val="auto"/>
              </w:rPr>
            </w:pPr>
          </w:p>
        </w:tc>
        <w:tc>
          <w:tcPr>
            <w:tcW w:w="1880" w:type="dxa"/>
            <w:vAlign w:val="bottom"/>
          </w:tcPr>
          <w:p>
            <w:pPr>
              <w:spacing w:after="0"/>
              <w:rPr>
                <w:sz w:val="7"/>
                <w:szCs w:val="7"/>
                <w:color w:val="auto"/>
              </w:rPr>
            </w:pPr>
          </w:p>
        </w:tc>
        <w:tc>
          <w:tcPr>
            <w:tcW w:w="820" w:type="dxa"/>
            <w:vAlign w:val="bottom"/>
            <w:shd w:val="clear" w:color="auto" w:fill="EAEBF1"/>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shd w:val="clear" w:color="auto" w:fill="3C2390"/>
          </w:tcPr>
          <w:p>
            <w:pPr>
              <w:spacing w:after="0"/>
              <w:rPr>
                <w:sz w:val="7"/>
                <w:szCs w:val="7"/>
                <w:color w:val="auto"/>
              </w:rPr>
            </w:pPr>
          </w:p>
        </w:tc>
        <w:tc>
          <w:tcPr>
            <w:tcW w:w="620" w:type="dxa"/>
            <w:vAlign w:val="bottom"/>
            <w:shd w:val="clear" w:color="auto" w:fill="3C2390"/>
          </w:tcPr>
          <w:p>
            <w:pPr>
              <w:spacing w:after="0"/>
              <w:rPr>
                <w:sz w:val="7"/>
                <w:szCs w:val="7"/>
                <w:color w:val="auto"/>
              </w:rPr>
            </w:pPr>
          </w:p>
        </w:tc>
        <w:tc>
          <w:tcPr>
            <w:tcW w:w="780" w:type="dxa"/>
            <w:vAlign w:val="bottom"/>
            <w:tcBorders>
              <w:right w:val="single" w:sz="8" w:color="EFEEED"/>
            </w:tcBorders>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660" w:type="dxa"/>
            <w:vAlign w:val="bottom"/>
            <w:tcBorders>
              <w:left w:val="single" w:sz="8" w:color="EFEEED"/>
            </w:tcBorders>
          </w:tcPr>
          <w:p>
            <w:pPr>
              <w:spacing w:after="0"/>
              <w:rPr>
                <w:sz w:val="24"/>
                <w:szCs w:val="24"/>
                <w:color w:val="auto"/>
              </w:rPr>
            </w:pPr>
          </w:p>
        </w:tc>
        <w:tc>
          <w:tcPr>
            <w:tcW w:w="800" w:type="dxa"/>
            <w:vAlign w:val="bottom"/>
            <w:vMerge w:val="continue"/>
            <w:shd w:val="clear" w:color="auto" w:fill="EAEBF1"/>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vMerge w:val="restart"/>
            <w:shd w:val="clear" w:color="auto" w:fill="EAEBF1"/>
          </w:tcPr>
          <w:p>
            <w:pPr>
              <w:jc w:val="right"/>
              <w:ind w:right="160"/>
              <w:spacing w:after="0"/>
              <w:rPr>
                <w:sz w:val="20"/>
                <w:szCs w:val="20"/>
                <w:color w:val="auto"/>
              </w:rPr>
            </w:pPr>
            <w:r>
              <w:rPr>
                <w:rFonts w:ascii="Times New Roman" w:cs="Times New Roman" w:eastAsia="Times New Roman" w:hAnsi="Times New Roman"/>
                <w:sz w:val="24"/>
                <w:szCs w:val="24"/>
                <w:color w:val="auto"/>
              </w:rPr>
              <w:t>69</w:t>
            </w: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shd w:val="clear" w:color="auto" w:fill="EAEBF1"/>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shd w:val="clear" w:color="auto" w:fill="3C2390"/>
          </w:tcPr>
          <w:p>
            <w:pPr>
              <w:spacing w:after="0"/>
              <w:rPr>
                <w:sz w:val="24"/>
                <w:szCs w:val="24"/>
                <w:color w:val="auto"/>
              </w:rPr>
            </w:pPr>
          </w:p>
        </w:tc>
        <w:tc>
          <w:tcPr>
            <w:tcW w:w="620" w:type="dxa"/>
            <w:vAlign w:val="bottom"/>
            <w:shd w:val="clear" w:color="auto" w:fill="3C2390"/>
          </w:tcPr>
          <w:p>
            <w:pPr>
              <w:spacing w:after="0"/>
              <w:rPr>
                <w:sz w:val="24"/>
                <w:szCs w:val="24"/>
                <w:color w:val="auto"/>
              </w:rPr>
            </w:pPr>
          </w:p>
        </w:tc>
        <w:tc>
          <w:tcPr>
            <w:tcW w:w="780" w:type="dxa"/>
            <w:vAlign w:val="bottom"/>
            <w:tcBorders>
              <w:right w:val="single" w:sz="8" w:color="EFEEED"/>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660" w:type="dxa"/>
            <w:vAlign w:val="bottom"/>
            <w:tcBorders>
              <w:left w:val="single" w:sz="8" w:color="EFEEED"/>
            </w:tcBorders>
          </w:tcPr>
          <w:p>
            <w:pPr>
              <w:spacing w:after="0"/>
              <w:rPr>
                <w:sz w:val="7"/>
                <w:szCs w:val="7"/>
                <w:color w:val="auto"/>
              </w:rPr>
            </w:pPr>
          </w:p>
        </w:tc>
        <w:tc>
          <w:tcPr>
            <w:tcW w:w="800" w:type="dxa"/>
            <w:vAlign w:val="bottom"/>
            <w:shd w:val="clear" w:color="auto" w:fill="EAEBF1"/>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shd w:val="clear" w:color="auto" w:fill="3C2390"/>
          </w:tcPr>
          <w:p>
            <w:pPr>
              <w:spacing w:after="0"/>
              <w:rPr>
                <w:sz w:val="7"/>
                <w:szCs w:val="7"/>
                <w:color w:val="auto"/>
              </w:rPr>
            </w:pPr>
          </w:p>
        </w:tc>
        <w:tc>
          <w:tcPr>
            <w:tcW w:w="1780" w:type="dxa"/>
            <w:vAlign w:val="bottom"/>
          </w:tcPr>
          <w:p>
            <w:pPr>
              <w:spacing w:after="0"/>
              <w:rPr>
                <w:sz w:val="7"/>
                <w:szCs w:val="7"/>
                <w:color w:val="auto"/>
              </w:rPr>
            </w:pPr>
          </w:p>
        </w:tc>
        <w:tc>
          <w:tcPr>
            <w:tcW w:w="820" w:type="dxa"/>
            <w:vAlign w:val="bottom"/>
            <w:vMerge w:val="continue"/>
            <w:shd w:val="clear" w:color="auto" w:fill="EAEBF1"/>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shd w:val="clear" w:color="auto" w:fill="3C2390"/>
          </w:tcPr>
          <w:p>
            <w:pPr>
              <w:spacing w:after="0"/>
              <w:rPr>
                <w:sz w:val="7"/>
                <w:szCs w:val="7"/>
                <w:color w:val="auto"/>
              </w:rPr>
            </w:pPr>
          </w:p>
        </w:tc>
        <w:tc>
          <w:tcPr>
            <w:tcW w:w="1880" w:type="dxa"/>
            <w:vAlign w:val="bottom"/>
          </w:tcPr>
          <w:p>
            <w:pPr>
              <w:spacing w:after="0"/>
              <w:rPr>
                <w:sz w:val="7"/>
                <w:szCs w:val="7"/>
                <w:color w:val="auto"/>
              </w:rPr>
            </w:pPr>
          </w:p>
        </w:tc>
        <w:tc>
          <w:tcPr>
            <w:tcW w:w="820" w:type="dxa"/>
            <w:vAlign w:val="bottom"/>
            <w:shd w:val="clear" w:color="auto" w:fill="EAEBF1"/>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shd w:val="clear" w:color="auto" w:fill="3C2390"/>
          </w:tcPr>
          <w:p>
            <w:pPr>
              <w:spacing w:after="0"/>
              <w:rPr>
                <w:sz w:val="7"/>
                <w:szCs w:val="7"/>
                <w:color w:val="auto"/>
              </w:rPr>
            </w:pPr>
          </w:p>
        </w:tc>
        <w:tc>
          <w:tcPr>
            <w:tcW w:w="620" w:type="dxa"/>
            <w:vAlign w:val="bottom"/>
            <w:shd w:val="clear" w:color="auto" w:fill="3C2390"/>
          </w:tcPr>
          <w:p>
            <w:pPr>
              <w:spacing w:after="0"/>
              <w:rPr>
                <w:sz w:val="7"/>
                <w:szCs w:val="7"/>
                <w:color w:val="auto"/>
              </w:rPr>
            </w:pPr>
          </w:p>
        </w:tc>
        <w:tc>
          <w:tcPr>
            <w:tcW w:w="780" w:type="dxa"/>
            <w:vAlign w:val="bottom"/>
            <w:tcBorders>
              <w:right w:val="single" w:sz="8" w:color="EFEEED"/>
            </w:tcBorders>
          </w:tcPr>
          <w:p>
            <w:pPr>
              <w:spacing w:after="0"/>
              <w:rPr>
                <w:sz w:val="7"/>
                <w:szCs w:val="7"/>
                <w:color w:val="auto"/>
              </w:rPr>
            </w:pPr>
          </w:p>
        </w:tc>
        <w:tc>
          <w:tcPr>
            <w:tcW w:w="0" w:type="dxa"/>
            <w:vAlign w:val="bottom"/>
          </w:tcPr>
          <w:p>
            <w:pPr>
              <w:spacing w:after="0"/>
              <w:rPr>
                <w:sz w:val="1"/>
                <w:szCs w:val="1"/>
                <w:color w:val="auto"/>
              </w:rPr>
            </w:pPr>
          </w:p>
        </w:tc>
      </w:tr>
      <w:tr>
        <w:trPr>
          <w:trHeight w:val="670"/>
        </w:trPr>
        <w:tc>
          <w:tcPr>
            <w:tcW w:w="660" w:type="dxa"/>
            <w:vAlign w:val="bottom"/>
            <w:tcBorders>
              <w:left w:val="single" w:sz="8" w:color="EFEEED"/>
            </w:tcBorders>
          </w:tcPr>
          <w:p>
            <w:pPr>
              <w:spacing w:after="0"/>
              <w:rPr>
                <w:sz w:val="24"/>
                <w:szCs w:val="24"/>
                <w:color w:val="auto"/>
              </w:rPr>
            </w:pPr>
          </w:p>
        </w:tc>
        <w:tc>
          <w:tcPr>
            <w:tcW w:w="800" w:type="dxa"/>
            <w:vAlign w:val="bottom"/>
            <w:tcBorders>
              <w:bottom w:val="single" w:sz="8" w:color="EAEBF1"/>
            </w:tcBorders>
            <w:shd w:val="clear" w:color="auto" w:fill="EAEBF1"/>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Borders>
              <w:bottom w:val="single" w:sz="8" w:color="EAEBF1"/>
            </w:tcBorders>
            <w:shd w:val="clear" w:color="auto" w:fill="EAEBF1"/>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shd w:val="clear" w:color="auto" w:fill="EAEBF1"/>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shd w:val="clear" w:color="auto" w:fill="3C2390"/>
          </w:tcPr>
          <w:p>
            <w:pPr>
              <w:spacing w:after="0"/>
              <w:rPr>
                <w:sz w:val="24"/>
                <w:szCs w:val="24"/>
                <w:color w:val="auto"/>
              </w:rPr>
            </w:pPr>
          </w:p>
        </w:tc>
        <w:tc>
          <w:tcPr>
            <w:tcW w:w="620" w:type="dxa"/>
            <w:vAlign w:val="bottom"/>
            <w:shd w:val="clear" w:color="auto" w:fill="3C2390"/>
          </w:tcPr>
          <w:p>
            <w:pPr>
              <w:spacing w:after="0"/>
              <w:rPr>
                <w:sz w:val="24"/>
                <w:szCs w:val="24"/>
                <w:color w:val="auto"/>
              </w:rPr>
            </w:pPr>
          </w:p>
        </w:tc>
        <w:tc>
          <w:tcPr>
            <w:tcW w:w="780" w:type="dxa"/>
            <w:vAlign w:val="bottom"/>
            <w:tcBorders>
              <w:right w:val="single" w:sz="8" w:color="EFEEED"/>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460" w:type="dxa"/>
            <w:vAlign w:val="bottom"/>
            <w:tcBorders>
              <w:left w:val="single" w:sz="8" w:color="EFEEED"/>
            </w:tcBorders>
            <w:gridSpan w:val="2"/>
          </w:tcPr>
          <w:p>
            <w:pPr>
              <w:jc w:val="center"/>
              <w:ind w:left="557"/>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3"/>
                <w:szCs w:val="23"/>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3C2390"/>
              </w:rPr>
              <w:t>2022</w:t>
            </w:r>
          </w:p>
        </w:tc>
        <w:tc>
          <w:tcPr>
            <w:tcW w:w="2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3C2390"/>
                <w:w w:val="99"/>
              </w:rPr>
              <w:t>2022</w:t>
            </w:r>
          </w:p>
        </w:tc>
        <w:tc>
          <w:tcPr>
            <w:tcW w:w="1880" w:type="dxa"/>
            <w:vAlign w:val="bottom"/>
          </w:tcPr>
          <w:p>
            <w:pPr>
              <w:spacing w:after="0"/>
              <w:rPr>
                <w:sz w:val="23"/>
                <w:szCs w:val="23"/>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3C2390"/>
                <w:w w:val="99"/>
              </w:rPr>
              <w:t>2022</w:t>
            </w:r>
          </w:p>
        </w:tc>
        <w:tc>
          <w:tcPr>
            <w:tcW w:w="780" w:type="dxa"/>
            <w:vAlign w:val="bottom"/>
            <w:tcBorders>
              <w:right w:val="single" w:sz="8" w:color="EFEEED"/>
            </w:tcBorders>
          </w:tcPr>
          <w:p>
            <w:pPr>
              <w:spacing w:after="0"/>
              <w:rPr>
                <w:sz w:val="23"/>
                <w:szCs w:val="23"/>
                <w:color w:val="auto"/>
              </w:rPr>
            </w:pPr>
          </w:p>
        </w:tc>
        <w:tc>
          <w:tcPr>
            <w:tcW w:w="0" w:type="dxa"/>
            <w:vAlign w:val="bottom"/>
          </w:tcPr>
          <w:p>
            <w:pPr>
              <w:spacing w:after="0"/>
              <w:rPr>
                <w:sz w:val="1"/>
                <w:szCs w:val="1"/>
                <w:color w:val="auto"/>
              </w:rPr>
            </w:pPr>
          </w:p>
        </w:tc>
      </w:tr>
      <w:tr>
        <w:trPr>
          <w:trHeight w:val="690"/>
        </w:trPr>
        <w:tc>
          <w:tcPr>
            <w:tcW w:w="1560" w:type="dxa"/>
            <w:vAlign w:val="bottom"/>
            <w:tcBorders>
              <w:left w:val="single" w:sz="8" w:color="EFEEED"/>
            </w:tcBorders>
            <w:gridSpan w:val="3"/>
          </w:tcPr>
          <w:p>
            <w:pPr>
              <w:ind w:left="620"/>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800" w:type="dxa"/>
            <w:vAlign w:val="bottom"/>
          </w:tcPr>
          <w:p>
            <w:pPr>
              <w:spacing w:after="0"/>
              <w:rPr>
                <w:sz w:val="24"/>
                <w:szCs w:val="24"/>
                <w:color w:val="auto"/>
              </w:rPr>
            </w:pPr>
          </w:p>
        </w:tc>
        <w:tc>
          <w:tcPr>
            <w:tcW w:w="5380" w:type="dxa"/>
            <w:vAlign w:val="bottom"/>
            <w:gridSpan w:val="5"/>
          </w:tcPr>
          <w:p>
            <w:pPr>
              <w:ind w:left="1780"/>
              <w:spacing w:after="0"/>
              <w:rPr>
                <w:sz w:val="20"/>
                <w:szCs w:val="20"/>
                <w:color w:val="auto"/>
              </w:rPr>
            </w:pPr>
            <w:r>
              <w:rPr>
                <w:rFonts w:ascii="Times New Roman" w:cs="Times New Roman" w:eastAsia="Times New Roman" w:hAnsi="Times New Roman"/>
                <w:sz w:val="22"/>
                <w:szCs w:val="22"/>
                <w:b w:val="1"/>
                <w:bCs w:val="1"/>
                <w:color w:val="auto"/>
              </w:rPr>
              <w:t>Adjusted EBITDA</w:t>
            </w:r>
          </w:p>
        </w:tc>
        <w:tc>
          <w:tcPr>
            <w:tcW w:w="2500" w:type="dxa"/>
            <w:vAlign w:val="bottom"/>
            <w:tcBorders>
              <w:right w:val="single" w:sz="8" w:color="EFEEED"/>
            </w:tcBorders>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RNG Fuel Sold</w:t>
            </w:r>
          </w:p>
        </w:tc>
        <w:tc>
          <w:tcPr>
            <w:tcW w:w="0" w:type="dxa"/>
            <w:vAlign w:val="bottom"/>
          </w:tcPr>
          <w:p>
            <w:pPr>
              <w:spacing w:after="0"/>
              <w:rPr>
                <w:sz w:val="1"/>
                <w:szCs w:val="1"/>
                <w:color w:val="auto"/>
              </w:rPr>
            </w:pPr>
          </w:p>
        </w:tc>
      </w:tr>
      <w:tr>
        <w:trPr>
          <w:trHeight w:val="292"/>
        </w:trPr>
        <w:tc>
          <w:tcPr>
            <w:tcW w:w="1560" w:type="dxa"/>
            <w:vAlign w:val="bottom"/>
            <w:tcBorders>
              <w:left w:val="single" w:sz="8" w:color="EFEEED"/>
            </w:tcBorders>
            <w:gridSpan w:val="3"/>
          </w:tcPr>
          <w:p>
            <w:pPr>
              <w:ind w:left="620"/>
              <w:spacing w:after="0"/>
              <w:rPr>
                <w:sz w:val="20"/>
                <w:szCs w:val="20"/>
                <w:color w:val="auto"/>
              </w:rPr>
            </w:pPr>
            <w:r>
              <w:rPr>
                <w:rFonts w:ascii="Times New Roman" w:cs="Times New Roman" w:eastAsia="Times New Roman" w:hAnsi="Times New Roman"/>
                <w:sz w:val="22"/>
                <w:szCs w:val="22"/>
                <w:b w:val="1"/>
                <w:bCs w:val="1"/>
                <w:color w:val="auto"/>
              </w:rPr>
              <w:t>($MM)</w:t>
            </w:r>
          </w:p>
        </w:tc>
        <w:tc>
          <w:tcPr>
            <w:tcW w:w="800" w:type="dxa"/>
            <w:vAlign w:val="bottom"/>
          </w:tcPr>
          <w:p>
            <w:pPr>
              <w:spacing w:after="0"/>
              <w:rPr>
                <w:sz w:val="24"/>
                <w:szCs w:val="24"/>
                <w:color w:val="auto"/>
              </w:rPr>
            </w:pPr>
          </w:p>
        </w:tc>
        <w:tc>
          <w:tcPr>
            <w:tcW w:w="2700" w:type="dxa"/>
            <w:vAlign w:val="bottom"/>
            <w:gridSpan w:val="3"/>
          </w:tcPr>
          <w:p>
            <w:pPr>
              <w:ind w:left="1780"/>
              <w:spacing w:after="0"/>
              <w:rPr>
                <w:sz w:val="20"/>
                <w:szCs w:val="20"/>
                <w:color w:val="auto"/>
              </w:rPr>
            </w:pPr>
            <w:r>
              <w:rPr>
                <w:rFonts w:ascii="Times New Roman" w:cs="Times New Roman" w:eastAsia="Times New Roman" w:hAnsi="Times New Roman"/>
                <w:sz w:val="22"/>
                <w:szCs w:val="22"/>
                <w:b w:val="1"/>
                <w:bCs w:val="1"/>
                <w:color w:val="auto"/>
              </w:rPr>
              <w:t>($MM)</w:t>
            </w: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(MMGGE)</w:t>
            </w:r>
          </w:p>
        </w:tc>
        <w:tc>
          <w:tcPr>
            <w:tcW w:w="620" w:type="dxa"/>
            <w:vAlign w:val="bottom"/>
          </w:tcPr>
          <w:p>
            <w:pPr>
              <w:spacing w:after="0"/>
              <w:rPr>
                <w:sz w:val="24"/>
                <w:szCs w:val="24"/>
                <w:color w:val="auto"/>
              </w:rPr>
            </w:pPr>
          </w:p>
        </w:tc>
        <w:tc>
          <w:tcPr>
            <w:tcW w:w="780" w:type="dxa"/>
            <w:vAlign w:val="bottom"/>
            <w:tcBorders>
              <w:right w:val="single" w:sz="8" w:color="EFEEED"/>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60" w:type="dxa"/>
            <w:vAlign w:val="bottom"/>
            <w:tcBorders>
              <w:left w:val="single" w:sz="8" w:color="EFEEED"/>
            </w:tcBorders>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Borders>
              <w:right w:val="single" w:sz="8" w:color="EFEEED"/>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660" w:type="dxa"/>
            <w:vAlign w:val="bottom"/>
            <w:tcBorders>
              <w:left w:val="single" w:sz="8" w:color="EFEEED"/>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shd w:val="clear" w:color="auto" w:fill="3C2390"/>
          </w:tcPr>
          <w:p>
            <w:pPr>
              <w:spacing w:after="0"/>
              <w:rPr>
                <w:sz w:val="7"/>
                <w:szCs w:val="7"/>
                <w:color w:val="auto"/>
              </w:rPr>
            </w:pPr>
          </w:p>
        </w:tc>
        <w:tc>
          <w:tcPr>
            <w:tcW w:w="620" w:type="dxa"/>
            <w:vAlign w:val="bottom"/>
            <w:vMerge w:val="restart"/>
            <w:shd w:val="clear" w:color="auto" w:fill="3C2390"/>
          </w:tcPr>
          <w:p>
            <w:pPr>
              <w:jc w:val="right"/>
              <w:ind w:right="75"/>
              <w:spacing w:after="0"/>
              <w:rPr>
                <w:sz w:val="20"/>
                <w:szCs w:val="20"/>
                <w:color w:val="auto"/>
              </w:rPr>
            </w:pPr>
            <w:r>
              <w:rPr>
                <w:rFonts w:ascii="Times New Roman" w:cs="Times New Roman" w:eastAsia="Times New Roman" w:hAnsi="Times New Roman"/>
                <w:sz w:val="24"/>
                <w:szCs w:val="24"/>
                <w:b w:val="1"/>
                <w:bCs w:val="1"/>
                <w:color w:val="FFFFFF"/>
                <w:w w:val="99"/>
              </w:rPr>
              <w:t>29.4</w:t>
            </w:r>
          </w:p>
        </w:tc>
        <w:tc>
          <w:tcPr>
            <w:tcW w:w="780" w:type="dxa"/>
            <w:vAlign w:val="bottom"/>
            <w:tcBorders>
              <w:right w:val="single" w:sz="8" w:color="EFEEED"/>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660" w:type="dxa"/>
            <w:vAlign w:val="bottom"/>
            <w:tcBorders>
              <w:left w:val="single" w:sz="8" w:color="EFEEED"/>
            </w:tcBorders>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restart"/>
            <w:shd w:val="clear" w:color="auto" w:fill="3C2390"/>
          </w:tcPr>
          <w:p>
            <w:pPr>
              <w:jc w:val="right"/>
              <w:spacing w:after="0"/>
              <w:rPr>
                <w:sz w:val="20"/>
                <w:szCs w:val="20"/>
                <w:color w:val="auto"/>
              </w:rPr>
            </w:pPr>
            <w:r>
              <w:rPr>
                <w:rFonts w:ascii="Times New Roman" w:cs="Times New Roman" w:eastAsia="Times New Roman" w:hAnsi="Times New Roman"/>
                <w:sz w:val="24"/>
                <w:szCs w:val="24"/>
                <w:b w:val="1"/>
                <w:bCs w:val="1"/>
                <w:color w:val="FFFFFF"/>
              </w:rPr>
              <w:t>$235.5</w:t>
            </w: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shd w:val="clear" w:color="auto" w:fill="3C2390"/>
          </w:tcPr>
          <w:p>
            <w:pPr>
              <w:spacing w:after="0"/>
              <w:rPr>
                <w:sz w:val="24"/>
                <w:szCs w:val="24"/>
                <w:color w:val="auto"/>
              </w:rPr>
            </w:pPr>
          </w:p>
        </w:tc>
        <w:tc>
          <w:tcPr>
            <w:tcW w:w="620" w:type="dxa"/>
            <w:vAlign w:val="bottom"/>
            <w:vMerge w:val="continue"/>
            <w:shd w:val="clear" w:color="auto" w:fill="3C2390"/>
          </w:tcPr>
          <w:p>
            <w:pPr>
              <w:spacing w:after="0"/>
              <w:rPr>
                <w:sz w:val="24"/>
                <w:szCs w:val="24"/>
                <w:color w:val="auto"/>
              </w:rPr>
            </w:pPr>
          </w:p>
        </w:tc>
        <w:tc>
          <w:tcPr>
            <w:tcW w:w="780" w:type="dxa"/>
            <w:vAlign w:val="bottom"/>
            <w:tcBorders>
              <w:right w:val="single" w:sz="8" w:color="EFEEED"/>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60" w:type="dxa"/>
            <w:vAlign w:val="bottom"/>
            <w:tcBorders>
              <w:left w:val="single" w:sz="8" w:color="EFEEED"/>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shd w:val="clear" w:color="auto" w:fill="3C2390"/>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shd w:val="clear" w:color="auto" w:fill="3C2390"/>
          </w:tcPr>
          <w:p>
            <w:pPr>
              <w:spacing w:after="0"/>
              <w:rPr>
                <w:sz w:val="9"/>
                <w:szCs w:val="9"/>
                <w:color w:val="auto"/>
              </w:rPr>
            </w:pPr>
          </w:p>
        </w:tc>
        <w:tc>
          <w:tcPr>
            <w:tcW w:w="620" w:type="dxa"/>
            <w:vAlign w:val="bottom"/>
            <w:shd w:val="clear" w:color="auto" w:fill="3C2390"/>
          </w:tcPr>
          <w:p>
            <w:pPr>
              <w:spacing w:after="0"/>
              <w:rPr>
                <w:sz w:val="9"/>
                <w:szCs w:val="9"/>
                <w:color w:val="auto"/>
              </w:rPr>
            </w:pPr>
          </w:p>
        </w:tc>
        <w:tc>
          <w:tcPr>
            <w:tcW w:w="780" w:type="dxa"/>
            <w:vAlign w:val="bottom"/>
            <w:tcBorders>
              <w:right w:val="single" w:sz="8" w:color="EFEEED"/>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EFEEED"/>
            </w:tcBorders>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shd w:val="clear" w:color="auto" w:fill="3C2390"/>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shd w:val="clear" w:color="auto" w:fill="3C2390"/>
          </w:tcPr>
          <w:p>
            <w:pPr>
              <w:jc w:val="center"/>
              <w:spacing w:after="0"/>
              <w:rPr>
                <w:sz w:val="20"/>
                <w:szCs w:val="20"/>
                <w:color w:val="auto"/>
              </w:rPr>
            </w:pPr>
            <w:r>
              <w:rPr>
                <w:rFonts w:ascii="Times New Roman" w:cs="Times New Roman" w:eastAsia="Times New Roman" w:hAnsi="Times New Roman"/>
                <w:sz w:val="24"/>
                <w:szCs w:val="24"/>
                <w:b w:val="1"/>
                <w:bCs w:val="1"/>
                <w:color w:val="FFFFFF"/>
                <w:w w:val="99"/>
              </w:rPr>
              <w:t>$60.7</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shd w:val="clear" w:color="auto" w:fill="3C2390"/>
          </w:tcPr>
          <w:p>
            <w:pPr>
              <w:spacing w:after="0"/>
              <w:rPr>
                <w:sz w:val="14"/>
                <w:szCs w:val="14"/>
                <w:color w:val="auto"/>
              </w:rPr>
            </w:pPr>
          </w:p>
        </w:tc>
        <w:tc>
          <w:tcPr>
            <w:tcW w:w="620" w:type="dxa"/>
            <w:vAlign w:val="bottom"/>
            <w:shd w:val="clear" w:color="auto" w:fill="3C2390"/>
          </w:tcPr>
          <w:p>
            <w:pPr>
              <w:spacing w:after="0"/>
              <w:rPr>
                <w:sz w:val="14"/>
                <w:szCs w:val="14"/>
                <w:color w:val="auto"/>
              </w:rPr>
            </w:pPr>
          </w:p>
        </w:tc>
        <w:tc>
          <w:tcPr>
            <w:tcW w:w="780" w:type="dxa"/>
            <w:vAlign w:val="bottom"/>
            <w:tcBorders>
              <w:right w:val="single" w:sz="8" w:color="EFEEED"/>
            </w:tcBorders>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660" w:type="dxa"/>
            <w:vAlign w:val="bottom"/>
            <w:tcBorders>
              <w:left w:val="single" w:sz="8" w:color="EFEEED"/>
            </w:tcBorders>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shd w:val="clear" w:color="auto" w:fill="3C2390"/>
          </w:tcPr>
          <w:p>
            <w:pPr>
              <w:spacing w:after="0"/>
              <w:rPr>
                <w:sz w:val="5"/>
                <w:szCs w:val="5"/>
                <w:color w:val="auto"/>
              </w:rPr>
            </w:pPr>
          </w:p>
        </w:tc>
        <w:tc>
          <w:tcPr>
            <w:tcW w:w="1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shd w:val="clear" w:color="auto" w:fill="3C2390"/>
          </w:tcPr>
          <w:p>
            <w:pPr>
              <w:spacing w:after="0"/>
              <w:rPr>
                <w:sz w:val="5"/>
                <w:szCs w:val="5"/>
                <w:color w:val="auto"/>
              </w:rPr>
            </w:pPr>
          </w:p>
        </w:tc>
        <w:tc>
          <w:tcPr>
            <w:tcW w:w="1880" w:type="dxa"/>
            <w:vAlign w:val="bottom"/>
          </w:tcPr>
          <w:p>
            <w:pPr>
              <w:spacing w:after="0"/>
              <w:rPr>
                <w:sz w:val="5"/>
                <w:szCs w:val="5"/>
                <w:color w:val="auto"/>
              </w:rPr>
            </w:pPr>
          </w:p>
        </w:tc>
        <w:tc>
          <w:tcPr>
            <w:tcW w:w="820" w:type="dxa"/>
            <w:vAlign w:val="bottom"/>
            <w:vMerge w:val="restart"/>
            <w:shd w:val="clear" w:color="auto" w:fill="EAEBF1"/>
          </w:tcPr>
          <w:p>
            <w:pPr>
              <w:jc w:val="right"/>
              <w:ind w:right="113"/>
              <w:spacing w:after="0"/>
              <w:rPr>
                <w:sz w:val="20"/>
                <w:szCs w:val="20"/>
                <w:color w:val="auto"/>
              </w:rPr>
            </w:pPr>
            <w:r>
              <w:rPr>
                <w:rFonts w:ascii="Times New Roman" w:cs="Times New Roman" w:eastAsia="Times New Roman" w:hAnsi="Times New Roman"/>
                <w:sz w:val="24"/>
                <w:szCs w:val="24"/>
                <w:color w:val="auto"/>
              </w:rPr>
              <w:t>20.8</w:t>
            </w:r>
          </w:p>
        </w:tc>
        <w:tc>
          <w:tcPr>
            <w:tcW w:w="80" w:type="dxa"/>
            <w:vAlign w:val="bottom"/>
          </w:tcPr>
          <w:p>
            <w:pPr>
              <w:spacing w:after="0"/>
              <w:rPr>
                <w:sz w:val="5"/>
                <w:szCs w:val="5"/>
                <w:color w:val="auto"/>
              </w:rPr>
            </w:pPr>
          </w:p>
        </w:tc>
        <w:tc>
          <w:tcPr>
            <w:tcW w:w="200" w:type="dxa"/>
            <w:vAlign w:val="bottom"/>
            <w:shd w:val="clear" w:color="auto" w:fill="3C2390"/>
          </w:tcPr>
          <w:p>
            <w:pPr>
              <w:spacing w:after="0"/>
              <w:rPr>
                <w:sz w:val="5"/>
                <w:szCs w:val="5"/>
                <w:color w:val="auto"/>
              </w:rPr>
            </w:pPr>
          </w:p>
        </w:tc>
        <w:tc>
          <w:tcPr>
            <w:tcW w:w="620" w:type="dxa"/>
            <w:vAlign w:val="bottom"/>
            <w:shd w:val="clear" w:color="auto" w:fill="3C2390"/>
          </w:tcPr>
          <w:p>
            <w:pPr>
              <w:spacing w:after="0"/>
              <w:rPr>
                <w:sz w:val="5"/>
                <w:szCs w:val="5"/>
                <w:color w:val="auto"/>
              </w:rPr>
            </w:pPr>
          </w:p>
        </w:tc>
        <w:tc>
          <w:tcPr>
            <w:tcW w:w="780" w:type="dxa"/>
            <w:vAlign w:val="bottom"/>
            <w:tcBorders>
              <w:right w:val="single" w:sz="8" w:color="EFEEED"/>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EFEEED"/>
            </w:tcBorders>
          </w:tcPr>
          <w:p>
            <w:pPr>
              <w:spacing w:after="0"/>
              <w:rPr>
                <w:sz w:val="13"/>
                <w:szCs w:val="13"/>
                <w:color w:val="auto"/>
              </w:rPr>
            </w:pPr>
          </w:p>
        </w:tc>
        <w:tc>
          <w:tcPr>
            <w:tcW w:w="800" w:type="dxa"/>
            <w:vAlign w:val="bottom"/>
            <w:vMerge w:val="restart"/>
            <w:shd w:val="clear" w:color="auto" w:fill="EAEBF1"/>
          </w:tcPr>
          <w:p>
            <w:pPr>
              <w:jc w:val="center"/>
              <w:spacing w:after="0"/>
              <w:rPr>
                <w:sz w:val="20"/>
                <w:szCs w:val="20"/>
                <w:color w:val="auto"/>
              </w:rPr>
            </w:pPr>
            <w:r>
              <w:rPr>
                <w:rFonts w:ascii="Times New Roman" w:cs="Times New Roman" w:eastAsia="Times New Roman" w:hAnsi="Times New Roman"/>
                <w:sz w:val="24"/>
                <w:szCs w:val="24"/>
                <w:color w:val="auto"/>
                <w:w w:val="99"/>
              </w:rPr>
              <w:t>$166.1</w:t>
            </w:r>
          </w:p>
        </w:tc>
        <w:tc>
          <w:tcPr>
            <w:tcW w:w="100" w:type="dxa"/>
            <w:vAlign w:val="bottom"/>
          </w:tcPr>
          <w:p>
            <w:pPr>
              <w:spacing w:after="0"/>
              <w:rPr>
                <w:sz w:val="13"/>
                <w:szCs w:val="13"/>
                <w:color w:val="auto"/>
              </w:rPr>
            </w:pPr>
          </w:p>
        </w:tc>
        <w:tc>
          <w:tcPr>
            <w:tcW w:w="800" w:type="dxa"/>
            <w:vAlign w:val="bottom"/>
            <w:shd w:val="clear" w:color="auto" w:fill="3C2390"/>
          </w:tcPr>
          <w:p>
            <w:pPr>
              <w:spacing w:after="0"/>
              <w:rPr>
                <w:sz w:val="13"/>
                <w:szCs w:val="13"/>
                <w:color w:val="auto"/>
              </w:rPr>
            </w:pPr>
          </w:p>
        </w:tc>
        <w:tc>
          <w:tcPr>
            <w:tcW w:w="1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shd w:val="clear" w:color="auto" w:fill="3C2390"/>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vMerge w:val="continue"/>
            <w:shd w:val="clear" w:color="auto" w:fill="EAEBF1"/>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shd w:val="clear" w:color="auto" w:fill="3C2390"/>
          </w:tcPr>
          <w:p>
            <w:pPr>
              <w:spacing w:after="0"/>
              <w:rPr>
                <w:sz w:val="13"/>
                <w:szCs w:val="13"/>
                <w:color w:val="auto"/>
              </w:rPr>
            </w:pPr>
          </w:p>
        </w:tc>
        <w:tc>
          <w:tcPr>
            <w:tcW w:w="620" w:type="dxa"/>
            <w:vAlign w:val="bottom"/>
            <w:shd w:val="clear" w:color="auto" w:fill="3C2390"/>
          </w:tcPr>
          <w:p>
            <w:pPr>
              <w:spacing w:after="0"/>
              <w:rPr>
                <w:sz w:val="13"/>
                <w:szCs w:val="13"/>
                <w:color w:val="auto"/>
              </w:rPr>
            </w:pPr>
          </w:p>
        </w:tc>
        <w:tc>
          <w:tcPr>
            <w:tcW w:w="780" w:type="dxa"/>
            <w:vAlign w:val="bottom"/>
            <w:tcBorders>
              <w:right w:val="single" w:sz="8" w:color="EFEEED"/>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Borders>
              <w:left w:val="single" w:sz="8" w:color="EFEEED"/>
            </w:tcBorders>
          </w:tcPr>
          <w:p>
            <w:pPr>
              <w:spacing w:after="0"/>
              <w:rPr>
                <w:sz w:val="12"/>
                <w:szCs w:val="12"/>
                <w:color w:val="auto"/>
              </w:rPr>
            </w:pPr>
          </w:p>
        </w:tc>
        <w:tc>
          <w:tcPr>
            <w:tcW w:w="800" w:type="dxa"/>
            <w:vAlign w:val="bottom"/>
            <w:vMerge w:val="continue"/>
            <w:shd w:val="clear" w:color="auto" w:fill="EAEBF1"/>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shd w:val="clear" w:color="auto" w:fill="3C2390"/>
          </w:tcPr>
          <w:p>
            <w:pPr>
              <w:spacing w:after="0"/>
              <w:rPr>
                <w:sz w:val="12"/>
                <w:szCs w:val="12"/>
                <w:color w:val="auto"/>
              </w:rPr>
            </w:pPr>
          </w:p>
        </w:tc>
        <w:tc>
          <w:tcPr>
            <w:tcW w:w="1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shd w:val="clear" w:color="auto" w:fill="3C2390"/>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vMerge w:val="continue"/>
            <w:shd w:val="clear" w:color="auto" w:fill="EAEBF1"/>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shd w:val="clear" w:color="auto" w:fill="3C2390"/>
          </w:tcPr>
          <w:p>
            <w:pPr>
              <w:spacing w:after="0"/>
              <w:rPr>
                <w:sz w:val="12"/>
                <w:szCs w:val="12"/>
                <w:color w:val="auto"/>
              </w:rPr>
            </w:pPr>
          </w:p>
        </w:tc>
        <w:tc>
          <w:tcPr>
            <w:tcW w:w="620" w:type="dxa"/>
            <w:vAlign w:val="bottom"/>
            <w:shd w:val="clear" w:color="auto" w:fill="3C2390"/>
          </w:tcPr>
          <w:p>
            <w:pPr>
              <w:spacing w:after="0"/>
              <w:rPr>
                <w:sz w:val="12"/>
                <w:szCs w:val="12"/>
                <w:color w:val="auto"/>
              </w:rPr>
            </w:pPr>
          </w:p>
        </w:tc>
        <w:tc>
          <w:tcPr>
            <w:tcW w:w="780" w:type="dxa"/>
            <w:vAlign w:val="bottom"/>
            <w:tcBorders>
              <w:right w:val="single" w:sz="8" w:color="EFEEED"/>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left w:val="single" w:sz="8" w:color="EFEEED"/>
            </w:tcBorders>
          </w:tcPr>
          <w:p>
            <w:pPr>
              <w:spacing w:after="0"/>
              <w:rPr>
                <w:sz w:val="3"/>
                <w:szCs w:val="3"/>
                <w:color w:val="auto"/>
              </w:rPr>
            </w:pPr>
          </w:p>
        </w:tc>
        <w:tc>
          <w:tcPr>
            <w:tcW w:w="800" w:type="dxa"/>
            <w:vAlign w:val="bottom"/>
            <w:vMerge w:val="continue"/>
            <w:shd w:val="clear" w:color="auto" w:fill="EAEBF1"/>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shd w:val="clear" w:color="auto" w:fill="3C2390"/>
          </w:tcPr>
          <w:p>
            <w:pPr>
              <w:spacing w:after="0"/>
              <w:rPr>
                <w:sz w:val="3"/>
                <w:szCs w:val="3"/>
                <w:color w:val="auto"/>
              </w:rPr>
            </w:pPr>
          </w:p>
        </w:tc>
        <w:tc>
          <w:tcPr>
            <w:tcW w:w="1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shd w:val="clear" w:color="auto" w:fill="3C2390"/>
          </w:tcPr>
          <w:p>
            <w:pPr>
              <w:spacing w:after="0"/>
              <w:rPr>
                <w:sz w:val="3"/>
                <w:szCs w:val="3"/>
                <w:color w:val="auto"/>
              </w:rPr>
            </w:pPr>
          </w:p>
        </w:tc>
        <w:tc>
          <w:tcPr>
            <w:tcW w:w="1880" w:type="dxa"/>
            <w:vAlign w:val="bottom"/>
          </w:tcPr>
          <w:p>
            <w:pPr>
              <w:spacing w:after="0"/>
              <w:rPr>
                <w:sz w:val="3"/>
                <w:szCs w:val="3"/>
                <w:color w:val="auto"/>
              </w:rPr>
            </w:pPr>
          </w:p>
        </w:tc>
        <w:tc>
          <w:tcPr>
            <w:tcW w:w="820" w:type="dxa"/>
            <w:vAlign w:val="bottom"/>
            <w:shd w:val="clear" w:color="auto" w:fill="EAEBF1"/>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shd w:val="clear" w:color="auto" w:fill="3C2390"/>
          </w:tcPr>
          <w:p>
            <w:pPr>
              <w:spacing w:after="0"/>
              <w:rPr>
                <w:sz w:val="3"/>
                <w:szCs w:val="3"/>
                <w:color w:val="auto"/>
              </w:rPr>
            </w:pPr>
          </w:p>
        </w:tc>
        <w:tc>
          <w:tcPr>
            <w:tcW w:w="620" w:type="dxa"/>
            <w:vAlign w:val="bottom"/>
            <w:shd w:val="clear" w:color="auto" w:fill="3C2390"/>
          </w:tcPr>
          <w:p>
            <w:pPr>
              <w:spacing w:after="0"/>
              <w:rPr>
                <w:sz w:val="3"/>
                <w:szCs w:val="3"/>
                <w:color w:val="auto"/>
              </w:rPr>
            </w:pPr>
          </w:p>
        </w:tc>
        <w:tc>
          <w:tcPr>
            <w:tcW w:w="780" w:type="dxa"/>
            <w:vAlign w:val="bottom"/>
            <w:tcBorders>
              <w:right w:val="single" w:sz="8" w:color="EFEEED"/>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2"/>
        </w:trPr>
        <w:tc>
          <w:tcPr>
            <w:tcW w:w="660" w:type="dxa"/>
            <w:vAlign w:val="bottom"/>
            <w:tcBorders>
              <w:left w:val="single" w:sz="8" w:color="EFEEED"/>
            </w:tcBorders>
          </w:tcPr>
          <w:p>
            <w:pPr>
              <w:spacing w:after="0"/>
              <w:rPr>
                <w:sz w:val="24"/>
                <w:szCs w:val="24"/>
                <w:color w:val="auto"/>
              </w:rPr>
            </w:pPr>
          </w:p>
        </w:tc>
        <w:tc>
          <w:tcPr>
            <w:tcW w:w="800" w:type="dxa"/>
            <w:vAlign w:val="bottom"/>
            <w:shd w:val="clear" w:color="auto" w:fill="EAEBF1"/>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shd w:val="clear" w:color="auto" w:fill="EAEBF1"/>
          </w:tcPr>
          <w:p>
            <w:pPr>
              <w:jc w:val="right"/>
              <w:ind w:right="20"/>
              <w:spacing w:after="0"/>
              <w:rPr>
                <w:sz w:val="20"/>
                <w:szCs w:val="20"/>
                <w:color w:val="auto"/>
              </w:rPr>
            </w:pPr>
            <w:r>
              <w:rPr>
                <w:rFonts w:ascii="Times New Roman" w:cs="Times New Roman" w:eastAsia="Times New Roman" w:hAnsi="Times New Roman"/>
                <w:sz w:val="24"/>
                <w:szCs w:val="24"/>
                <w:color w:val="auto"/>
              </w:rPr>
              <w:t>$40.6</w:t>
            </w: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shd w:val="clear" w:color="auto" w:fill="EAEBF1"/>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shd w:val="clear" w:color="auto" w:fill="3C2390"/>
          </w:tcPr>
          <w:p>
            <w:pPr>
              <w:spacing w:after="0"/>
              <w:rPr>
                <w:sz w:val="24"/>
                <w:szCs w:val="24"/>
                <w:color w:val="auto"/>
              </w:rPr>
            </w:pPr>
          </w:p>
        </w:tc>
        <w:tc>
          <w:tcPr>
            <w:tcW w:w="620" w:type="dxa"/>
            <w:vAlign w:val="bottom"/>
            <w:shd w:val="clear" w:color="auto" w:fill="3C2390"/>
          </w:tcPr>
          <w:p>
            <w:pPr>
              <w:spacing w:after="0"/>
              <w:rPr>
                <w:sz w:val="24"/>
                <w:szCs w:val="24"/>
                <w:color w:val="auto"/>
              </w:rPr>
            </w:pPr>
          </w:p>
        </w:tc>
        <w:tc>
          <w:tcPr>
            <w:tcW w:w="780" w:type="dxa"/>
            <w:vAlign w:val="bottom"/>
            <w:tcBorders>
              <w:right w:val="single" w:sz="8" w:color="EFEEED"/>
            </w:tcBorders>
          </w:tcPr>
          <w:p>
            <w:pPr>
              <w:spacing w:after="0"/>
              <w:rPr>
                <w:sz w:val="24"/>
                <w:szCs w:val="24"/>
                <w:color w:val="auto"/>
              </w:rPr>
            </w:pPr>
          </w:p>
        </w:tc>
        <w:tc>
          <w:tcPr>
            <w:tcW w:w="0" w:type="dxa"/>
            <w:vAlign w:val="bottom"/>
          </w:tcPr>
          <w:p>
            <w:pPr>
              <w:spacing w:after="0"/>
              <w:rPr>
                <w:sz w:val="1"/>
                <w:szCs w:val="1"/>
                <w:color w:val="auto"/>
              </w:rPr>
            </w:pPr>
          </w:p>
        </w:tc>
      </w:tr>
      <w:tr>
        <w:trPr>
          <w:trHeight w:val="766"/>
        </w:trPr>
        <w:tc>
          <w:tcPr>
            <w:tcW w:w="660" w:type="dxa"/>
            <w:vAlign w:val="bottom"/>
            <w:tcBorders>
              <w:left w:val="single" w:sz="8" w:color="EFEEED"/>
            </w:tcBorders>
          </w:tcPr>
          <w:p>
            <w:pPr>
              <w:spacing w:after="0"/>
              <w:rPr>
                <w:sz w:val="24"/>
                <w:szCs w:val="24"/>
                <w:color w:val="auto"/>
              </w:rPr>
            </w:pPr>
          </w:p>
        </w:tc>
        <w:tc>
          <w:tcPr>
            <w:tcW w:w="800" w:type="dxa"/>
            <w:vAlign w:val="bottom"/>
            <w:shd w:val="clear" w:color="auto" w:fill="EAEBF1"/>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shd w:val="clear" w:color="auto" w:fill="EAEBF1"/>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shd w:val="clear" w:color="auto" w:fill="3C2390"/>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shd w:val="clear" w:color="auto" w:fill="EAEBF1"/>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shd w:val="clear" w:color="auto" w:fill="3C2390"/>
          </w:tcPr>
          <w:p>
            <w:pPr>
              <w:spacing w:after="0"/>
              <w:rPr>
                <w:sz w:val="24"/>
                <w:szCs w:val="24"/>
                <w:color w:val="auto"/>
              </w:rPr>
            </w:pPr>
          </w:p>
        </w:tc>
        <w:tc>
          <w:tcPr>
            <w:tcW w:w="620" w:type="dxa"/>
            <w:vAlign w:val="bottom"/>
            <w:shd w:val="clear" w:color="auto" w:fill="3C2390"/>
          </w:tcPr>
          <w:p>
            <w:pPr>
              <w:spacing w:after="0"/>
              <w:rPr>
                <w:sz w:val="24"/>
                <w:szCs w:val="24"/>
                <w:color w:val="auto"/>
              </w:rPr>
            </w:pPr>
          </w:p>
        </w:tc>
        <w:tc>
          <w:tcPr>
            <w:tcW w:w="780" w:type="dxa"/>
            <w:vAlign w:val="bottom"/>
            <w:tcBorders>
              <w:right w:val="single" w:sz="8" w:color="EFEEED"/>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460" w:type="dxa"/>
            <w:vAlign w:val="bottom"/>
            <w:tcBorders>
              <w:left w:val="single" w:sz="8" w:color="EFEEED"/>
            </w:tcBorders>
            <w:gridSpan w:val="2"/>
          </w:tcPr>
          <w:p>
            <w:pPr>
              <w:jc w:val="center"/>
              <w:ind w:left="557"/>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3"/>
                <w:szCs w:val="23"/>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3C2390"/>
              </w:rPr>
              <w:t>2022</w:t>
            </w:r>
          </w:p>
        </w:tc>
        <w:tc>
          <w:tcPr>
            <w:tcW w:w="2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3C2390"/>
                <w:w w:val="99"/>
              </w:rPr>
              <w:t>2022</w:t>
            </w:r>
          </w:p>
        </w:tc>
        <w:tc>
          <w:tcPr>
            <w:tcW w:w="1880" w:type="dxa"/>
            <w:vAlign w:val="bottom"/>
          </w:tcPr>
          <w:p>
            <w:pPr>
              <w:spacing w:after="0"/>
              <w:rPr>
                <w:sz w:val="23"/>
                <w:szCs w:val="23"/>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3C2390"/>
                <w:w w:val="99"/>
              </w:rPr>
              <w:t>2022</w:t>
            </w:r>
          </w:p>
        </w:tc>
        <w:tc>
          <w:tcPr>
            <w:tcW w:w="780" w:type="dxa"/>
            <w:vAlign w:val="bottom"/>
            <w:tcBorders>
              <w:right w:val="single" w:sz="8" w:color="EFEEED"/>
            </w:tcBorders>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660" w:type="dxa"/>
            <w:vAlign w:val="bottom"/>
            <w:tcBorders>
              <w:left w:val="single" w:sz="8" w:color="EFEEED"/>
              <w:bottom w:val="single" w:sz="8" w:color="EFEEED"/>
            </w:tcBorders>
          </w:tcPr>
          <w:p>
            <w:pPr>
              <w:spacing w:after="0"/>
              <w:rPr>
                <w:sz w:val="24"/>
                <w:szCs w:val="24"/>
                <w:color w:val="auto"/>
              </w:rPr>
            </w:pPr>
          </w:p>
        </w:tc>
        <w:tc>
          <w:tcPr>
            <w:tcW w:w="800" w:type="dxa"/>
            <w:vAlign w:val="bottom"/>
            <w:tcBorders>
              <w:bottom w:val="single" w:sz="8" w:color="EFEEED"/>
            </w:tcBorders>
          </w:tcPr>
          <w:p>
            <w:pPr>
              <w:spacing w:after="0"/>
              <w:rPr>
                <w:sz w:val="24"/>
                <w:szCs w:val="24"/>
                <w:color w:val="auto"/>
              </w:rPr>
            </w:pPr>
          </w:p>
        </w:tc>
        <w:tc>
          <w:tcPr>
            <w:tcW w:w="100" w:type="dxa"/>
            <w:vAlign w:val="bottom"/>
            <w:tcBorders>
              <w:bottom w:val="single" w:sz="8" w:color="EFEEED"/>
            </w:tcBorders>
          </w:tcPr>
          <w:p>
            <w:pPr>
              <w:spacing w:after="0"/>
              <w:rPr>
                <w:sz w:val="24"/>
                <w:szCs w:val="24"/>
                <w:color w:val="auto"/>
              </w:rPr>
            </w:pPr>
          </w:p>
        </w:tc>
        <w:tc>
          <w:tcPr>
            <w:tcW w:w="800" w:type="dxa"/>
            <w:vAlign w:val="bottom"/>
            <w:tcBorders>
              <w:bottom w:val="single" w:sz="8" w:color="EFEEED"/>
            </w:tcBorders>
          </w:tcPr>
          <w:p>
            <w:pPr>
              <w:spacing w:after="0"/>
              <w:rPr>
                <w:sz w:val="24"/>
                <w:szCs w:val="24"/>
                <w:color w:val="auto"/>
              </w:rPr>
            </w:pPr>
          </w:p>
        </w:tc>
        <w:tc>
          <w:tcPr>
            <w:tcW w:w="1780" w:type="dxa"/>
            <w:vAlign w:val="bottom"/>
            <w:tcBorders>
              <w:bottom w:val="single" w:sz="8" w:color="EFEEED"/>
            </w:tcBorders>
          </w:tcPr>
          <w:p>
            <w:pPr>
              <w:spacing w:after="0"/>
              <w:rPr>
                <w:sz w:val="24"/>
                <w:szCs w:val="24"/>
                <w:color w:val="auto"/>
              </w:rPr>
            </w:pPr>
          </w:p>
        </w:tc>
        <w:tc>
          <w:tcPr>
            <w:tcW w:w="820" w:type="dxa"/>
            <w:vAlign w:val="bottom"/>
            <w:tcBorders>
              <w:bottom w:val="single" w:sz="8" w:color="EFEEED"/>
            </w:tcBorders>
          </w:tcPr>
          <w:p>
            <w:pPr>
              <w:spacing w:after="0"/>
              <w:rPr>
                <w:sz w:val="24"/>
                <w:szCs w:val="24"/>
                <w:color w:val="auto"/>
              </w:rPr>
            </w:pPr>
          </w:p>
        </w:tc>
        <w:tc>
          <w:tcPr>
            <w:tcW w:w="100" w:type="dxa"/>
            <w:vAlign w:val="bottom"/>
            <w:tcBorders>
              <w:bottom w:val="single" w:sz="8" w:color="EFEEED"/>
            </w:tcBorders>
          </w:tcPr>
          <w:p>
            <w:pPr>
              <w:spacing w:after="0"/>
              <w:rPr>
                <w:sz w:val="24"/>
                <w:szCs w:val="24"/>
                <w:color w:val="auto"/>
              </w:rPr>
            </w:pPr>
          </w:p>
        </w:tc>
        <w:tc>
          <w:tcPr>
            <w:tcW w:w="800" w:type="dxa"/>
            <w:vAlign w:val="bottom"/>
            <w:tcBorders>
              <w:bottom w:val="single" w:sz="8" w:color="EFEEED"/>
            </w:tcBorders>
          </w:tcPr>
          <w:p>
            <w:pPr>
              <w:spacing w:after="0"/>
              <w:rPr>
                <w:sz w:val="24"/>
                <w:szCs w:val="24"/>
                <w:color w:val="auto"/>
              </w:rPr>
            </w:pPr>
          </w:p>
        </w:tc>
        <w:tc>
          <w:tcPr>
            <w:tcW w:w="1880" w:type="dxa"/>
            <w:vAlign w:val="bottom"/>
            <w:tcBorders>
              <w:bottom w:val="single" w:sz="8" w:color="EFEEED"/>
            </w:tcBorders>
          </w:tcPr>
          <w:p>
            <w:pPr>
              <w:spacing w:after="0"/>
              <w:rPr>
                <w:sz w:val="24"/>
                <w:szCs w:val="24"/>
                <w:color w:val="auto"/>
              </w:rPr>
            </w:pPr>
          </w:p>
        </w:tc>
        <w:tc>
          <w:tcPr>
            <w:tcW w:w="820" w:type="dxa"/>
            <w:vAlign w:val="bottom"/>
            <w:tcBorders>
              <w:bottom w:val="single" w:sz="8" w:color="EFEEED"/>
            </w:tcBorders>
          </w:tcPr>
          <w:p>
            <w:pPr>
              <w:spacing w:after="0"/>
              <w:rPr>
                <w:sz w:val="24"/>
                <w:szCs w:val="24"/>
                <w:color w:val="auto"/>
              </w:rPr>
            </w:pPr>
          </w:p>
        </w:tc>
        <w:tc>
          <w:tcPr>
            <w:tcW w:w="80" w:type="dxa"/>
            <w:vAlign w:val="bottom"/>
            <w:tcBorders>
              <w:bottom w:val="single" w:sz="8" w:color="EFEEED"/>
            </w:tcBorders>
          </w:tcPr>
          <w:p>
            <w:pPr>
              <w:spacing w:after="0"/>
              <w:rPr>
                <w:sz w:val="24"/>
                <w:szCs w:val="24"/>
                <w:color w:val="auto"/>
              </w:rPr>
            </w:pPr>
          </w:p>
        </w:tc>
        <w:tc>
          <w:tcPr>
            <w:tcW w:w="200" w:type="dxa"/>
            <w:vAlign w:val="bottom"/>
            <w:tcBorders>
              <w:bottom w:val="single" w:sz="8" w:color="EFEEED"/>
            </w:tcBorders>
          </w:tcPr>
          <w:p>
            <w:pPr>
              <w:spacing w:after="0"/>
              <w:rPr>
                <w:sz w:val="24"/>
                <w:szCs w:val="24"/>
                <w:color w:val="auto"/>
              </w:rPr>
            </w:pPr>
          </w:p>
        </w:tc>
        <w:tc>
          <w:tcPr>
            <w:tcW w:w="620" w:type="dxa"/>
            <w:vAlign w:val="bottom"/>
            <w:tcBorders>
              <w:bottom w:val="single" w:sz="8" w:color="EFEEED"/>
            </w:tcBorders>
          </w:tcPr>
          <w:p>
            <w:pPr>
              <w:spacing w:after="0"/>
              <w:rPr>
                <w:sz w:val="24"/>
                <w:szCs w:val="24"/>
                <w:color w:val="auto"/>
              </w:rPr>
            </w:pPr>
          </w:p>
        </w:tc>
        <w:tc>
          <w:tcPr>
            <w:tcW w:w="780" w:type="dxa"/>
            <w:vAlign w:val="bottom"/>
            <w:tcBorders>
              <w:bottom w:val="single" w:sz="8" w:color="EFEEED"/>
              <w:right w:val="single" w:sz="8" w:color="EFEEED"/>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-220345</wp:posOffset>
                </wp:positionH>
                <wp:positionV relativeFrom="paragraph">
                  <wp:posOffset>304800</wp:posOffset>
                </wp:positionV>
                <wp:extent cx="7771130" cy="3810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1130" cy="381000"/>
                        </a:xfrm>
                        <a:prstGeom prst="rect">
                          <a:avLst/>
                        </a:prstGeom>
                        <a:solidFill>
                          <a:srgbClr val="3B2390"/>
                        </a:solidFill>
                      </wps:spPr>
                      <wps:bodyPr/>
                    </wps:wsp>
                  </a:graphicData>
                </a:graphic>
              </wp:anchor>
            </w:drawing>
          </mc:Choice>
          <mc:Fallback>
            <w:pict>
              <v:rect id="Shape 19" o:spid="_x0000_s1044" style="position:absolute;margin-left:-17.3499pt;margin-top:24pt;width:611.9pt;height:3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B2390" stroked="f"/>
            </w:pict>
          </mc:Fallback>
        </mc:AlternateContent>
      </w:r>
    </w:p>
    <w:p>
      <w:pPr>
        <w:sectPr>
          <w:pgSz w:w="12240" w:h="15839" w:orient="portrait"/>
          <w:cols w:equalWidth="0" w:num="1">
            <w:col w:w="10852"/>
          </w:cols>
          <w:pgMar w:left="348" w:top="1226" w:right="1039" w:bottom="0" w:gutter="0" w:footer="0" w:header="0"/>
        </w:sectPr>
      </w:pPr>
    </w:p>
    <w:p>
      <w:pPr>
        <w:spacing w:after="0" w:line="200" w:lineRule="exact"/>
        <w:rPr>
          <w:sz w:val="20"/>
          <w:szCs w:val="20"/>
          <w:color w:val="auto"/>
        </w:rPr>
      </w:pPr>
    </w:p>
    <w:p>
      <w:pPr>
        <w:spacing w:after="0" w:line="375" w:lineRule="exact"/>
        <w:rPr>
          <w:sz w:val="20"/>
          <w:szCs w:val="20"/>
          <w:color w:val="auto"/>
        </w:rPr>
      </w:pPr>
    </w:p>
    <w:p>
      <w:pPr>
        <w:ind w:left="672" w:hanging="672"/>
        <w:spacing w:after="0"/>
        <w:tabs>
          <w:tab w:leader="none" w:pos="672" w:val="left"/>
        </w:tabs>
        <w:numPr>
          <w:ilvl w:val="0"/>
          <w:numId w:val="1"/>
        </w:numPr>
        <w:rPr>
          <w:rFonts w:ascii="Times New Roman" w:cs="Times New Roman" w:eastAsia="Times New Roman" w:hAnsi="Times New Roman"/>
          <w:sz w:val="16"/>
          <w:szCs w:val="16"/>
          <w:b w:val="1"/>
          <w:bCs w:val="1"/>
          <w:color w:val="FFFFFF"/>
        </w:rPr>
      </w:pPr>
      <w:r>
        <w:rPr>
          <w:rFonts w:ascii="Times New Roman" w:cs="Times New Roman" w:eastAsia="Times New Roman" w:hAnsi="Times New Roman"/>
          <w:sz w:val="14"/>
          <w:szCs w:val="14"/>
          <w:color w:val="FFFFFF"/>
        </w:rPr>
        <w:t>OPAL FUELS</w:t>
      </w:r>
    </w:p>
    <w:p>
      <w:pPr>
        <w:sectPr>
          <w:pgSz w:w="12240" w:h="15839" w:orient="portrait"/>
          <w:cols w:equalWidth="0" w:num="1">
            <w:col w:w="10852"/>
          </w:cols>
          <w:pgMar w:left="348" w:top="1226" w:right="1039"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1765" cy="9144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7771765" cy="914400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FFFFFF"/>
        </w:rPr>
        <w:t>Vertically Integrated. Uniquely Qualified. Net-Zero Now.</w:t>
      </w:r>
    </w:p>
    <w:p>
      <w:pPr>
        <w:spacing w:after="0" w:line="312" w:lineRule="exact"/>
        <w:rPr>
          <w:sz w:val="20"/>
          <w:szCs w:val="20"/>
          <w:color w:val="auto"/>
        </w:rPr>
      </w:pPr>
    </w:p>
    <w:p>
      <w:pPr>
        <w:ind w:right="2080"/>
        <w:spacing w:after="0" w:line="275" w:lineRule="auto"/>
        <w:rPr>
          <w:sz w:val="20"/>
          <w:szCs w:val="20"/>
          <w:color w:val="auto"/>
        </w:rPr>
      </w:pPr>
      <w:r>
        <w:rPr>
          <w:rFonts w:ascii="Times New Roman" w:cs="Times New Roman" w:eastAsia="Times New Roman" w:hAnsi="Times New Roman"/>
          <w:sz w:val="26"/>
          <w:szCs w:val="26"/>
          <w:color w:val="FFFFFF"/>
        </w:rPr>
        <w:t>OPAL Fuels’ vertically integrated platform is a powerful model that delivers renewable low-carbon RNG to the marketplace. It combines production with the marketing and distribution of RNG, offering a scalable, low-cost solution to decarbonize heavy-duty transportation and other industrial markets.</w:t>
      </w:r>
    </w:p>
    <w:p>
      <w:pPr>
        <w:spacing w:after="0" w:line="130" w:lineRule="exact"/>
        <w:rPr>
          <w:sz w:val="20"/>
          <w:szCs w:val="20"/>
          <w:color w:val="auto"/>
        </w:rPr>
      </w:pPr>
    </w:p>
    <w:p>
      <w:pPr>
        <w:ind w:right="2060"/>
        <w:spacing w:after="0" w:line="271" w:lineRule="auto"/>
        <w:rPr>
          <w:sz w:val="20"/>
          <w:szCs w:val="20"/>
          <w:color w:val="auto"/>
        </w:rPr>
      </w:pPr>
      <w:r>
        <w:rPr>
          <w:rFonts w:ascii="Times New Roman" w:cs="Times New Roman" w:eastAsia="Times New Roman" w:hAnsi="Times New Roman"/>
          <w:sz w:val="26"/>
          <w:szCs w:val="26"/>
          <w:color w:val="FFFFFF"/>
        </w:rPr>
        <w:t>Our team is led by a deep collection of industry experts in the energy and transportation markets. We continue to execute on our strategic and operational priorities, driving results for our stakeholders, maximizing the value of RNG resources for our feedstock hosts and partners, providing reliable, cost-effective decarbonization solutions for our customers, and delivering superior returns on invested capital for our investors.</w:t>
      </w:r>
    </w:p>
    <w:p>
      <w:pPr>
        <w:spacing w:after="0" w:line="134" w:lineRule="exact"/>
        <w:rPr>
          <w:sz w:val="20"/>
          <w:szCs w:val="20"/>
          <w:color w:val="auto"/>
        </w:rPr>
      </w:pPr>
    </w:p>
    <w:p>
      <w:pPr>
        <w:ind w:right="2260"/>
        <w:spacing w:after="0" w:line="281" w:lineRule="auto"/>
        <w:rPr>
          <w:sz w:val="20"/>
          <w:szCs w:val="20"/>
          <w:color w:val="auto"/>
        </w:rPr>
      </w:pPr>
      <w:r>
        <w:rPr>
          <w:rFonts w:ascii="Times New Roman" w:cs="Times New Roman" w:eastAsia="Times New Roman" w:hAnsi="Times New Roman"/>
          <w:sz w:val="26"/>
          <w:szCs w:val="26"/>
          <w:color w:val="FFFFFF"/>
        </w:rPr>
        <w:t>We help our customers and partners achieve their sustainability goals at no additional cost. From RNG production projects to providing transportation solutions every day – our customers and stakeholders can get to net-zero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3C2490"/>
        </w:rPr>
        <w:t>OPAL Fuels by-the-numbers:</w:t>
      </w:r>
    </w:p>
    <w:p>
      <w:pPr>
        <w:spacing w:after="0" w:line="200" w:lineRule="exact"/>
        <w:rPr>
          <w:sz w:val="20"/>
          <w:szCs w:val="20"/>
          <w:color w:val="auto"/>
        </w:rPr>
      </w:pPr>
    </w:p>
    <w:p>
      <w:pPr>
        <w:spacing w:after="0" w:line="393" w:lineRule="exact"/>
        <w:rPr>
          <w:sz w:val="20"/>
          <w:szCs w:val="20"/>
          <w:color w:val="auto"/>
        </w:rPr>
      </w:pPr>
    </w:p>
    <w:tbl>
      <w:tblPr>
        <w:tblLayout w:type="fixed"/>
        <w:tblInd w:w="500" w:type="dxa"/>
        <w:tblCellMar>
          <w:top w:w="0" w:type="dxa"/>
          <w:left w:w="0" w:type="dxa"/>
          <w:bottom w:w="0" w:type="dxa"/>
          <w:right w:w="0" w:type="dxa"/>
        </w:tblCellMar>
      </w:tblPr>
      <w:tr>
        <w:trPr>
          <w:trHeight w:val="800"/>
        </w:trPr>
        <w:tc>
          <w:tcPr>
            <w:tcW w:w="4940" w:type="dxa"/>
            <w:vAlign w:val="bottom"/>
          </w:tcPr>
          <w:p>
            <w:pPr>
              <w:jc w:val="center"/>
              <w:ind w:right="1055"/>
              <w:spacing w:after="0"/>
              <w:rPr>
                <w:sz w:val="20"/>
                <w:szCs w:val="20"/>
                <w:color w:val="auto"/>
              </w:rPr>
            </w:pPr>
            <w:r>
              <w:rPr>
                <w:rFonts w:ascii="Times New Roman" w:cs="Times New Roman" w:eastAsia="Times New Roman" w:hAnsi="Times New Roman"/>
                <w:sz w:val="60"/>
                <w:szCs w:val="60"/>
                <w:b w:val="1"/>
                <w:bCs w:val="1"/>
                <w:color w:val="3C2490"/>
                <w:w w:val="98"/>
              </w:rPr>
              <w:t xml:space="preserve">8.6 </w:t>
            </w:r>
            <w:r>
              <w:rPr>
                <w:rFonts w:ascii="Times New Roman" w:cs="Times New Roman" w:eastAsia="Times New Roman" w:hAnsi="Times New Roman"/>
                <w:sz w:val="36"/>
                <w:szCs w:val="36"/>
                <w:b w:val="1"/>
                <w:bCs w:val="1"/>
                <w:color w:val="3C2490"/>
                <w:w w:val="98"/>
              </w:rPr>
              <w:t>million</w:t>
            </w:r>
          </w:p>
        </w:tc>
        <w:tc>
          <w:tcPr>
            <w:tcW w:w="3700" w:type="dxa"/>
            <w:vAlign w:val="bottom"/>
          </w:tcPr>
          <w:p>
            <w:pPr>
              <w:jc w:val="right"/>
              <w:ind w:right="400"/>
              <w:spacing w:after="0"/>
              <w:rPr>
                <w:sz w:val="20"/>
                <w:szCs w:val="20"/>
                <w:color w:val="auto"/>
              </w:rPr>
            </w:pPr>
            <w:r>
              <w:rPr>
                <w:rFonts w:ascii="Times New Roman" w:cs="Times New Roman" w:eastAsia="Times New Roman" w:hAnsi="Times New Roman"/>
                <w:sz w:val="60"/>
                <w:szCs w:val="60"/>
                <w:b w:val="1"/>
                <w:bCs w:val="1"/>
                <w:color w:val="3C2490"/>
              </w:rPr>
              <w:t>350+</w:t>
            </w:r>
          </w:p>
        </w:tc>
      </w:tr>
      <w:tr>
        <w:trPr>
          <w:trHeight w:val="323"/>
        </w:trPr>
        <w:tc>
          <w:tcPr>
            <w:tcW w:w="4940" w:type="dxa"/>
            <w:vAlign w:val="bottom"/>
          </w:tcPr>
          <w:p>
            <w:pPr>
              <w:jc w:val="center"/>
              <w:ind w:right="1055"/>
              <w:spacing w:after="0"/>
              <w:rPr>
                <w:sz w:val="20"/>
                <w:szCs w:val="20"/>
                <w:color w:val="auto"/>
              </w:rPr>
            </w:pPr>
            <w:r>
              <w:rPr>
                <w:rFonts w:ascii="Times New Roman" w:cs="Times New Roman" w:eastAsia="Times New Roman" w:hAnsi="Times New Roman"/>
                <w:sz w:val="24"/>
                <w:szCs w:val="24"/>
                <w:color w:val="auto"/>
                <w:w w:val="99"/>
              </w:rPr>
              <w:t>Design capacity of MMBtu from RNG</w:t>
            </w:r>
          </w:p>
        </w:tc>
        <w:tc>
          <w:tcPr>
            <w:tcW w:w="3700" w:type="dxa"/>
            <w:vAlign w:val="bottom"/>
          </w:tcPr>
          <w:p>
            <w:pPr>
              <w:jc w:val="center"/>
              <w:ind w:left="1040"/>
              <w:spacing w:after="0"/>
              <w:rPr>
                <w:sz w:val="20"/>
                <w:szCs w:val="20"/>
                <w:color w:val="auto"/>
              </w:rPr>
            </w:pPr>
            <w:r>
              <w:rPr>
                <w:rFonts w:ascii="Times New Roman" w:cs="Times New Roman" w:eastAsia="Times New Roman" w:hAnsi="Times New Roman"/>
                <w:sz w:val="24"/>
                <w:szCs w:val="24"/>
                <w:color w:val="auto"/>
                <w:w w:val="99"/>
              </w:rPr>
              <w:t>Completed fueling station</w:t>
            </w:r>
          </w:p>
        </w:tc>
      </w:tr>
      <w:tr>
        <w:trPr>
          <w:trHeight w:val="320"/>
        </w:trPr>
        <w:tc>
          <w:tcPr>
            <w:tcW w:w="4940" w:type="dxa"/>
            <w:vAlign w:val="bottom"/>
          </w:tcPr>
          <w:p>
            <w:pPr>
              <w:jc w:val="center"/>
              <w:ind w:right="1055"/>
              <w:spacing w:after="0"/>
              <w:rPr>
                <w:sz w:val="20"/>
                <w:szCs w:val="20"/>
                <w:color w:val="auto"/>
              </w:rPr>
            </w:pPr>
            <w:r>
              <w:rPr>
                <w:rFonts w:ascii="Times New Roman" w:cs="Times New Roman" w:eastAsia="Times New Roman" w:hAnsi="Times New Roman"/>
                <w:sz w:val="24"/>
                <w:szCs w:val="24"/>
                <w:color w:val="auto"/>
                <w:w w:val="99"/>
              </w:rPr>
              <w:t>projects in operation and construction.</w:t>
            </w:r>
          </w:p>
        </w:tc>
        <w:tc>
          <w:tcPr>
            <w:tcW w:w="3700" w:type="dxa"/>
            <w:vAlign w:val="bottom"/>
          </w:tcPr>
          <w:p>
            <w:pPr>
              <w:jc w:val="center"/>
              <w:ind w:left="1040"/>
              <w:spacing w:after="0"/>
              <w:rPr>
                <w:sz w:val="20"/>
                <w:szCs w:val="20"/>
                <w:color w:val="auto"/>
              </w:rPr>
            </w:pPr>
            <w:r>
              <w:rPr>
                <w:rFonts w:ascii="Times New Roman" w:cs="Times New Roman" w:eastAsia="Times New Roman" w:hAnsi="Times New Roman"/>
                <w:sz w:val="24"/>
                <w:szCs w:val="24"/>
                <w:color w:val="auto"/>
              </w:rPr>
              <w:t>projects nationwide.</w:t>
            </w:r>
          </w:p>
        </w:tc>
      </w:tr>
      <w:tr>
        <w:trPr>
          <w:trHeight w:val="320"/>
        </w:trPr>
        <w:tc>
          <w:tcPr>
            <w:tcW w:w="4940" w:type="dxa"/>
            <w:vAlign w:val="bottom"/>
          </w:tcPr>
          <w:p>
            <w:pPr>
              <w:jc w:val="center"/>
              <w:ind w:right="1055"/>
              <w:spacing w:after="0"/>
              <w:rPr>
                <w:sz w:val="20"/>
                <w:szCs w:val="20"/>
                <w:color w:val="auto"/>
              </w:rPr>
            </w:pPr>
            <w:r>
              <w:rPr>
                <w:rFonts w:ascii="Times New Roman" w:cs="Times New Roman" w:eastAsia="Times New Roman" w:hAnsi="Times New Roman"/>
                <w:sz w:val="24"/>
                <w:szCs w:val="24"/>
                <w:color w:val="auto"/>
              </w:rPr>
              <w:t>(Excludes joint venture partner shares)</w:t>
            </w:r>
          </w:p>
        </w:tc>
        <w:tc>
          <w:tcPr>
            <w:tcW w:w="3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500" w:type="dxa"/>
        <w:tblCellMar>
          <w:top w:w="0" w:type="dxa"/>
          <w:left w:w="0" w:type="dxa"/>
          <w:bottom w:w="0" w:type="dxa"/>
          <w:right w:w="0" w:type="dxa"/>
        </w:tblCellMar>
      </w:tblPr>
      <w:tr>
        <w:trPr>
          <w:trHeight w:val="767"/>
        </w:trPr>
        <w:tc>
          <w:tcPr>
            <w:tcW w:w="4540" w:type="dxa"/>
            <w:vAlign w:val="bottom"/>
          </w:tcPr>
          <w:p>
            <w:pPr>
              <w:jc w:val="center"/>
              <w:ind w:right="664"/>
              <w:spacing w:after="0"/>
              <w:rPr>
                <w:sz w:val="20"/>
                <w:szCs w:val="20"/>
                <w:color w:val="auto"/>
              </w:rPr>
            </w:pPr>
            <w:r>
              <w:rPr>
                <w:rFonts w:ascii="Times New Roman" w:cs="Times New Roman" w:eastAsia="Times New Roman" w:hAnsi="Times New Roman"/>
                <w:sz w:val="60"/>
                <w:szCs w:val="60"/>
                <w:b w:val="1"/>
                <w:bCs w:val="1"/>
                <w:color w:val="3C2490"/>
                <w:w w:val="99"/>
              </w:rPr>
              <w:t>300+</w:t>
            </w:r>
          </w:p>
        </w:tc>
        <w:tc>
          <w:tcPr>
            <w:tcW w:w="4880" w:type="dxa"/>
            <w:vAlign w:val="bottom"/>
          </w:tcPr>
          <w:p>
            <w:pPr>
              <w:jc w:val="right"/>
              <w:ind w:right="1355"/>
              <w:spacing w:after="0"/>
              <w:rPr>
                <w:sz w:val="20"/>
                <w:szCs w:val="20"/>
                <w:color w:val="auto"/>
              </w:rPr>
            </w:pPr>
            <w:r>
              <w:rPr>
                <w:rFonts w:ascii="Times New Roman" w:cs="Times New Roman" w:eastAsia="Times New Roman" w:hAnsi="Times New Roman"/>
                <w:sz w:val="60"/>
                <w:szCs w:val="60"/>
                <w:b w:val="1"/>
                <w:bCs w:val="1"/>
                <w:color w:val="3C2490"/>
              </w:rPr>
              <w:t>20+</w:t>
            </w:r>
          </w:p>
        </w:tc>
      </w:tr>
      <w:tr>
        <w:trPr>
          <w:trHeight w:val="314"/>
        </w:trPr>
        <w:tc>
          <w:tcPr>
            <w:tcW w:w="4540" w:type="dxa"/>
            <w:vAlign w:val="bottom"/>
          </w:tcPr>
          <w:p>
            <w:pPr>
              <w:jc w:val="center"/>
              <w:ind w:right="664"/>
              <w:spacing w:after="0"/>
              <w:rPr>
                <w:sz w:val="20"/>
                <w:szCs w:val="20"/>
                <w:color w:val="auto"/>
              </w:rPr>
            </w:pPr>
            <w:r>
              <w:rPr>
                <w:rFonts w:ascii="Times New Roman" w:cs="Times New Roman" w:eastAsia="Times New Roman" w:hAnsi="Times New Roman"/>
                <w:sz w:val="24"/>
                <w:szCs w:val="24"/>
                <w:color w:val="auto"/>
                <w:w w:val="99"/>
              </w:rPr>
              <w:t>Personnel nationwide leading</w:t>
            </w:r>
          </w:p>
        </w:tc>
        <w:tc>
          <w:tcPr>
            <w:tcW w:w="4880" w:type="dxa"/>
            <w:vAlign w:val="bottom"/>
          </w:tcPr>
          <w:p>
            <w:pPr>
              <w:jc w:val="center"/>
              <w:ind w:left="675"/>
              <w:spacing w:after="0"/>
              <w:rPr>
                <w:sz w:val="20"/>
                <w:szCs w:val="20"/>
                <w:color w:val="auto"/>
              </w:rPr>
            </w:pPr>
            <w:r>
              <w:rPr>
                <w:rFonts w:ascii="Times New Roman" w:cs="Times New Roman" w:eastAsia="Times New Roman" w:hAnsi="Times New Roman"/>
                <w:sz w:val="24"/>
                <w:szCs w:val="24"/>
                <w:color w:val="auto"/>
                <w:w w:val="99"/>
              </w:rPr>
              <w:t>Years of company experience with a high-</w:t>
            </w:r>
          </w:p>
        </w:tc>
      </w:tr>
      <w:tr>
        <w:trPr>
          <w:trHeight w:val="320"/>
        </w:trPr>
        <w:tc>
          <w:tcPr>
            <w:tcW w:w="4540" w:type="dxa"/>
            <w:vAlign w:val="bottom"/>
          </w:tcPr>
          <w:p>
            <w:pPr>
              <w:jc w:val="center"/>
              <w:ind w:right="664"/>
              <w:spacing w:after="0"/>
              <w:rPr>
                <w:sz w:val="20"/>
                <w:szCs w:val="20"/>
                <w:color w:val="auto"/>
              </w:rPr>
            </w:pPr>
            <w:r>
              <w:rPr>
                <w:rFonts w:ascii="Times New Roman" w:cs="Times New Roman" w:eastAsia="Times New Roman" w:hAnsi="Times New Roman"/>
                <w:sz w:val="24"/>
                <w:szCs w:val="24"/>
                <w:color w:val="auto"/>
                <w:w w:val="99"/>
              </w:rPr>
              <w:t>development, construction, operations,</w:t>
            </w:r>
          </w:p>
        </w:tc>
        <w:tc>
          <w:tcPr>
            <w:tcW w:w="4880" w:type="dxa"/>
            <w:vAlign w:val="bottom"/>
          </w:tcPr>
          <w:p>
            <w:pPr>
              <w:jc w:val="center"/>
              <w:ind w:left="675"/>
              <w:spacing w:after="0"/>
              <w:rPr>
                <w:sz w:val="20"/>
                <w:szCs w:val="20"/>
                <w:color w:val="auto"/>
              </w:rPr>
            </w:pPr>
            <w:r>
              <w:rPr>
                <w:rFonts w:ascii="Times New Roman" w:cs="Times New Roman" w:eastAsia="Times New Roman" w:hAnsi="Times New Roman"/>
                <w:sz w:val="24"/>
                <w:szCs w:val="24"/>
                <w:color w:val="auto"/>
                <w:w w:val="99"/>
              </w:rPr>
              <w:t>performance team of experts in system</w:t>
            </w:r>
          </w:p>
        </w:tc>
      </w:tr>
      <w:tr>
        <w:trPr>
          <w:trHeight w:val="320"/>
        </w:trPr>
        <w:tc>
          <w:tcPr>
            <w:tcW w:w="4540" w:type="dxa"/>
            <w:vAlign w:val="bottom"/>
          </w:tcPr>
          <w:p>
            <w:pPr>
              <w:jc w:val="center"/>
              <w:ind w:right="664"/>
              <w:spacing w:after="0"/>
              <w:rPr>
                <w:sz w:val="20"/>
                <w:szCs w:val="20"/>
                <w:color w:val="auto"/>
              </w:rPr>
            </w:pPr>
            <w:r>
              <w:rPr>
                <w:rFonts w:ascii="Times New Roman" w:cs="Times New Roman" w:eastAsia="Times New Roman" w:hAnsi="Times New Roman"/>
                <w:sz w:val="24"/>
                <w:szCs w:val="24"/>
                <w:color w:val="auto"/>
              </w:rPr>
              <w:t>upstream production, and downstream</w:t>
            </w:r>
          </w:p>
        </w:tc>
        <w:tc>
          <w:tcPr>
            <w:tcW w:w="4880" w:type="dxa"/>
            <w:vAlign w:val="bottom"/>
          </w:tcPr>
          <w:p>
            <w:pPr>
              <w:jc w:val="center"/>
              <w:ind w:left="655"/>
              <w:spacing w:after="0"/>
              <w:rPr>
                <w:sz w:val="20"/>
                <w:szCs w:val="20"/>
                <w:color w:val="auto"/>
              </w:rPr>
            </w:pPr>
            <w:r>
              <w:rPr>
                <w:rFonts w:ascii="Times New Roman" w:cs="Times New Roman" w:eastAsia="Times New Roman" w:hAnsi="Times New Roman"/>
                <w:sz w:val="24"/>
                <w:szCs w:val="24"/>
                <w:color w:val="auto"/>
              </w:rPr>
              <w:t>management and fuel station services.</w:t>
            </w:r>
          </w:p>
        </w:tc>
      </w:tr>
      <w:tr>
        <w:trPr>
          <w:trHeight w:val="320"/>
        </w:trPr>
        <w:tc>
          <w:tcPr>
            <w:tcW w:w="4540" w:type="dxa"/>
            <w:vAlign w:val="bottom"/>
          </w:tcPr>
          <w:p>
            <w:pPr>
              <w:jc w:val="center"/>
              <w:ind w:right="664"/>
              <w:spacing w:after="0"/>
              <w:rPr>
                <w:sz w:val="20"/>
                <w:szCs w:val="20"/>
                <w:color w:val="auto"/>
              </w:rPr>
            </w:pPr>
            <w:r>
              <w:rPr>
                <w:rFonts w:ascii="Times New Roman" w:cs="Times New Roman" w:eastAsia="Times New Roman" w:hAnsi="Times New Roman"/>
                <w:sz w:val="24"/>
                <w:szCs w:val="24"/>
                <w:color w:val="auto"/>
              </w:rPr>
              <w:t>distribution of RNG.</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-608965</wp:posOffset>
                </wp:positionH>
                <wp:positionV relativeFrom="paragraph">
                  <wp:posOffset>647700</wp:posOffset>
                </wp:positionV>
                <wp:extent cx="7771130" cy="38100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1130" cy="381000"/>
                        </a:xfrm>
                        <a:prstGeom prst="rect">
                          <a:avLst/>
                        </a:prstGeom>
                        <a:solidFill>
                          <a:srgbClr val="3C2490"/>
                        </a:solidFill>
                      </wps:spPr>
                      <wps:bodyPr/>
                    </wps:wsp>
                  </a:graphicData>
                </a:graphic>
              </wp:anchor>
            </w:drawing>
          </mc:Choice>
          <mc:Fallback>
            <w:pict>
              <v:rect id="Shape 21" o:spid="_x0000_s1046" style="position:absolute;margin-left:-47.9499pt;margin-top:51pt;width:611.9pt;height:3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C2490" stroked="f"/>
            </w:pict>
          </mc:Fallback>
        </mc:AlternateContent>
      </w:r>
    </w:p>
    <w:p>
      <w:pPr>
        <w:sectPr>
          <w:pgSz w:w="12240" w:h="15839" w:orient="portrait"/>
          <w:cols w:equalWidth="0" w:num="1">
            <w:col w:w="10560"/>
          </w:cols>
          <w:pgMar w:left="960" w:top="1440" w:right="7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180"/>
        <w:spacing w:after="0"/>
        <w:tabs>
          <w:tab w:leader="none" w:pos="10460" w:val="left"/>
        </w:tabs>
        <w:rPr>
          <w:sz w:val="20"/>
          <w:szCs w:val="20"/>
          <w:color w:val="auto"/>
        </w:rPr>
      </w:pPr>
      <w:r>
        <w:rPr>
          <w:rFonts w:ascii="Times New Roman" w:cs="Times New Roman" w:eastAsia="Times New Roman" w:hAnsi="Times New Roman"/>
          <w:sz w:val="14"/>
          <w:szCs w:val="14"/>
          <w:color w:val="FFFFFF"/>
        </w:rPr>
        <w:t>2022 ANNUAL REPORT</w:t>
      </w:r>
      <w:r>
        <w:rPr>
          <w:sz w:val="20"/>
          <w:szCs w:val="20"/>
          <w:color w:val="auto"/>
        </w:rPr>
        <w:tab/>
      </w:r>
      <w:r>
        <w:rPr>
          <w:rFonts w:ascii="Times New Roman" w:cs="Times New Roman" w:eastAsia="Times New Roman" w:hAnsi="Times New Roman"/>
          <w:sz w:val="16"/>
          <w:szCs w:val="16"/>
          <w:b w:val="1"/>
          <w:bCs w:val="1"/>
          <w:color w:val="FFFFFF"/>
        </w:rPr>
        <w:t>3</w:t>
      </w:r>
    </w:p>
    <w:p>
      <w:pPr>
        <w:sectPr>
          <w:pgSz w:w="12240" w:h="15839" w:orient="portrait"/>
          <w:cols w:equalWidth="0" w:num="1">
            <w:col w:w="10560"/>
          </w:cols>
          <w:pgMar w:left="960" w:top="1440" w:right="719" w:bottom="0" w:gutter="0" w:footer="0" w:header="0"/>
          <w:type w:val="continuous"/>
        </w:sectPr>
      </w:pPr>
    </w:p>
    <w:bookmarkStart w:id="5" w:name="page6"/>
    <w:bookmarkEnd w:id="5"/>
    <w:p>
      <w:pPr>
        <w:ind w:left="612"/>
        <w:spacing w:after="0"/>
        <w:rPr>
          <w:sz w:val="20"/>
          <w:szCs w:val="20"/>
          <w:color w:val="auto"/>
        </w:rPr>
      </w:pPr>
      <w:r>
        <w:rPr>
          <w:rFonts w:ascii="Times New Roman" w:cs="Times New Roman" w:eastAsia="Times New Roman" w:hAnsi="Times New Roman"/>
          <w:sz w:val="60"/>
          <w:szCs w:val="60"/>
          <w:b w:val="1"/>
          <w:bCs w:val="1"/>
          <w:color w:val="3C2490"/>
        </w:rPr>
        <w:drawing>
          <wp:anchor simplePos="0" relativeHeight="251657728" behindDoc="1" locked="0" layoutInCell="0" allowOverlap="1">
            <wp:simplePos x="0" y="0"/>
            <wp:positionH relativeFrom="page">
              <wp:posOffset>0</wp:posOffset>
            </wp:positionH>
            <wp:positionV relativeFrom="page">
              <wp:posOffset>0</wp:posOffset>
            </wp:positionV>
            <wp:extent cx="7771765" cy="10057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7771765" cy="10057765"/>
                    </a:xfrm>
                    <a:prstGeom prst="rect">
                      <a:avLst/>
                    </a:prstGeom>
                    <a:noFill/>
                  </pic:spPr>
                </pic:pic>
              </a:graphicData>
            </a:graphic>
          </wp:anchor>
        </w:drawing>
        <w:t>Leadership</w:t>
      </w:r>
    </w:p>
    <w:p>
      <w:pPr>
        <w:ind w:left="612"/>
        <w:spacing w:after="0"/>
        <w:rPr>
          <w:sz w:val="20"/>
          <w:szCs w:val="20"/>
          <w:color w:val="auto"/>
        </w:rPr>
      </w:pPr>
      <w:r>
        <w:rPr>
          <w:rFonts w:ascii="Times New Roman" w:cs="Times New Roman" w:eastAsia="Times New Roman" w:hAnsi="Times New Roman"/>
          <w:sz w:val="60"/>
          <w:szCs w:val="60"/>
          <w:b w:val="1"/>
          <w:bCs w:val="1"/>
          <w:color w:val="3C2490"/>
        </w:rPr>
        <w:t>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8"/>
          <w:szCs w:val="28"/>
          <w:b w:val="1"/>
          <w:bCs w:val="1"/>
          <w:color w:val="3C2490"/>
        </w:rPr>
        <w:t>Board of Directors</w:t>
      </w:r>
    </w:p>
    <w:p>
      <w:pPr>
        <w:spacing w:after="0" w:line="200" w:lineRule="exact"/>
        <w:rPr>
          <w:sz w:val="20"/>
          <w:szCs w:val="20"/>
          <w:color w:val="auto"/>
        </w:rPr>
      </w:pPr>
    </w:p>
    <w:p>
      <w:pPr>
        <w:spacing w:after="0" w:line="256" w:lineRule="exact"/>
        <w:rPr>
          <w:sz w:val="20"/>
          <w:szCs w:val="20"/>
          <w:color w:val="auto"/>
        </w:rPr>
      </w:pPr>
    </w:p>
    <w:tbl>
      <w:tblPr>
        <w:tblLayout w:type="fixed"/>
        <w:tblInd w:w="612" w:type="dxa"/>
        <w:tblCellMar>
          <w:top w:w="0" w:type="dxa"/>
          <w:left w:w="0" w:type="dxa"/>
          <w:bottom w:w="0" w:type="dxa"/>
          <w:right w:w="0" w:type="dxa"/>
        </w:tblCellMar>
      </w:tblPr>
      <w:tr>
        <w:trPr>
          <w:trHeight w:val="275"/>
        </w:trPr>
        <w:tc>
          <w:tcPr>
            <w:tcW w:w="1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Mark Comora</w:t>
            </w:r>
          </w:p>
        </w:tc>
        <w:tc>
          <w:tcPr>
            <w:tcW w:w="2700" w:type="dxa"/>
            <w:vAlign w:val="bottom"/>
          </w:tcPr>
          <w:p>
            <w:pPr>
              <w:ind w:left="740"/>
              <w:spacing w:after="0"/>
              <w:rPr>
                <w:sz w:val="20"/>
                <w:szCs w:val="20"/>
                <w:color w:val="auto"/>
              </w:rPr>
            </w:pPr>
            <w:r>
              <w:rPr>
                <w:rFonts w:ascii="Times New Roman" w:cs="Times New Roman" w:eastAsia="Times New Roman" w:hAnsi="Times New Roman"/>
                <w:sz w:val="20"/>
                <w:szCs w:val="20"/>
                <w:b w:val="1"/>
                <w:bCs w:val="1"/>
                <w:color w:val="auto"/>
              </w:rPr>
              <w:t>Betsy Battle</w:t>
            </w:r>
          </w:p>
        </w:tc>
        <w:tc>
          <w:tcPr>
            <w:tcW w:w="2700" w:type="dxa"/>
            <w:vAlign w:val="bottom"/>
          </w:tcPr>
          <w:p>
            <w:pPr>
              <w:ind w:left="740"/>
              <w:spacing w:after="0"/>
              <w:rPr>
                <w:sz w:val="20"/>
                <w:szCs w:val="20"/>
                <w:color w:val="auto"/>
              </w:rPr>
            </w:pPr>
            <w:r>
              <w:rPr>
                <w:rFonts w:ascii="Times New Roman" w:cs="Times New Roman" w:eastAsia="Times New Roman" w:hAnsi="Times New Roman"/>
                <w:sz w:val="20"/>
                <w:szCs w:val="20"/>
                <w:b w:val="1"/>
                <w:bCs w:val="1"/>
                <w:color w:val="auto"/>
              </w:rPr>
              <w:t>Scott Dols</w:t>
            </w:r>
          </w:p>
        </w:tc>
        <w:tc>
          <w:tcPr>
            <w:tcW w:w="2000" w:type="dxa"/>
            <w:vAlign w:val="bottom"/>
          </w:tcPr>
          <w:p>
            <w:pPr>
              <w:ind w:left="740"/>
              <w:spacing w:after="0"/>
              <w:rPr>
                <w:sz w:val="20"/>
                <w:szCs w:val="20"/>
                <w:color w:val="auto"/>
              </w:rPr>
            </w:pPr>
            <w:r>
              <w:rPr>
                <w:rFonts w:ascii="Times New Roman" w:cs="Times New Roman" w:eastAsia="Times New Roman" w:hAnsi="Times New Roman"/>
                <w:sz w:val="20"/>
                <w:szCs w:val="20"/>
                <w:b w:val="1"/>
                <w:bCs w:val="1"/>
                <w:color w:val="auto"/>
              </w:rPr>
              <w:t>Kevin Fogarty</w:t>
            </w:r>
          </w:p>
        </w:tc>
      </w:tr>
      <w:tr>
        <w:trPr>
          <w:trHeight w:val="280"/>
        </w:trPr>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Chairman</w:t>
            </w:r>
          </w:p>
        </w:tc>
        <w:tc>
          <w:tcPr>
            <w:tcW w:w="27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Director</w:t>
            </w:r>
          </w:p>
        </w:tc>
        <w:tc>
          <w:tcPr>
            <w:tcW w:w="27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Director</w:t>
            </w:r>
          </w:p>
        </w:tc>
      </w:tr>
      <w:tr>
        <w:trPr>
          <w:trHeight w:val="770"/>
        </w:trPr>
        <w:tc>
          <w:tcPr>
            <w:tcW w:w="1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Marco Gatti</w:t>
            </w:r>
          </w:p>
        </w:tc>
        <w:tc>
          <w:tcPr>
            <w:tcW w:w="2700" w:type="dxa"/>
            <w:vAlign w:val="bottom"/>
          </w:tcPr>
          <w:p>
            <w:pPr>
              <w:ind w:left="740"/>
              <w:spacing w:after="0"/>
              <w:rPr>
                <w:sz w:val="20"/>
                <w:szCs w:val="20"/>
                <w:color w:val="auto"/>
              </w:rPr>
            </w:pPr>
            <w:r>
              <w:rPr>
                <w:rFonts w:ascii="Times New Roman" w:cs="Times New Roman" w:eastAsia="Times New Roman" w:hAnsi="Times New Roman"/>
                <w:sz w:val="20"/>
                <w:szCs w:val="20"/>
                <w:b w:val="1"/>
                <w:bCs w:val="1"/>
                <w:color w:val="auto"/>
              </w:rPr>
              <w:t>Nadeem Nisar</w:t>
            </w:r>
          </w:p>
        </w:tc>
        <w:tc>
          <w:tcPr>
            <w:tcW w:w="2700" w:type="dxa"/>
            <w:vAlign w:val="bottom"/>
          </w:tcPr>
          <w:p>
            <w:pPr>
              <w:ind w:left="740"/>
              <w:spacing w:after="0"/>
              <w:rPr>
                <w:sz w:val="20"/>
                <w:szCs w:val="20"/>
                <w:color w:val="auto"/>
              </w:rPr>
            </w:pPr>
            <w:r>
              <w:rPr>
                <w:rFonts w:ascii="Times New Roman" w:cs="Times New Roman" w:eastAsia="Times New Roman" w:hAnsi="Times New Roman"/>
                <w:sz w:val="20"/>
                <w:szCs w:val="20"/>
                <w:b w:val="1"/>
                <w:bCs w:val="1"/>
                <w:color w:val="auto"/>
              </w:rPr>
              <w:t>Ashok Vemuri</w:t>
            </w:r>
          </w:p>
        </w:tc>
        <w:tc>
          <w:tcPr>
            <w:tcW w:w="2000" w:type="dxa"/>
            <w:vAlign w:val="bottom"/>
          </w:tcPr>
          <w:p>
            <w:pPr>
              <w:spacing w:after="0"/>
              <w:rPr>
                <w:sz w:val="24"/>
                <w:szCs w:val="24"/>
                <w:color w:val="auto"/>
              </w:rPr>
            </w:pPr>
          </w:p>
        </w:tc>
      </w:tr>
      <w:tr>
        <w:trPr>
          <w:trHeight w:val="280"/>
        </w:trPr>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7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Director</w:t>
            </w:r>
          </w:p>
        </w:tc>
        <w:tc>
          <w:tcPr>
            <w:tcW w:w="27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Director</w:t>
            </w:r>
          </w:p>
        </w:tc>
        <w:tc>
          <w:tcPr>
            <w:tcW w:w="2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8"/>
          <w:szCs w:val="28"/>
          <w:b w:val="1"/>
          <w:bCs w:val="1"/>
          <w:color w:val="3C2490"/>
        </w:rPr>
        <w:t>Executive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52"/>
        <w:spacing w:after="0"/>
        <w:tabs>
          <w:tab w:leader="none" w:pos="3512" w:val="left"/>
          <w:tab w:leader="none" w:pos="6512" w:val="left"/>
          <w:tab w:leader="none" w:pos="9312" w:val="left"/>
        </w:tabs>
        <w:rPr>
          <w:sz w:val="20"/>
          <w:szCs w:val="20"/>
          <w:color w:val="auto"/>
        </w:rPr>
      </w:pPr>
      <w:r>
        <w:rPr>
          <w:rFonts w:ascii="Times New Roman" w:cs="Times New Roman" w:eastAsia="Times New Roman" w:hAnsi="Times New Roman"/>
          <w:sz w:val="20"/>
          <w:szCs w:val="20"/>
          <w:b w:val="1"/>
          <w:bCs w:val="1"/>
          <w:color w:val="auto"/>
        </w:rPr>
        <w:t>Adam Comora</w:t>
      </w:r>
      <w:r>
        <w:rPr>
          <w:sz w:val="20"/>
          <w:szCs w:val="20"/>
          <w:color w:val="auto"/>
        </w:rPr>
        <w:tab/>
      </w:r>
      <w:r>
        <w:rPr>
          <w:rFonts w:ascii="Times New Roman" w:cs="Times New Roman" w:eastAsia="Times New Roman" w:hAnsi="Times New Roman"/>
          <w:sz w:val="20"/>
          <w:szCs w:val="20"/>
          <w:b w:val="1"/>
          <w:bCs w:val="1"/>
          <w:color w:val="auto"/>
        </w:rPr>
        <w:t>Jonathan Maurer</w:t>
      </w:r>
      <w:r>
        <w:rPr>
          <w:sz w:val="20"/>
          <w:szCs w:val="20"/>
          <w:color w:val="auto"/>
        </w:rPr>
        <w:tab/>
      </w:r>
      <w:r>
        <w:rPr>
          <w:rFonts w:ascii="Times New Roman" w:cs="Times New Roman" w:eastAsia="Times New Roman" w:hAnsi="Times New Roman"/>
          <w:sz w:val="20"/>
          <w:szCs w:val="20"/>
          <w:b w:val="1"/>
          <w:bCs w:val="1"/>
          <w:color w:val="auto"/>
        </w:rPr>
        <w:t>Ann Anthony</w:t>
      </w:r>
      <w:r>
        <w:rPr>
          <w:sz w:val="20"/>
          <w:szCs w:val="20"/>
          <w:color w:val="auto"/>
        </w:rPr>
        <w:tab/>
      </w:r>
      <w:r>
        <w:rPr>
          <w:rFonts w:ascii="Times New Roman" w:cs="Times New Roman" w:eastAsia="Times New Roman" w:hAnsi="Times New Roman"/>
          <w:sz w:val="20"/>
          <w:szCs w:val="20"/>
          <w:b w:val="1"/>
          <w:bCs w:val="1"/>
          <w:color w:val="auto"/>
        </w:rPr>
        <w:t>John Coghlin</w:t>
      </w:r>
    </w:p>
    <w:p>
      <w:pPr>
        <w:spacing w:after="0" w:line="54" w:lineRule="exact"/>
        <w:rPr>
          <w:sz w:val="20"/>
          <w:szCs w:val="20"/>
          <w:color w:val="auto"/>
        </w:rPr>
      </w:pPr>
    </w:p>
    <w:p>
      <w:pPr>
        <w:ind w:left="352"/>
        <w:spacing w:after="0"/>
        <w:tabs>
          <w:tab w:leader="none" w:pos="3152" w:val="left"/>
          <w:tab w:leader="none" w:pos="6152" w:val="left"/>
          <w:tab w:leader="none" w:pos="9232" w:val="left"/>
        </w:tabs>
        <w:rPr>
          <w:sz w:val="20"/>
          <w:szCs w:val="20"/>
          <w:color w:val="auto"/>
        </w:rPr>
      </w:pPr>
      <w:r>
        <w:rPr>
          <w:rFonts w:ascii="Times New Roman" w:cs="Times New Roman" w:eastAsia="Times New Roman" w:hAnsi="Times New Roman"/>
          <w:sz w:val="20"/>
          <w:szCs w:val="20"/>
          <w:color w:val="auto"/>
        </w:rPr>
        <w:t>Co-Chief Executive Officer</w:t>
      </w:r>
      <w:r>
        <w:rPr>
          <w:sz w:val="20"/>
          <w:szCs w:val="20"/>
          <w:color w:val="auto"/>
        </w:rPr>
        <w:tab/>
      </w:r>
      <w:r>
        <w:rPr>
          <w:rFonts w:ascii="Times New Roman" w:cs="Times New Roman" w:eastAsia="Times New Roman" w:hAnsi="Times New Roman"/>
          <w:sz w:val="20"/>
          <w:szCs w:val="20"/>
          <w:color w:val="auto"/>
        </w:rPr>
        <w:t>Co-Chief Executive Officer</w:t>
      </w:r>
      <w:r>
        <w:rPr>
          <w:sz w:val="20"/>
          <w:szCs w:val="20"/>
          <w:color w:val="auto"/>
        </w:rPr>
        <w:tab/>
      </w:r>
      <w:r>
        <w:rPr>
          <w:rFonts w:ascii="Times New Roman" w:cs="Times New Roman" w:eastAsia="Times New Roman" w:hAnsi="Times New Roman"/>
          <w:sz w:val="20"/>
          <w:szCs w:val="20"/>
          <w:color w:val="auto"/>
        </w:rPr>
        <w:t>Chief Financial Officer</w:t>
      </w:r>
      <w:r>
        <w:rPr>
          <w:sz w:val="20"/>
          <w:szCs w:val="20"/>
          <w:color w:val="auto"/>
        </w:rPr>
        <w:tab/>
      </w:r>
      <w:r>
        <w:rPr>
          <w:rFonts w:ascii="Times New Roman" w:cs="Times New Roman" w:eastAsia="Times New Roman" w:hAnsi="Times New Roman"/>
          <w:sz w:val="20"/>
          <w:szCs w:val="20"/>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52"/>
        <w:spacing w:after="0"/>
        <w:tabs>
          <w:tab w:leader="none" w:pos="4812" w:val="left"/>
          <w:tab w:leader="none" w:pos="7692" w:val="left"/>
        </w:tabs>
        <w:rPr>
          <w:sz w:val="20"/>
          <w:szCs w:val="20"/>
          <w:color w:val="auto"/>
        </w:rPr>
      </w:pPr>
      <w:r>
        <w:rPr>
          <w:rFonts w:ascii="Times New Roman" w:cs="Times New Roman" w:eastAsia="Times New Roman" w:hAnsi="Times New Roman"/>
          <w:sz w:val="20"/>
          <w:szCs w:val="20"/>
          <w:b w:val="1"/>
          <w:bCs w:val="1"/>
          <w:color w:val="auto"/>
        </w:rPr>
        <w:t>Scott Edelbach</w:t>
      </w:r>
      <w:r>
        <w:rPr>
          <w:sz w:val="20"/>
          <w:szCs w:val="20"/>
          <w:color w:val="auto"/>
        </w:rPr>
        <w:tab/>
      </w:r>
      <w:r>
        <w:rPr>
          <w:rFonts w:ascii="Times New Roman" w:cs="Times New Roman" w:eastAsia="Times New Roman" w:hAnsi="Times New Roman"/>
          <w:sz w:val="20"/>
          <w:szCs w:val="20"/>
          <w:b w:val="1"/>
          <w:bCs w:val="1"/>
          <w:color w:val="auto"/>
        </w:rPr>
        <w:t>Anthony Falbo</w:t>
      </w:r>
      <w:r>
        <w:rPr>
          <w:sz w:val="20"/>
          <w:szCs w:val="20"/>
          <w:color w:val="auto"/>
        </w:rPr>
        <w:tab/>
      </w:r>
      <w:r>
        <w:rPr>
          <w:rFonts w:ascii="Times New Roman" w:cs="Times New Roman" w:eastAsia="Times New Roman" w:hAnsi="Times New Roman"/>
          <w:sz w:val="19"/>
          <w:szCs w:val="19"/>
          <w:b w:val="1"/>
          <w:bCs w:val="1"/>
          <w:color w:val="auto"/>
        </w:rPr>
        <w:t>David Unger</w:t>
      </w:r>
    </w:p>
    <w:p>
      <w:pPr>
        <w:spacing w:after="0" w:line="54" w:lineRule="exact"/>
        <w:rPr>
          <w:sz w:val="20"/>
          <w:szCs w:val="20"/>
          <w:color w:val="auto"/>
        </w:rPr>
      </w:pPr>
    </w:p>
    <w:p>
      <w:pPr>
        <w:ind w:left="1672"/>
        <w:spacing w:after="0"/>
        <w:tabs>
          <w:tab w:leader="none" w:pos="4472" w:val="left"/>
          <w:tab w:leader="none" w:pos="7212" w:val="left"/>
        </w:tabs>
        <w:rPr>
          <w:sz w:val="20"/>
          <w:szCs w:val="20"/>
          <w:color w:val="auto"/>
        </w:rPr>
      </w:pPr>
      <w:r>
        <w:rPr>
          <w:rFonts w:ascii="Times New Roman" w:cs="Times New Roman" w:eastAsia="Times New Roman" w:hAnsi="Times New Roman"/>
          <w:sz w:val="20"/>
          <w:szCs w:val="20"/>
          <w:color w:val="auto"/>
        </w:rPr>
        <w:t>Executive Vice President</w:t>
      </w:r>
      <w:r>
        <w:rPr>
          <w:sz w:val="20"/>
          <w:szCs w:val="20"/>
          <w:color w:val="auto"/>
        </w:rPr>
        <w:tab/>
      </w:r>
      <w:r>
        <w:rPr>
          <w:rFonts w:ascii="Times New Roman" w:cs="Times New Roman" w:eastAsia="Times New Roman" w:hAnsi="Times New Roman"/>
          <w:sz w:val="20"/>
          <w:szCs w:val="20"/>
          <w:color w:val="auto"/>
        </w:rPr>
        <w:t>Chief Operating Officer</w:t>
      </w:r>
      <w:r>
        <w:rPr>
          <w:sz w:val="20"/>
          <w:szCs w:val="20"/>
          <w:color w:val="auto"/>
        </w:rPr>
        <w:tab/>
      </w:r>
      <w:r>
        <w:rPr>
          <w:rFonts w:ascii="Times New Roman" w:cs="Times New Roman" w:eastAsia="Times New Roman" w:hAnsi="Times New Roman"/>
          <w:sz w:val="20"/>
          <w:szCs w:val="20"/>
          <w:color w:val="auto"/>
        </w:rPr>
        <w:t>Executive Vice President</w:t>
      </w:r>
    </w:p>
    <w:p>
      <w:pPr>
        <w:sectPr>
          <w:pgSz w:w="12240" w:h="15839" w:orient="portrait"/>
          <w:cols w:equalWidth="0" w:num="1">
            <w:col w:w="10612"/>
          </w:cols>
          <w:pgMar w:left="348" w:top="1226" w:right="1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2" w:hanging="672"/>
        <w:spacing w:after="0"/>
        <w:tabs>
          <w:tab w:leader="none" w:pos="672" w:val="left"/>
        </w:tabs>
        <w:numPr>
          <w:ilvl w:val="0"/>
          <w:numId w:val="2"/>
        </w:numPr>
        <w:rPr>
          <w:rFonts w:ascii="Times New Roman" w:cs="Times New Roman" w:eastAsia="Times New Roman" w:hAnsi="Times New Roman"/>
          <w:sz w:val="16"/>
          <w:szCs w:val="16"/>
          <w:b w:val="1"/>
          <w:bCs w:val="1"/>
          <w:color w:val="FFFFFF"/>
        </w:rPr>
      </w:pPr>
      <w:r>
        <w:rPr>
          <w:rFonts w:ascii="Times New Roman" w:cs="Times New Roman" w:eastAsia="Times New Roman" w:hAnsi="Times New Roman"/>
          <w:sz w:val="14"/>
          <w:szCs w:val="14"/>
          <w:color w:val="FFFFFF"/>
        </w:rPr>
        <w:t>OPAL FUELS</w:t>
      </w:r>
    </w:p>
    <w:p>
      <w:pPr>
        <w:sectPr>
          <w:pgSz w:w="12240" w:h="15839" w:orient="portrait"/>
          <w:cols w:equalWidth="0" w:num="1">
            <w:col w:w="10612"/>
          </w:cols>
          <w:pgMar w:left="348" w:top="1226" w:right="1279" w:bottom="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476250</wp:posOffset>
                </wp:positionV>
                <wp:extent cx="68580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7.5pt" to="576pt,37.5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501650</wp:posOffset>
                </wp:positionV>
                <wp:extent cx="68580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9.5pt" to="576pt,39.5pt" o:allowincell="f" strokecolor="#000000" strokeweight="0.5009pt">
                <w10:wrap anchorx="page" anchory="page"/>
              </v:line>
            </w:pict>
          </mc:Fallback>
        </mc:AlternateContent>
        <w:t>UNITED STATES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10-K</w:t>
      </w:r>
    </w:p>
    <w:p>
      <w:pPr>
        <w:ind w:left="4500"/>
        <w:spacing w:after="0" w:line="187" w:lineRule="auto"/>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75" w:lineRule="exact"/>
        <w:rPr>
          <w:sz w:val="20"/>
          <w:szCs w:val="20"/>
          <w:color w:val="auto"/>
        </w:rPr>
      </w:pPr>
    </w:p>
    <w:p>
      <w:pPr>
        <w:ind w:left="3520" w:right="420" w:hanging="3280"/>
        <w:spacing w:after="0" w:line="293" w:lineRule="auto"/>
        <w:tabs>
          <w:tab w:leader="none" w:pos="721"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2022</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75" w:lineRule="exact"/>
        <w:rPr>
          <w:sz w:val="20"/>
          <w:szCs w:val="20"/>
          <w:color w:val="auto"/>
        </w:rPr>
      </w:pPr>
    </w:p>
    <w:p>
      <w:pPr>
        <w:ind w:left="2580" w:right="20" w:hanging="2340"/>
        <w:spacing w:after="0" w:line="293" w:lineRule="auto"/>
        <w:tabs>
          <w:tab w:leader="none" w:pos="718"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_______________ to ____________</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Commission File Number 001-40272</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OPAL FUELS INC.</w:t>
      </w:r>
    </w:p>
    <w:p>
      <w:pPr>
        <w:jc w:val="center"/>
        <w:ind w:right="20"/>
        <w:spacing w:after="0" w:line="221" w:lineRule="auto"/>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Pr>
          <w:p>
            <w:pPr>
              <w:spacing w:after="0"/>
              <w:rPr>
                <w:sz w:val="18"/>
                <w:szCs w:val="18"/>
                <w:color w:val="auto"/>
              </w:rPr>
            </w:pPr>
          </w:p>
        </w:tc>
        <w:tc>
          <w:tcPr>
            <w:tcW w:w="5220" w:type="dxa"/>
            <w:vAlign w:val="bottom"/>
            <w:tcBorders>
              <w:bottom w:val="single" w:sz="8" w:color="auto"/>
            </w:tcBorders>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98-1578357</w:t>
            </w: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jc w:val="center"/>
              <w:ind w:left="4"/>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1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(I.R.S. Employer</w:t>
            </w:r>
          </w:p>
        </w:tc>
      </w:tr>
      <w:tr>
        <w:trPr>
          <w:trHeight w:val="223"/>
        </w:trPr>
        <w:tc>
          <w:tcPr>
            <w:tcW w:w="5300" w:type="dxa"/>
            <w:vAlign w:val="bottom"/>
          </w:tcPr>
          <w:p>
            <w:pPr>
              <w:jc w:val="center"/>
              <w:ind w:left="24"/>
              <w:spacing w:after="0" w:line="223" w:lineRule="exact"/>
              <w:rPr>
                <w:sz w:val="20"/>
                <w:szCs w:val="20"/>
                <w:color w:val="auto"/>
              </w:rPr>
            </w:pPr>
            <w:r>
              <w:rPr>
                <w:rFonts w:ascii="Times New Roman" w:cs="Times New Roman" w:eastAsia="Times New Roman" w:hAnsi="Times New Roman"/>
                <w:sz w:val="20"/>
                <w:szCs w:val="20"/>
                <w:color w:val="auto"/>
              </w:rPr>
              <w:t>incorporation or organization)</w:t>
            </w:r>
          </w:p>
        </w:tc>
        <w:tc>
          <w:tcPr>
            <w:tcW w:w="180" w:type="dxa"/>
            <w:vAlign w:val="bottom"/>
          </w:tcPr>
          <w:p>
            <w:pPr>
              <w:spacing w:after="0"/>
              <w:rPr>
                <w:sz w:val="19"/>
                <w:szCs w:val="19"/>
                <w:color w:val="auto"/>
              </w:rPr>
            </w:pPr>
          </w:p>
        </w:tc>
        <w:tc>
          <w:tcPr>
            <w:tcW w:w="52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79"/>
        </w:trPr>
        <w:tc>
          <w:tcPr>
            <w:tcW w:w="53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One North Lexington Avenue, Suite 1450</w:t>
            </w: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10"/>
        </w:trPr>
        <w:tc>
          <w:tcPr>
            <w:tcW w:w="5300" w:type="dxa"/>
            <w:vAlign w:val="bottom"/>
          </w:tcPr>
          <w:p>
            <w:pPr>
              <w:ind w:left="1740"/>
              <w:spacing w:after="0" w:line="201" w:lineRule="exact"/>
              <w:rPr>
                <w:sz w:val="20"/>
                <w:szCs w:val="20"/>
                <w:color w:val="auto"/>
              </w:rPr>
            </w:pPr>
            <w:r>
              <w:rPr>
                <w:rFonts w:ascii="Times New Roman" w:cs="Times New Roman" w:eastAsia="Times New Roman" w:hAnsi="Times New Roman"/>
                <w:sz w:val="18"/>
                <w:szCs w:val="18"/>
                <w:b w:val="1"/>
                <w:bCs w:val="1"/>
                <w:color w:val="auto"/>
              </w:rPr>
              <w:t>White Plains, New York</w:t>
            </w:r>
          </w:p>
        </w:tc>
        <w:tc>
          <w:tcPr>
            <w:tcW w:w="5400" w:type="dxa"/>
            <w:vAlign w:val="bottom"/>
            <w:gridSpan w:val="2"/>
          </w:tcPr>
          <w:p>
            <w:pPr>
              <w:jc w:val="right"/>
              <w:ind w:right="2300"/>
              <w:spacing w:after="0" w:line="201" w:lineRule="exact"/>
              <w:rPr>
                <w:sz w:val="20"/>
                <w:szCs w:val="20"/>
                <w:color w:val="auto"/>
              </w:rPr>
            </w:pPr>
            <w:r>
              <w:rPr>
                <w:rFonts w:ascii="Times New Roman" w:cs="Times New Roman" w:eastAsia="Times New Roman" w:hAnsi="Times New Roman"/>
                <w:sz w:val="18"/>
                <w:szCs w:val="18"/>
                <w:b w:val="1"/>
                <w:bCs w:val="1"/>
                <w:color w:val="auto"/>
              </w:rPr>
              <w:t>10601</w:t>
            </w:r>
          </w:p>
        </w:tc>
      </w:tr>
      <w:tr>
        <w:trPr>
          <w:trHeight w:val="237"/>
        </w:trPr>
        <w:tc>
          <w:tcPr>
            <w:tcW w:w="530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180" w:type="dxa"/>
            <w:vAlign w:val="bottom"/>
          </w:tcPr>
          <w:p>
            <w:pPr>
              <w:spacing w:after="0"/>
              <w:rPr>
                <w:sz w:val="20"/>
                <w:szCs w:val="20"/>
                <w:color w:val="auto"/>
              </w:rPr>
            </w:pPr>
          </w:p>
        </w:tc>
        <w:tc>
          <w:tcPr>
            <w:tcW w:w="5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(914) 705-4000</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80" w:type="dxa"/>
            <w:vAlign w:val="bottom"/>
          </w:tcPr>
          <w:p>
            <w:pPr>
              <w:spacing w:after="0"/>
              <w:rPr>
                <w:sz w:val="18"/>
                <w:szCs w:val="18"/>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7"/>
        </w:trPr>
        <w:tc>
          <w:tcPr>
            <w:tcW w:w="4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Class A Common Stock, par value $0.0001 per share</w:t>
            </w:r>
          </w:p>
        </w:tc>
        <w:tc>
          <w:tcPr>
            <w:tcW w:w="18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OPAL</w:t>
            </w:r>
          </w:p>
        </w:tc>
        <w:tc>
          <w:tcPr>
            <w:tcW w:w="18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r>
    </w:tbl>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44" w:lineRule="exact"/>
        <w:rPr>
          <w:sz w:val="20"/>
          <w:szCs w:val="20"/>
          <w:color w:val="auto"/>
        </w:rPr>
      </w:pPr>
    </w:p>
    <w:p>
      <w:pPr>
        <w:ind w:right="1780"/>
        <w:spacing w:after="0" w:line="256"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39"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</w:t>
      </w:r>
    </w:p>
    <w:p>
      <w:pPr>
        <w:spacing w:after="0" w:line="5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5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40" w:type="dxa"/>
            <w:vAlign w:val="bottom"/>
          </w:tcPr>
          <w:p>
            <w:pPr>
              <w:jc w:val="right"/>
              <w:ind w:right="1175"/>
              <w:spacing w:after="0"/>
              <w:rPr>
                <w:sz w:val="20"/>
                <w:szCs w:val="20"/>
                <w:color w:val="auto"/>
              </w:rPr>
            </w:pPr>
            <w:r>
              <w:rPr>
                <w:rFonts w:ascii="PMingLiU" w:cs="PMingLiU" w:eastAsia="PMingLiU" w:hAnsi="PMingLiU"/>
                <w:sz w:val="17"/>
                <w:szCs w:val="17"/>
                <w:color w:val="auto"/>
              </w:rPr>
              <w:t></w:t>
            </w:r>
          </w:p>
        </w:tc>
        <w:tc>
          <w:tcPr>
            <w:tcW w:w="35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jc w:val="right"/>
              <w:spacing w:after="0"/>
              <w:rPr>
                <w:sz w:val="20"/>
                <w:szCs w:val="20"/>
                <w:color w:val="auto"/>
              </w:rPr>
            </w:pPr>
            <w:r>
              <w:rPr>
                <w:rFonts w:ascii="PMingLiU" w:cs="PMingLiU" w:eastAsia="PMingLiU" w:hAnsi="PMingLiU"/>
                <w:sz w:val="17"/>
                <w:szCs w:val="17"/>
                <w:color w:val="auto"/>
              </w:rPr>
              <w:t></w:t>
            </w:r>
          </w:p>
        </w:tc>
      </w:tr>
      <w:tr>
        <w:trPr>
          <w:trHeight w:val="251"/>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40" w:type="dxa"/>
            <w:vAlign w:val="bottom"/>
          </w:tcPr>
          <w:p>
            <w:pPr>
              <w:jc w:val="right"/>
              <w:ind w:right="1175"/>
              <w:spacing w:after="0"/>
              <w:rPr>
                <w:sz w:val="20"/>
                <w:szCs w:val="20"/>
                <w:color w:val="auto"/>
              </w:rPr>
            </w:pPr>
            <w:r>
              <w:rPr>
                <w:rFonts w:ascii="PMingLiU" w:cs="PMingLiU" w:eastAsia="PMingLiU" w:hAnsi="PMingLiU"/>
                <w:sz w:val="17"/>
                <w:szCs w:val="17"/>
                <w:color w:val="auto"/>
              </w:rPr>
              <w:t>6</w:t>
            </w:r>
          </w:p>
        </w:tc>
        <w:tc>
          <w:tcPr>
            <w:tcW w:w="35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jc w:val="right"/>
              <w:spacing w:after="0"/>
              <w:rPr>
                <w:sz w:val="20"/>
                <w:szCs w:val="20"/>
                <w:color w:val="auto"/>
              </w:rPr>
            </w:pPr>
            <w:r>
              <w:rPr>
                <w:rFonts w:ascii="PMingLiU" w:cs="PMingLiU" w:eastAsia="PMingLiU" w:hAnsi="PMingLiU"/>
                <w:sz w:val="17"/>
                <w:szCs w:val="17"/>
                <w:color w:val="auto"/>
              </w:rPr>
              <w:t>6</w:t>
            </w:r>
          </w:p>
        </w:tc>
      </w:tr>
      <w:tr>
        <w:trPr>
          <w:trHeight w:val="251"/>
        </w:trPr>
        <w:tc>
          <w:tcPr>
            <w:tcW w:w="21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5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80" w:type="dxa"/>
            <w:vAlign w:val="bottom"/>
          </w:tcPr>
          <w:p>
            <w:pPr>
              <w:jc w:val="right"/>
              <w:spacing w:after="0"/>
              <w:rPr>
                <w:sz w:val="20"/>
                <w:szCs w:val="20"/>
                <w:color w:val="auto"/>
              </w:rPr>
            </w:pPr>
            <w:r>
              <w:rPr>
                <w:rFonts w:ascii="PMingLiU" w:cs="PMingLiU" w:eastAsia="PMingLiU" w:hAnsi="PMingLiU"/>
                <w:sz w:val="17"/>
                <w:szCs w:val="17"/>
                <w:color w:val="auto"/>
              </w:rPr>
              <w:t>6</w:t>
            </w:r>
          </w:p>
        </w:tc>
      </w:tr>
    </w:tbl>
    <w:p>
      <w:pPr>
        <w:spacing w:after="0" w:line="98"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7"/>
          <w:szCs w:val="17"/>
          <w:color w:val="auto"/>
        </w:rPr>
        <w:t></w:t>
      </w:r>
    </w:p>
    <w:p>
      <w:pPr>
        <w:spacing w:after="0" w:line="53"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7"/>
          <w:szCs w:val="17"/>
          <w:color w:val="auto"/>
        </w:rPr>
        <w:t></w:t>
      </w:r>
    </w:p>
    <w:p>
      <w:pPr>
        <w:spacing w:after="0" w:line="55"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7"/>
          <w:szCs w:val="17"/>
          <w:color w:val="auto"/>
        </w:rPr>
        <w:t></w:t>
      </w:r>
    </w:p>
    <w:p>
      <w:pPr>
        <w:spacing w:after="0" w:line="53"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7"/>
          <w:szCs w:val="17"/>
          <w:color w:val="auto"/>
        </w:rPr>
        <w:t></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52"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of the registrant on June 30, 2022, the last business day of the registrant’s most recently completed second fiscal quarter, was approximately $158,981,279 based on the closing price of the registrant’s Class A ordinary shares on The Nasdaq Capital Market on that date.</w:t>
      </w:r>
    </w:p>
    <w:p>
      <w:pPr>
        <w:spacing w:after="0" w:line="5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7"/>
          <w:szCs w:val="17"/>
          <w:color w:val="auto"/>
        </w:rPr>
        <w:t>As of March 27, 2023, a total of 27,644,699 shares of Class A common stock, par value $0.0001 per share, and 144,399,037 shares of Class D common stock, par value $0.0001 per share were issued and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104775</wp:posOffset>
                </wp:positionV>
                <wp:extent cx="68580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5pt" to="540pt,8.25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68580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25pt" to="540pt,10.25pt" o:allowincell="f" strokecolor="#000000" strokeweight="1.5pt"/>
            </w:pict>
          </mc:Fallback>
        </mc:AlternateContent>
      </w:r>
    </w:p>
    <w:p>
      <w:pPr>
        <w:sectPr>
          <w:pgSz w:w="12240" w:h="15846" w:orient="portrait"/>
          <w:cols w:equalWidth="0" w:num="1">
            <w:col w:w="10820"/>
          </w:cols>
          <w:pgMar w:left="720" w:top="853" w:right="706" w:bottom="615" w:gutter="0" w:footer="0" w:header="0"/>
        </w:sectPr>
      </w:pPr>
    </w:p>
    <w:bookmarkStart w:id="7" w:name="page8"/>
    <w:bookmarkEnd w:id="7"/>
    <w:p>
      <w:pPr>
        <w:spacing w:after="0" w:line="20" w:lineRule="exact"/>
        <w:rPr>
          <w:sz w:val="20"/>
          <w:szCs w:val="20"/>
          <w:color w:val="auto"/>
        </w:rPr>
      </w:pPr>
    </w:p>
    <w:p>
      <w:pPr>
        <w:sectPr>
          <w:pgSz w:w="12240" w:h="15846" w:orient="portrait"/>
          <w:cols w:equalWidth="1" w:num="1" w:space="0"/>
          <w:pgMar w:left="1440" w:top="1440" w:right="1440" w:bottom="875" w:gutter="0" w:footer="0" w:header="0"/>
        </w:sectPr>
      </w:pPr>
    </w:p>
    <w:bookmarkStart w:id="8" w:name="page9"/>
    <w:bookmarkEnd w:id="8"/>
    <w:p>
      <w:pPr>
        <w:ind w:left="36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9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5403850</wp:posOffset>
                </wp:positionH>
                <wp:positionV relativeFrom="paragraph">
                  <wp:posOffset>1270</wp:posOffset>
                </wp:positionV>
                <wp:extent cx="4572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5pt,0.1pt" to="461.5pt,0.1pt" o:allowincell="f" strokecolor="#000000" strokeweight="0.5pt"/>
            </w:pict>
          </mc:Fallback>
        </mc:AlternateContent>
      </w:r>
    </w:p>
    <w:p>
      <w:pPr>
        <w:ind w:lef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0" w:lineRule="exact"/>
        <w:rPr>
          <w:sz w:val="20"/>
          <w:szCs w:val="20"/>
          <w:color w:val="auto"/>
        </w:rPr>
      </w:pPr>
    </w:p>
    <w:p>
      <w:pPr>
        <w:ind w:left="20"/>
        <w:spacing w:after="0"/>
        <w:tabs>
          <w:tab w:leader="none" w:pos="1260" w:val="left"/>
          <w:tab w:leader="none" w:pos="884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17</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480"/>
        <w:spacing w:after="0" w:line="229" w:lineRule="auto"/>
        <w:tabs>
          <w:tab w:leader="none" w:pos="878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31"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3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w:t>
      </w:r>
    </w:p>
    <w:p>
      <w:pPr>
        <w:ind w:left="1480"/>
        <w:spacing w:after="0" w:line="229" w:lineRule="auto"/>
        <w:tabs>
          <w:tab w:leader="none" w:pos="878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31"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 . .</w:t>
      </w:r>
      <w:r>
        <w:rPr>
          <w:sz w:val="20"/>
          <w:szCs w:val="20"/>
          <w:color w:val="auto"/>
        </w:rPr>
        <w:tab/>
      </w:r>
      <w:r>
        <w:rPr>
          <w:rFonts w:ascii="Times New Roman" w:cs="Times New Roman" w:eastAsia="Times New Roman" w:hAnsi="Times New Roman"/>
          <w:sz w:val="20"/>
          <w:szCs w:val="20"/>
          <w:color w:val="auto"/>
        </w:rPr>
        <w:t>69</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line="3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w:t>
      </w:r>
    </w:p>
    <w:p>
      <w:pPr>
        <w:ind w:left="1480"/>
        <w:spacing w:after="0" w:line="229" w:lineRule="auto"/>
        <w:tabs>
          <w:tab w:leader="none" w:pos="878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line="31"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 .</w:t>
      </w:r>
      <w:r>
        <w:rPr>
          <w:sz w:val="20"/>
          <w:szCs w:val="20"/>
          <w:color w:val="auto"/>
        </w:rPr>
        <w:tab/>
      </w:r>
      <w:r>
        <w:rPr>
          <w:rFonts w:ascii="Times New Roman" w:cs="Times New Roman" w:eastAsia="Times New Roman" w:hAnsi="Times New Roman"/>
          <w:sz w:val="20"/>
          <w:szCs w:val="20"/>
          <w:color w:val="auto"/>
        </w:rPr>
        <w:t>73</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w:t>
      </w:r>
      <w:r>
        <w:rPr>
          <w:sz w:val="20"/>
          <w:szCs w:val="20"/>
          <w:color w:val="auto"/>
        </w:rPr>
        <w:tab/>
      </w:r>
      <w:r>
        <w:rPr>
          <w:rFonts w:ascii="Times New Roman" w:cs="Times New Roman" w:eastAsia="Times New Roman" w:hAnsi="Times New Roman"/>
          <w:sz w:val="20"/>
          <w:szCs w:val="20"/>
          <w:color w:val="auto"/>
        </w:rPr>
        <w:t>81</w:t>
      </w:r>
    </w:p>
    <w:p>
      <w:pPr>
        <w:spacing w:after="0" w:line="3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ind w:left="1480"/>
        <w:spacing w:after="0" w:line="229" w:lineRule="auto"/>
        <w:tabs>
          <w:tab w:leader="none" w:pos="878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 .</w:t>
      </w:r>
      <w:r>
        <w:rPr>
          <w:sz w:val="20"/>
          <w:szCs w:val="20"/>
          <w:color w:val="auto"/>
        </w:rPr>
        <w:tab/>
      </w:r>
      <w:r>
        <w:rPr>
          <w:rFonts w:ascii="Times New Roman" w:cs="Times New Roman" w:eastAsia="Times New Roman" w:hAnsi="Times New Roman"/>
          <w:sz w:val="20"/>
          <w:szCs w:val="20"/>
          <w:color w:val="auto"/>
        </w:rPr>
        <w:t>85</w:t>
      </w:r>
    </w:p>
    <w:p>
      <w:pPr>
        <w:spacing w:after="0" w:line="31"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 .</w:t>
      </w:r>
      <w:r>
        <w:rPr>
          <w:sz w:val="20"/>
          <w:szCs w:val="20"/>
          <w:color w:val="auto"/>
        </w:rPr>
        <w:tab/>
      </w:r>
      <w:r>
        <w:rPr>
          <w:rFonts w:ascii="Times New Roman" w:cs="Times New Roman" w:eastAsia="Times New Roman" w:hAnsi="Times New Roman"/>
          <w:sz w:val="20"/>
          <w:szCs w:val="20"/>
          <w:color w:val="auto"/>
        </w:rPr>
        <w:t>88</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 . . . . . . . . . . . . . . . . . . . . . . . . . . . . . . . . . . . . . . .</w:t>
      </w:r>
      <w:r>
        <w:rPr>
          <w:sz w:val="20"/>
          <w:szCs w:val="20"/>
          <w:color w:val="auto"/>
        </w:rPr>
        <w:tab/>
      </w:r>
      <w:r>
        <w:rPr>
          <w:rFonts w:ascii="Times New Roman" w:cs="Times New Roman" w:eastAsia="Times New Roman" w:hAnsi="Times New Roman"/>
          <w:sz w:val="20"/>
          <w:szCs w:val="20"/>
          <w:color w:val="auto"/>
        </w:rPr>
        <w:t>94</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0" w:lineRule="exact"/>
        <w:rPr>
          <w:sz w:val="20"/>
          <w:szCs w:val="20"/>
          <w:color w:val="auto"/>
        </w:rPr>
      </w:pPr>
    </w:p>
    <w:p>
      <w:pPr>
        <w:ind w:left="20"/>
        <w:spacing w:after="0"/>
        <w:tabs>
          <w:tab w:leader="none" w:pos="1260" w:val="left"/>
          <w:tab w:leader="none" w:pos="878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 and Financial Statement Schedules . . . . . . . . . . . . . . . . . . . . . . . . . . . . . . . . . . . . .</w:t>
      </w:r>
      <w:r>
        <w:rPr>
          <w:sz w:val="20"/>
          <w:szCs w:val="20"/>
          <w:color w:val="auto"/>
        </w:rPr>
        <w:tab/>
      </w:r>
      <w:r>
        <w:rPr>
          <w:rFonts w:ascii="Times New Roman" w:cs="Times New Roman" w:eastAsia="Times New Roman" w:hAnsi="Times New Roman"/>
          <w:sz w:val="20"/>
          <w:szCs w:val="20"/>
          <w:color w:val="auto"/>
        </w:rPr>
        <w:t>95</w:t>
      </w:r>
    </w:p>
    <w:p>
      <w:pPr>
        <w:spacing w:after="0" w:line="30" w:lineRule="exact"/>
        <w:rPr>
          <w:sz w:val="20"/>
          <w:szCs w:val="20"/>
          <w:color w:val="auto"/>
        </w:rPr>
      </w:pPr>
    </w:p>
    <w:p>
      <w:pPr>
        <w:ind w:left="1280"/>
        <w:spacing w:after="0"/>
        <w:tabs>
          <w:tab w:leader="none" w:pos="878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98</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References in this Annual Report on Form 10-K (this “Form 10-K” or “Annual Report”) to “we,” “us,” “our,” “OPAL Fuels,” “OPAL,” the “Company” and similar terms all refer to OPAL Fuels Inc.. and its subsidiaries, unless otherwise stated or the context otherwise requires.</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A glossary of terms (the “Glossary”) that should be used as a reference when reading this Annual Report can be found immediately prior to Item 1A.</w:t>
      </w:r>
    </w:p>
    <w:p>
      <w:pPr>
        <w:spacing w:after="0" w:line="17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Capitalized terms that are used in this Annual Report are either defined when they are first used or in the Glossary.</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dollar amounts are stated in United States (“U.S.”) dollars unless otherwise stated.</w:t>
      </w:r>
    </w:p>
    <w:p>
      <w:pPr>
        <w:sectPr>
          <w:pgSz w:w="12240" w:h="15846" w:orient="portrait"/>
          <w:cols w:equalWidth="0" w:num="1">
            <w:col w:w="9380"/>
          </w:cols>
          <w:pgMar w:left="1440" w:top="947" w:right="1426" w:bottom="4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2240" w:h="15846" w:orient="portrait"/>
          <w:cols w:equalWidth="0" w:num="1">
            <w:col w:w="9380"/>
          </w:cols>
          <w:pgMar w:left="1440" w:top="947" w:right="1426" w:bottom="411" w:gutter="0" w:footer="0" w:header="0"/>
          <w:type w:val="continuous"/>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FORWARD-LOOKING STATEMENTS AND RISK FACTOR SUMMARY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the federal securities laws.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95" w:lineRule="exact"/>
        <w:rPr>
          <w:sz w:val="20"/>
          <w:szCs w:val="20"/>
          <w:color w:val="auto"/>
        </w:rPr>
      </w:pPr>
    </w:p>
    <w:p>
      <w:pPr>
        <w:ind w:left="960" w:right="2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grow and manage growth profitably, maintain relationships with customers and suppliers and retain key employees;</w:t>
      </w:r>
    </w:p>
    <w:p>
      <w:pPr>
        <w:spacing w:after="0" w:line="18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retaining or recruiting, our principal officers, key employees or directors;</w:t>
      </w:r>
    </w:p>
    <w:p>
      <w:pPr>
        <w:spacing w:after="0" w:line="19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intense competition and competitive pressures from other companies in the industry in which we operate;</w:t>
      </w:r>
    </w:p>
    <w:p>
      <w:pPr>
        <w:spacing w:after="0" w:line="201" w:lineRule="exact"/>
        <w:rPr>
          <w:rFonts w:ascii="Times New Roman" w:cs="Times New Roman" w:eastAsia="Times New Roman" w:hAnsi="Times New Roman"/>
          <w:sz w:val="19"/>
          <w:szCs w:val="19"/>
          <w:color w:val="auto"/>
        </w:rPr>
      </w:pPr>
    </w:p>
    <w:p>
      <w:pPr>
        <w:jc w:val="both"/>
        <w:ind w:left="960" w:right="20" w:hanging="480"/>
        <w:spacing w:after="0" w:line="246"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spacing w:after="0" w:line="192"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relating to our business, operations and financial performance, including market conditions and global and economic factors beyond our control;</w:t>
      </w:r>
    </w:p>
    <w:p>
      <w:pPr>
        <w:spacing w:after="0" w:line="18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conditions related to the global COVID-19 pandemic;</w:t>
      </w:r>
    </w:p>
    <w:p>
      <w:pPr>
        <w:spacing w:after="0" w:line="19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reduction or elimination of government economic incentives to the renewable energy market;</w:t>
      </w:r>
    </w:p>
    <w:p>
      <w:pPr>
        <w:spacing w:after="0" w:line="196" w:lineRule="exact"/>
        <w:rPr>
          <w:rFonts w:ascii="Times New Roman" w:cs="Times New Roman" w:eastAsia="Times New Roman" w:hAnsi="Times New Roman"/>
          <w:sz w:val="20"/>
          <w:szCs w:val="20"/>
          <w:color w:val="auto"/>
        </w:rPr>
      </w:pPr>
    </w:p>
    <w:p>
      <w:pPr>
        <w:jc w:val="both"/>
        <w:ind w:left="960" w:right="20" w:hanging="480"/>
        <w:spacing w:after="0" w:line="249"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LFG and livestock waste projects that generate electricity and (iii) RNG prices for Environmental Attributes, LCFS credits and other incentives;</w:t>
      </w:r>
    </w:p>
    <w:p>
      <w:pPr>
        <w:spacing w:after="0" w:line="188"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identify, acquire, develop and operate renewable projects and fueling stations (“Fueling Stations”);</w:t>
      </w:r>
    </w:p>
    <w:p>
      <w:pPr>
        <w:spacing w:after="0" w:line="18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issue equity or equity-linked securities or obtain or amend debt financing;</w:t>
      </w:r>
    </w:p>
    <w:p>
      <w:pPr>
        <w:spacing w:after="0" w:line="19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renewable energy not being sustained;</w:t>
      </w:r>
    </w:p>
    <w:p>
      <w:pPr>
        <w:spacing w:after="0" w:line="19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of climate change, changing weather patterns and conditions and natural disasters;</w:t>
      </w:r>
    </w:p>
    <w:p>
      <w:pPr>
        <w:spacing w:after="0" w:line="19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legal, tax and regulatory changes; and</w:t>
      </w:r>
    </w:p>
    <w:p>
      <w:pPr>
        <w:spacing w:after="0" w:line="19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detailed under the section entitled “Risk Factors.”</w:t>
      </w:r>
    </w:p>
    <w:p>
      <w:pPr>
        <w:sectPr>
          <w:pgSz w:w="12240" w:h="15846" w:orient="portrait"/>
          <w:cols w:equalWidth="0" w:num="1">
            <w:col w:w="9380"/>
          </w:cols>
          <w:pgMar w:left="1440" w:top="947" w:right="1426"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6" w:orient="portrait"/>
          <w:cols w:equalWidth="0" w:num="1">
            <w:col w:w="9380"/>
          </w:cols>
          <w:pgMar w:left="1440" w:top="947" w:right="1426" w:bottom="348" w:gutter="0" w:footer="0" w:header="0"/>
          <w:type w:val="continuous"/>
        </w:sectPr>
      </w:pPr>
    </w:p>
    <w:bookmarkStart w:id="10" w:name="page11"/>
    <w:bookmarkEnd w:id="10"/>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forward-looking statements contained in this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10-K.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2240" w:h="15846" w:orient="portrait"/>
          <w:cols w:equalWidth="0" w:num="1">
            <w:col w:w="9366"/>
          </w:cols>
          <w:pgMar w:left="1440" w:top="954"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iii</w:t>
      </w:r>
    </w:p>
    <w:p>
      <w:pPr>
        <w:sectPr>
          <w:pgSz w:w="12240" w:h="15846" w:orient="portrait"/>
          <w:cols w:equalWidth="0" w:num="1">
            <w:col w:w="9366"/>
          </w:cols>
          <w:pgMar w:left="1440" w:top="954" w:right="1440" w:bottom="353"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6" w:orient="portrait"/>
          <w:cols w:equalWidth="0" w:num="1">
            <w:col w:w="9366"/>
          </w:cols>
          <w:pgMar w:left="1440" w:top="1440" w:right="1440" w:bottom="1440" w:gutter="0" w:footer="0" w:header="0"/>
        </w:sectPr>
      </w:pPr>
    </w:p>
    <w:bookmarkStart w:id="12" w:name="page13"/>
    <w:bookmarkEnd w:id="12"/>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OPAL Fuels Inc. (including its subsidiaries, the “Company”, “OPAL,” “we,” “us” or “our”) is a renewable energy company specializing in the capture and conversion of biogas for the production of RNG for use as a vehicle fuel for heavy and medium-duty trucking fleets, generation of Renewable Power for sale to utilities, generation and sale of Environmental Attributes associated with RNG and Renewable Power, and sales of RNG as pipeline quality natural gas. We are an established biogas-to-energy producer in the United States, having participated in the landfill gas to energy industry for over 20 years. We have established our operating portfolio through self-development, partnerships, and acquisitions.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landfill gas, which is produced by the decomposition of organic waste at landfills and dairy manure, which is processed through anaerobic digesters to produce the biogas.</w:t>
      </w:r>
    </w:p>
    <w:p>
      <w:pPr>
        <w:spacing w:after="0" w:line="171"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combination</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December 2, 2021, the Company (formerly known as ArcLight Clean Transition Corp. II, “Arclight”), OPAL HoldCo LLC (“OPAL Holdco”) and OPAL Fuels LLC, a Delaware limited liability company (“OPAL Fuels” or “Opco”),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 xml:space="preserve"> to the consolidated financial statements for additional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 exchange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November 18, 2022, the Company announced the commencement of an exchange offer (the “Offer”) and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w:t>
      </w:r>
    </w:p>
    <w:p>
      <w:pPr>
        <w:sectPr>
          <w:pgSz w:w="12240" w:h="15846" w:orient="portrait"/>
          <w:cols w:equalWidth="0" w:num="1">
            <w:col w:w="9366"/>
          </w:cols>
          <w:pgMar w:left="1440" w:top="947" w:right="1440" w:bottom="348" w:gutter="0" w:footer="0" w:header="0"/>
        </w:sectPr>
      </w:pPr>
    </w:p>
    <w:p>
      <w:pPr>
        <w:spacing w:after="0" w:line="317"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1</w:t>
      </w:r>
    </w:p>
    <w:p>
      <w:pPr>
        <w:sectPr>
          <w:pgSz w:w="12240" w:h="15846" w:orient="portrait"/>
          <w:cols w:equalWidth="0" w:num="1">
            <w:col w:w="9366"/>
          </w:cols>
          <w:pgMar w:left="1440" w:top="947" w:right="1440" w:bottom="348" w:gutter="0" w:footer="0" w:header="0"/>
          <w:type w:val="continuous"/>
        </w:sectPr>
      </w:pPr>
    </w:p>
    <w:bookmarkStart w:id="13" w:name="page14"/>
    <w:bookmarkEnd w:id="13"/>
    <w:p>
      <w:pPr>
        <w:jc w:val="both"/>
        <w:ind w:right="6"/>
        <w:spacing w:after="0" w:line="248" w:lineRule="auto"/>
        <w:rPr>
          <w:sz w:val="20"/>
          <w:szCs w:val="20"/>
          <w:color w:val="auto"/>
        </w:rPr>
      </w:pPr>
      <w:r>
        <w:rPr>
          <w:rFonts w:ascii="Times New Roman" w:cs="Times New Roman" w:eastAsia="Times New Roman" w:hAnsi="Times New Roman"/>
          <w:sz w:val="20"/>
          <w:szCs w:val="20"/>
          <w:color w:val="auto"/>
        </w:rPr>
        <w:t>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w:t>
      </w:r>
    </w:p>
    <w:p>
      <w:pPr>
        <w:spacing w:after="0" w:line="172"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On December 22, 2022, the Company completed the exchange offer and issued 3,309,296 shares of ClassA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UPS Agreement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December 15, 2022, the Company entered into a long-term agreement with UPS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Secured Credit Facility</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 xml:space="preserve">On December 19, 2022, Fortistar Methane 3 LLC (“FM3”), an indirect subsidiary of the Company, and the borrower under the senior secured credit facility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an Omnibus and Consent Agreement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As of December 31, 2022, Opal Fuels holds approximately $45.0 million of the outstanding loans under the FM3 Credit Agreement as an affiliate lender. On March 20, 2023, the Company repaid in full the remaining outstanding balance under this loan facility. Please see Note.19 </w:t>
      </w:r>
      <w:r>
        <w:rPr>
          <w:rFonts w:ascii="Times New Roman" w:cs="Times New Roman" w:eastAsia="Times New Roman" w:hAnsi="Times New Roman"/>
          <w:sz w:val="19"/>
          <w:szCs w:val="19"/>
          <w:i w:val="1"/>
          <w:iCs w:val="1"/>
          <w:color w:val="auto"/>
        </w:rPr>
        <w:t>Subsequent Events</w:t>
      </w:r>
      <w:r>
        <w:rPr>
          <w:rFonts w:ascii="Times New Roman" w:cs="Times New Roman" w:eastAsia="Times New Roman" w:hAnsi="Times New Roman"/>
          <w:sz w:val="19"/>
          <w:szCs w:val="19"/>
          <w:color w:val="auto"/>
        </w:rPr>
        <w:t xml:space="preserve"> for 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OPAL Term Loan II</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August 4, 2022, OPAL Fuels Intermediate Holdco 2 LLC (“OPAL Intermediate Holdco 2”), an indirect wholly-owned subsidiary of the Company, entered into a new senior secured credit facility (the “OPAL Term Loan II”) with a syndicate of lenders. The indebtedness is guaranteed by certain of the direct and indirect subsidiaries of OPAL Intermediate Holdco 2. OPAL Term Loan II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 million as financing fees to the lenders and incurred $1.4 million of expenses.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p>
      <w:pPr>
        <w:spacing w:after="0" w:line="175" w:lineRule="exact"/>
        <w:rPr>
          <w:sz w:val="20"/>
          <w:szCs w:val="20"/>
          <w:color w:val="auto"/>
        </w:rPr>
      </w:pPr>
    </w:p>
    <w:p>
      <w:pPr>
        <w:jc w:val="both"/>
        <w:ind w:left="960" w:right="6" w:hanging="480"/>
        <w:spacing w:after="0" w:line="264" w:lineRule="auto"/>
        <w:tabs>
          <w:tab w:leader="none" w:pos="9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Promoting the reduction of methane and GHG emissions and expanding the use of renewable fuels to displace fossil-based fuels: </w:t>
      </w:r>
      <w:r>
        <w:rPr>
          <w:rFonts w:ascii="Times New Roman" w:cs="Times New Roman" w:eastAsia="Times New Roman" w:hAnsi="Times New Roman"/>
          <w:sz w:val="19"/>
          <w:szCs w:val="19"/>
          <w:color w:val="auto"/>
        </w:rPr>
        <w:t>We share the renewable fuel industry’s commitment to providing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sustainable renewable energy solutions and offering products with high economic and ecological value. By simultaneously replacing fossil-based fuels and reducing overall methane emissions, our projects have</w:t>
      </w:r>
    </w:p>
    <w:p>
      <w:pPr>
        <w:sectPr>
          <w:pgSz w:w="12240" w:h="15846" w:orient="portrait"/>
          <w:cols w:equalWidth="0" w:num="1">
            <w:col w:w="9366"/>
          </w:cols>
          <w:pgMar w:left="1440" w:top="954" w:right="1440" w:bottom="348" w:gutter="0" w:footer="0" w:header="0"/>
        </w:sectPr>
      </w:pPr>
    </w:p>
    <w:p>
      <w:pPr>
        <w:spacing w:after="0" w:line="30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2</w:t>
      </w:r>
    </w:p>
    <w:p>
      <w:pPr>
        <w:sectPr>
          <w:pgSz w:w="12240" w:h="15846" w:orient="portrait"/>
          <w:cols w:equalWidth="0" w:num="1">
            <w:col w:w="9366"/>
          </w:cols>
          <w:pgMar w:left="1440" w:top="954" w:right="1440" w:bottom="348" w:gutter="0" w:footer="0" w:header="0"/>
          <w:type w:val="continuous"/>
        </w:sectPr>
      </w:pPr>
    </w:p>
    <w:bookmarkStart w:id="14" w:name="page15"/>
    <w:bookmarkEnd w:id="14"/>
    <w:p>
      <w:pPr>
        <w:jc w:val="both"/>
        <w:ind w:left="960" w:right="6"/>
        <w:spacing w:after="0" w:line="248" w:lineRule="auto"/>
        <w:rPr>
          <w:sz w:val="20"/>
          <w:szCs w:val="20"/>
          <w:color w:val="auto"/>
        </w:rPr>
      </w:pPr>
      <w:r>
        <w:rPr>
          <w:rFonts w:ascii="Times New Roman" w:cs="Times New Roman" w:eastAsia="Times New Roman" w:hAnsi="Times New Roman"/>
          <w:sz w:val="20"/>
          <w:szCs w:val="20"/>
          <w:color w:val="auto"/>
        </w:rPr>
        <w:t>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72" w:lineRule="exact"/>
        <w:rPr>
          <w:sz w:val="20"/>
          <w:szCs w:val="20"/>
          <w:color w:val="auto"/>
        </w:rPr>
      </w:pPr>
    </w:p>
    <w:p>
      <w:pPr>
        <w:jc w:val="both"/>
        <w:ind w:left="960" w:right="6" w:hanging="480"/>
        <w:spacing w:after="0" w:line="248"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Expanding our industry position as a full-service partner for development opportunities, including through strategic transactions: </w:t>
      </w:r>
      <w:r>
        <w:rPr>
          <w:rFonts w:ascii="Times New Roman" w:cs="Times New Roman" w:eastAsia="Times New Roman" w:hAnsi="Times New Roman"/>
          <w:sz w:val="20"/>
          <w:szCs w:val="20"/>
          <w:color w:val="auto"/>
        </w:rPr>
        <w:t>Throughout our over 20 years of biogas conversion experience, we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spacing w:after="0" w:line="171" w:lineRule="exact"/>
        <w:rPr>
          <w:rFonts w:ascii="Times New Roman" w:cs="Times New Roman" w:eastAsia="Times New Roman" w:hAnsi="Times New Roman"/>
          <w:sz w:val="20"/>
          <w:szCs w:val="20"/>
          <w:color w:val="auto"/>
        </w:rPr>
      </w:pPr>
    </w:p>
    <w:p>
      <w:pPr>
        <w:jc w:val="both"/>
        <w:ind w:left="960" w:right="6" w:hanging="480"/>
        <w:spacing w:after="0" w:line="249"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Expanding our capabilities to new feedstock sources and technologies: </w:t>
      </w:r>
      <w:r>
        <w:rPr>
          <w:rFonts w:ascii="Times New Roman" w:cs="Times New Roman" w:eastAsia="Times New Roman" w:hAnsi="Times New Roman"/>
          <w:sz w:val="20"/>
          <w:szCs w:val="20"/>
          <w:color w:val="auto"/>
        </w:rPr>
        <w:t>We believe we will be 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enter new markets for our products, 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spacing w:after="0" w:line="169" w:lineRule="exact"/>
        <w:rPr>
          <w:rFonts w:ascii="Times New Roman" w:cs="Times New Roman" w:eastAsia="Times New Roman" w:hAnsi="Times New Roman"/>
          <w:sz w:val="20"/>
          <w:szCs w:val="20"/>
          <w:color w:val="auto"/>
        </w:rPr>
      </w:pPr>
    </w:p>
    <w:p>
      <w:pPr>
        <w:jc w:val="both"/>
        <w:ind w:left="960" w:right="6" w:hanging="480"/>
        <w:spacing w:after="0" w:line="264" w:lineRule="auto"/>
        <w:tabs>
          <w:tab w:leader="none" w:pos="96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Empowering our customers to achieve their sustainability and carbon reduction objectives: </w:t>
      </w:r>
      <w:r>
        <w:rPr>
          <w:rFonts w:ascii="Times New Roman" w:cs="Times New Roman" w:eastAsia="Times New Roman" w:hAnsi="Times New Roman"/>
          <w:sz w:val="19"/>
          <w:szCs w:val="19"/>
          <w:color w:val="auto"/>
        </w:rPr>
        <w:t>We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well positioned to empower our customers to achieve their sustainability and 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Vertical Integration of Business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increasing number of transportation customers. The increasing adoption of RNG as a fuel for transportation use amongst our customers subsequently gives us more opportunities to secure additional gas rights for Biogas Conversion Projects.</w:t>
      </w:r>
    </w:p>
    <w:p>
      <w:pPr>
        <w:spacing w:after="0" w:line="172"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vertical integration also attracts low carbon intensity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 and Project Expertise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spacing w:after="0" w:line="168" w:lineRule="exact"/>
        <w:rPr>
          <w:sz w:val="20"/>
          <w:szCs w:val="20"/>
          <w:color w:val="auto"/>
        </w:rPr>
      </w:pPr>
    </w:p>
    <w:p>
      <w:pPr>
        <w:jc w:val="both"/>
        <w:ind w:right="6" w:firstLine="480"/>
        <w:spacing w:after="0" w:line="266" w:lineRule="auto"/>
        <w:rPr>
          <w:sz w:val="20"/>
          <w:szCs w:val="20"/>
          <w:color w:val="auto"/>
        </w:rPr>
      </w:pPr>
      <w:r>
        <w:rPr>
          <w:rFonts w:ascii="Times New Roman" w:cs="Times New Roman" w:eastAsia="Times New Roman" w:hAnsi="Times New Roman"/>
          <w:sz w:val="19"/>
          <w:szCs w:val="19"/>
          <w:color w:val="auto"/>
        </w:rPr>
        <w:t>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3</w:t>
      </w:r>
    </w:p>
    <w:p>
      <w:pPr>
        <w:sectPr>
          <w:pgSz w:w="12240" w:h="15846" w:orient="portrait"/>
          <w:cols w:equalWidth="0" w:num="1">
            <w:col w:w="9366"/>
          </w:cols>
          <w:pgMar w:left="1440" w:top="954" w:right="1440" w:bottom="348" w:gutter="0" w:footer="0" w:header="0"/>
          <w:type w:val="continuous"/>
        </w:sectPr>
      </w:pPr>
    </w:p>
    <w:bookmarkStart w:id="15" w:name="page16"/>
    <w:bookmarkEnd w:id="15"/>
    <w:p>
      <w:pPr>
        <w:jc w:val="both"/>
        <w:ind w:right="6"/>
        <w:spacing w:after="0" w:line="249" w:lineRule="auto"/>
        <w:rPr>
          <w:sz w:val="20"/>
          <w:szCs w:val="20"/>
          <w:color w:val="auto"/>
        </w:rPr>
      </w:pPr>
      <w:r>
        <w:rPr>
          <w:rFonts w:ascii="Times New Roman" w:cs="Times New Roman" w:eastAsia="Times New Roman" w:hAnsi="Times New Roman"/>
          <w:sz w:val="20"/>
          <w:szCs w:val="20"/>
          <w:color w:val="auto"/>
        </w:rPr>
        <w:t>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also have a network of experienced and creditworthy EPC contractors to perform design, development, procurement and construction services under supervision by us. Typically, our contracts for EPC services contain fixed price, date certain provisions and liquidated damages provisions, which greatly reduce the risks typically associated with construction projects. We also work with key vendors on initiatives to develop and test upgrades to existing technologies.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Access to Development Opportunities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6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We actively seek to extend the term of our contracts at project sites and views our positive relationships with the owners and managers of its host landfills and dairy farms as a contributing factor to our ability to extend contract terms as they come due.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Large and Diverse Project Portfolio</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EHS and Compliance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4</w:t>
      </w:r>
    </w:p>
    <w:p>
      <w:pPr>
        <w:sectPr>
          <w:pgSz w:w="12240" w:h="15846" w:orient="portrait"/>
          <w:cols w:equalWidth="0" w:num="1">
            <w:col w:w="9366"/>
          </w:cols>
          <w:pgMar w:left="1440" w:top="954" w:right="1440" w:bottom="348"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Nature of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Capture and Conversion Business</w:t>
      </w:r>
    </w:p>
    <w:p>
      <w:pPr>
        <w:spacing w:after="0" w:line="177" w:lineRule="exact"/>
        <w:rPr>
          <w:sz w:val="20"/>
          <w:szCs w:val="20"/>
          <w:color w:val="auto"/>
        </w:rPr>
      </w:pPr>
    </w:p>
    <w:p>
      <w:pPr>
        <w:jc w:val="both"/>
        <w:ind w:right="6" w:firstLine="480"/>
        <w:spacing w:after="0" w:line="263" w:lineRule="auto"/>
        <w:rPr>
          <w:sz w:val="20"/>
          <w:szCs w:val="20"/>
          <w:color w:val="auto"/>
        </w:rPr>
      </w:pPr>
      <w:r>
        <w:rPr>
          <w:rFonts w:ascii="Times New Roman" w:cs="Times New Roman" w:eastAsia="Times New Roman" w:hAnsi="Times New Roman"/>
          <w:sz w:val="19"/>
          <w:szCs w:val="19"/>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w:t>
      </w:r>
    </w:p>
    <w:p>
      <w:pPr>
        <w:spacing w:after="0" w:line="2" w:lineRule="exact"/>
        <w:rPr>
          <w:sz w:val="20"/>
          <w:szCs w:val="20"/>
          <w:color w:val="auto"/>
        </w:rPr>
      </w:pPr>
    </w:p>
    <w:p>
      <w:pPr>
        <w:jc w:val="both"/>
        <w:ind w:right="6"/>
        <w:spacing w:after="0" w:line="264" w:lineRule="auto"/>
        <w:tabs>
          <w:tab w:leader="none" w:pos="313"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spacing w:after="0" w:line="158" w:lineRule="exact"/>
        <w:rPr>
          <w:sz w:val="20"/>
          <w:szCs w:val="20"/>
          <w:color w:val="auto"/>
        </w:rPr>
      </w:pPr>
    </w:p>
    <w:p>
      <w:pPr>
        <w:jc w:val="both"/>
        <w:ind w:right="6" w:firstLine="480"/>
        <w:spacing w:after="0" w:line="281" w:lineRule="auto"/>
        <w:rPr>
          <w:sz w:val="20"/>
          <w:szCs w:val="20"/>
          <w:color w:val="auto"/>
        </w:rPr>
      </w:pPr>
      <w:r>
        <w:rPr>
          <w:rFonts w:ascii="Times New Roman" w:cs="Times New Roman" w:eastAsia="Times New Roman" w:hAnsi="Times New Roman"/>
          <w:sz w:val="18"/>
          <w:szCs w:val="18"/>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44"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72" w:lineRule="exact"/>
        <w:rPr>
          <w:sz w:val="20"/>
          <w:szCs w:val="20"/>
          <w:color w:val="auto"/>
        </w:rPr>
      </w:pPr>
    </w:p>
    <w:p>
      <w:pPr>
        <w:jc w:val="both"/>
        <w:ind w:right="6" w:firstLine="480"/>
        <w:spacing w:after="0" w:line="266" w:lineRule="auto"/>
        <w:rPr>
          <w:sz w:val="20"/>
          <w:szCs w:val="20"/>
          <w:color w:val="auto"/>
        </w:rPr>
      </w:pPr>
      <w:r>
        <w:rPr>
          <w:rFonts w:ascii="Times New Roman" w:cs="Times New Roman" w:eastAsia="Times New Roman" w:hAnsi="Times New Roman"/>
          <w:sz w:val="19"/>
          <w:szCs w:val="19"/>
          <w:color w:val="auto"/>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Dispensing and Monetization Business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2022, we dispensed 29.3 million gasoline gallon equivalent (“GGEs”) of RNG to the transportation market, generating corresponding Environmental Attributes, utilizing our current network of 242 Fueling Stations in 40 states in the United States, including more than 35 stations in California.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Hydrogen Fuel</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engineering phase and construction of the first several of these hydrogen fueling stations.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We Generate Revenue</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Overview. </w:t>
      </w:r>
      <w:r>
        <w:rPr>
          <w:rFonts w:ascii="Times New Roman" w:cs="Times New Roman" w:eastAsia="Times New Roman" w:hAnsi="Times New Roman"/>
          <w:sz w:val="20"/>
          <w:szCs w:val="20"/>
          <w:color w:val="auto"/>
        </w:rPr>
        <w:t>Our revenues are driven principally from the sale of Environmental Attributes that are generated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dispensing RNG as transportation fuel for heavy and medium-duty trucking fleets at Fueling Stations. In addition, we generate revenue from the sale of (i) Renewable Power, (ii) design, development, construction and service of Fueling Stations, and (iii) from sales of RNG produced by OPAL as pipeline quality natural gas.</w:t>
      </w:r>
    </w:p>
    <w:p>
      <w:pPr>
        <w:sectPr>
          <w:pgSz w:w="12240" w:h="15846" w:orient="portrait"/>
          <w:cols w:equalWidth="0" w:num="1">
            <w:col w:w="9366"/>
          </w:cols>
          <w:pgMar w:left="1440" w:top="947" w:right="1440" w:bottom="348" w:gutter="0" w:footer="0" w:header="0"/>
        </w:sectPr>
      </w:pPr>
    </w:p>
    <w:p>
      <w:pPr>
        <w:spacing w:after="0" w:line="398"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5</w:t>
      </w:r>
    </w:p>
    <w:p>
      <w:pPr>
        <w:sectPr>
          <w:pgSz w:w="12240" w:h="15846" w:orient="portrait"/>
          <w:cols w:equalWidth="0" w:num="1">
            <w:col w:w="9366"/>
          </w:cols>
          <w:pgMar w:left="1440" w:top="947" w:right="1440" w:bottom="348" w:gutter="0" w:footer="0" w:header="0"/>
          <w:type w:val="continuous"/>
        </w:sectPr>
      </w:pPr>
    </w:p>
    <w:bookmarkStart w:id="17" w:name="page18"/>
    <w:bookmarkEnd w:id="17"/>
    <w:p>
      <w:pPr>
        <w:jc w:val="both"/>
        <w:ind w:right="6"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Environmental Attributes. </w:t>
      </w:r>
      <w:r>
        <w:rPr>
          <w:rFonts w:ascii="Times New Roman" w:cs="Times New Roman" w:eastAsia="Times New Roman" w:hAnsi="Times New Roman"/>
          <w:sz w:val="19"/>
          <w:szCs w:val="19"/>
          <w:color w:val="auto"/>
        </w:rPr>
        <w:t>Currently, our Environmental Attributes revenue stream is primarily comprised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RINs, LCFS credits, and renewable energy credits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19"/>
          <w:szCs w:val="19"/>
          <w:i w:val="1"/>
          <w:iCs w:val="1"/>
          <w:color w:val="auto"/>
        </w:rPr>
        <w:t>“Biogas RNG Market Opportunity”.</w:t>
      </w:r>
    </w:p>
    <w:p>
      <w:pPr>
        <w:spacing w:after="0" w:line="15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Power Purchase Agreements. </w:t>
      </w:r>
      <w:r>
        <w:rPr>
          <w:rFonts w:ascii="Times New Roman" w:cs="Times New Roman" w:eastAsia="Times New Roman" w:hAnsi="Times New Roman"/>
          <w:sz w:val="20"/>
          <w:szCs w:val="20"/>
          <w:color w:val="auto"/>
        </w:rPr>
        <w:t>Our Renewable Power projects generally have associated long-term Power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 Agreements (“PPAs”)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Fueling Station Construction and Services. </w:t>
      </w:r>
      <w:r>
        <w:rPr>
          <w:rFonts w:ascii="Times New Roman" w:cs="Times New Roman" w:eastAsia="Times New Roman" w:hAnsi="Times New Roman"/>
          <w:sz w:val="20"/>
          <w:szCs w:val="20"/>
          <w:color w:val="auto"/>
        </w:rPr>
        <w:t>We have significant experience in the engineering,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 construction and operation of Fueling Stations that dispense RNG. Since 2009, TruStar Energy Holdings LLC (“OPAL Fuel Station Services”),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our customers obtain federal, state and local tax credits, grants and incentives.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Biogas Conversion Projects</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Typically, a Biogas Conversion Project includes two phases: (i) biogas collection and (ii) processing and purifying biogas.</w:t>
      </w:r>
    </w:p>
    <w:p>
      <w:pPr>
        <w:spacing w:after="0" w:line="174"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separation of the CO2 from the methane molecules. Further treatment of the biogas is often required to remove residual nitrogen and/or oxygen to meet pipeline specifications.</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72"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If a biogas capture and conversion project is not within close proximity to a pipeline, the RNG is transported by road using tube trailers to a gas injection point. This is referred to as a virtual pipeline.</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6</w:t>
      </w:r>
    </w:p>
    <w:p>
      <w:pPr>
        <w:sectPr>
          <w:pgSz w:w="12240" w:h="15846" w:orient="portrait"/>
          <w:cols w:equalWidth="0" w:num="1">
            <w:col w:w="9366"/>
          </w:cols>
          <w:pgMar w:left="1440" w:top="954" w:right="1440" w:bottom="348"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Biogas RNG Market Opportunity</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Landfill Gas Sources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Using proven gas purification technology, biogas can be processed onsite to remove impurities, and used at around 50% methane to generate Renewable Power. Biogas can be further processed and upgraded to remove CO2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Livestock Sources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Livestock are the top agricultural source of GHG worldwide, according to the EPA. Livestock waste, particularly from dairies, produces biomethane which can be converted to RNG.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58"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We view dairy farms as a significant opportunity for us to expand our RNG business. Processing biogas from dairy farms requires similar expertise and capabilities as processing biogas from landfills.</w:t>
      </w:r>
    </w:p>
    <w:p>
      <w:pPr>
        <w:spacing w:after="0" w:line="174"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ectPr>
          <w:pgSz w:w="12240" w:h="15846" w:orient="portrait"/>
          <w:cols w:equalWidth="0" w:num="1">
            <w:col w:w="9366"/>
          </w:cols>
          <w:pgMar w:left="1440" w:top="947" w:right="1440" w:bottom="348" w:gutter="0" w:footer="0" w:header="0"/>
        </w:sectPr>
      </w:pPr>
    </w:p>
    <w:p>
      <w:pPr>
        <w:spacing w:after="0" w:line="237"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7</w:t>
      </w:r>
    </w:p>
    <w:p>
      <w:pPr>
        <w:sectPr>
          <w:pgSz w:w="12240" w:h="15846" w:orient="portrait"/>
          <w:cols w:equalWidth="0" w:num="1">
            <w:col w:w="9366"/>
          </w:cols>
          <w:pgMar w:left="1440" w:top="947" w:right="1440" w:bottom="348"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i w:val="1"/>
          <w:iCs w:val="1"/>
          <w:color w:val="auto"/>
        </w:rPr>
        <w:t>Highly Fragmented Market</w:t>
      </w:r>
    </w:p>
    <w:p>
      <w:pPr>
        <w:spacing w:after="0" w:line="177"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The LFG market is heavily fragmented, which we believe represents an opportunity for companies like us to find project opportunities. According to the EPA, the top ten players account for approximately 54% of installed LFG capacity as of December 31, 2022, and over 90% of developers own five or fewer projects. This market dynamic creates the opportunity for consolidation by well capitalized, experienced market participants such as OPAL.</w:t>
      </w:r>
    </w:p>
    <w:p>
      <w:pPr>
        <w:spacing w:after="0" w:line="155"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While LFG has accounted for most of the growth in Biogas Conversion Projects to date, we believe additional economically viable LFG project opportunities exist. According to the EPA LMOP project database, as of August 2022, there were 538 LFG projects in operation in the United States, including 366 operating LFG-to-electricity projects that may be converted to produce RNG as well as 470 additional candidate landfills. Based on EPA data, these 470 candidate landfills have the potential to collect a combined 326.7 million standard cubic feet of LFG per day. Based on our industry experience, technical knowledge and analysis, we believe many of these sites are potentially economically viable for RNG project acquisitions.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CO2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our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Well-Established Regulatory Framework</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w:t>
      </w:r>
      <w:r>
        <w:rPr>
          <w:rFonts w:ascii="Times New Roman" w:cs="Times New Roman" w:eastAsia="Times New Roman" w:hAnsi="Times New Roman"/>
          <w:sz w:val="20"/>
          <w:szCs w:val="20"/>
          <w:i w:val="1"/>
          <w:iCs w:val="1"/>
          <w:color w:val="auto"/>
        </w:rPr>
        <w:t>D3</w:t>
      </w:r>
      <w:r>
        <w:rPr>
          <w:rFonts w:ascii="Times New Roman" w:cs="Times New Roman" w:eastAsia="Times New Roman" w:hAnsi="Times New Roman"/>
          <w:sz w:val="20"/>
          <w:szCs w:val="20"/>
          <w:color w:val="auto"/>
        </w:rPr>
        <w:t>”) RIN, which is currently the highest priced RIN and commands a premium compared to non-cellulosic renewable fuels such as ethanol and renewable diesel.</w:t>
      </w:r>
    </w:p>
    <w:p>
      <w:pPr>
        <w:spacing w:after="0" w:line="16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8</w:t>
      </w:r>
    </w:p>
    <w:p>
      <w:pPr>
        <w:sectPr>
          <w:pgSz w:w="12240" w:h="15846" w:orient="portrait"/>
          <w:cols w:equalWidth="0" w:num="1">
            <w:col w:w="9366"/>
          </w:cols>
          <w:pgMar w:left="1440" w:top="947" w:right="1440" w:bottom="348" w:gutter="0" w:footer="0" w:header="0"/>
          <w:type w:val="continuous"/>
        </w:sectPr>
      </w:pPr>
    </w:p>
    <w:bookmarkStart w:id="20" w:name="page21"/>
    <w:bookmarkEnd w:id="20"/>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Economic Benefits Incentivize Switching to RNG</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Projects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As of the date of this report, we owned and operated 25 projects, seven of which are RNG projects and 18 of which are Renewable Power Projects. As of that date, our RNG projects in operation had a design capacity of 3.9 million MMBtus per year and our Renewable Power Projects in operation had a nameplate capacity of 118.6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RNG projects in operation and construction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Design capacity</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0"/>
        </w:trPr>
        <w:tc>
          <w:tcPr>
            <w:tcW w:w="8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40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8"/>
              </w:rPr>
              <w:t>(MMbtus per</w:t>
            </w: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Source of</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8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400" w:type="dxa"/>
            <w:vAlign w:val="bottom"/>
            <w:gridSpan w:val="2"/>
          </w:tcPr>
          <w:p>
            <w:pPr>
              <w:jc w:val="center"/>
              <w:ind w:right="180"/>
              <w:spacing w:after="0" w:line="219" w:lineRule="exact"/>
              <w:rPr>
                <w:sz w:val="20"/>
                <w:szCs w:val="20"/>
                <w:color w:val="auto"/>
              </w:rPr>
            </w:pPr>
            <w:r>
              <w:rPr>
                <w:rFonts w:ascii="Times New Roman" w:cs="Times New Roman" w:eastAsia="Times New Roman" w:hAnsi="Times New Roman"/>
                <w:sz w:val="18"/>
                <w:szCs w:val="18"/>
                <w:b w:val="1"/>
                <w:bCs w:val="1"/>
                <w:color w:val="auto"/>
                <w:w w:val="89"/>
              </w:rPr>
              <w:t>year)</w:t>
            </w:r>
            <w:r>
              <w:rPr>
                <w:rFonts w:ascii="Times New Roman" w:cs="Times New Roman" w:eastAsia="Times New Roman" w:hAnsi="Times New Roman"/>
                <w:sz w:val="20"/>
                <w:szCs w:val="20"/>
                <w:b w:val="1"/>
                <w:bCs w:val="1"/>
                <w:color w:val="auto"/>
                <w:w w:val="89"/>
                <w:vertAlign w:val="superscript"/>
              </w:rPr>
              <w:t>(1)</w:t>
            </w:r>
          </w:p>
        </w:tc>
        <w:tc>
          <w:tcPr>
            <w:tcW w:w="12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bio gas</w:t>
            </w:r>
          </w:p>
        </w:tc>
        <w:tc>
          <w:tcPr>
            <w:tcW w:w="180" w:type="dxa"/>
            <w:vAlign w:val="bottom"/>
          </w:tcPr>
          <w:p>
            <w:pPr>
              <w:spacing w:after="0"/>
              <w:rPr>
                <w:sz w:val="19"/>
                <w:szCs w:val="19"/>
                <w:color w:val="auto"/>
              </w:rPr>
            </w:pPr>
          </w:p>
        </w:tc>
        <w:tc>
          <w:tcPr>
            <w:tcW w:w="1220" w:type="dxa"/>
            <w:vAlign w:val="bottom"/>
          </w:tcPr>
          <w:p>
            <w:pPr>
              <w:ind w:left="120"/>
              <w:spacing w:after="0" w:line="219" w:lineRule="exact"/>
              <w:rPr>
                <w:sz w:val="20"/>
                <w:szCs w:val="20"/>
                <w:color w:val="auto"/>
              </w:rPr>
            </w:pP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20"/>
                <w:szCs w:val="20"/>
                <w:b w:val="1"/>
                <w:bCs w:val="1"/>
                <w:color w:val="auto"/>
                <w:vertAlign w:val="superscript"/>
              </w:rPr>
              <w:t>(2)</w:t>
            </w:r>
          </w:p>
        </w:tc>
      </w:t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operation:</w:t>
            </w:r>
          </w:p>
        </w:tc>
        <w:tc>
          <w:tcPr>
            <w:tcW w:w="12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6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Greentree . . .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r>
      <w:tr>
        <w:trPr>
          <w:trHeight w:val="26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Imperial . . . .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r>
      <w:tr>
        <w:trPr>
          <w:trHeight w:val="26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New River . .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663,570</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r>
      <w:tr>
        <w:trPr>
          <w:trHeight w:val="297"/>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Noble Road</w:t>
            </w:r>
            <w:r>
              <w:rPr>
                <w:rFonts w:ascii="Times New Roman" w:cs="Times New Roman" w:eastAsia="Times New Roman" w:hAnsi="Times New Roman"/>
                <w:sz w:val="23"/>
                <w:szCs w:val="23"/>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464,499</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50%</w:t>
            </w:r>
          </w:p>
        </w:tc>
      </w:tr>
      <w:tr>
        <w:trPr>
          <w:trHeight w:val="260"/>
        </w:trPr>
        <w:tc>
          <w:tcPr>
            <w:tcW w:w="5220" w:type="dxa"/>
            <w:vAlign w:val="bottom"/>
            <w:gridSpan w:val="2"/>
          </w:tcPr>
          <w:p>
            <w:pPr>
              <w:jc w:val="right"/>
              <w:ind w:right="160"/>
              <w:spacing w:after="0" w:line="259" w:lineRule="exact"/>
              <w:rPr>
                <w:sz w:val="20"/>
                <w:szCs w:val="20"/>
                <w:color w:val="auto"/>
              </w:rPr>
            </w:pPr>
            <w:r>
              <w:rPr>
                <w:rFonts w:ascii="Times New Roman" w:cs="Times New Roman" w:eastAsia="Times New Roman" w:hAnsi="Times New Roman"/>
                <w:sz w:val="20"/>
                <w:szCs w:val="20"/>
                <w:color w:val="auto"/>
                <w:w w:val="98"/>
              </w:rPr>
              <w:t>Biotown</w:t>
            </w:r>
            <w:r>
              <w:rPr>
                <w:rFonts w:ascii="Times New Roman" w:cs="Times New Roman" w:eastAsia="Times New Roman" w:hAnsi="Times New Roman"/>
                <w:sz w:val="23"/>
                <w:szCs w:val="23"/>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48,573</w:t>
            </w:r>
          </w:p>
        </w:tc>
        <w:tc>
          <w:tcPr>
            <w:tcW w:w="180" w:type="dxa"/>
            <w:vAlign w:val="bottom"/>
          </w:tcPr>
          <w:p>
            <w:pPr>
              <w:spacing w:after="0"/>
              <w:rPr>
                <w:sz w:val="22"/>
                <w:szCs w:val="22"/>
                <w:color w:val="auto"/>
              </w:rPr>
            </w:pPr>
          </w:p>
        </w:tc>
        <w:tc>
          <w:tcPr>
            <w:tcW w:w="12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4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10%</w:t>
            </w:r>
          </w:p>
        </w:tc>
      </w:tr>
      <w:tr>
        <w:trPr>
          <w:trHeight w:val="260"/>
        </w:trPr>
        <w:tc>
          <w:tcPr>
            <w:tcW w:w="5220" w:type="dxa"/>
            <w:vAlign w:val="bottom"/>
            <w:gridSpan w:val="2"/>
          </w:tcPr>
          <w:p>
            <w:pPr>
              <w:jc w:val="right"/>
              <w:ind w:right="160"/>
              <w:spacing w:after="0" w:line="259" w:lineRule="exact"/>
              <w:rPr>
                <w:sz w:val="20"/>
                <w:szCs w:val="20"/>
                <w:color w:val="auto"/>
              </w:rPr>
            </w:pPr>
            <w:r>
              <w:rPr>
                <w:rFonts w:ascii="Times New Roman" w:cs="Times New Roman" w:eastAsia="Times New Roman" w:hAnsi="Times New Roman"/>
                <w:sz w:val="20"/>
                <w:szCs w:val="20"/>
                <w:color w:val="auto"/>
                <w:w w:val="98"/>
              </w:rPr>
              <w:t>Pine Bend</w:t>
            </w:r>
            <w:r>
              <w:rPr>
                <w:rFonts w:ascii="Times New Roman" w:cs="Times New Roman" w:eastAsia="Times New Roman" w:hAnsi="Times New Roman"/>
                <w:sz w:val="23"/>
                <w:szCs w:val="23"/>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424,685</w:t>
            </w:r>
          </w:p>
        </w:tc>
        <w:tc>
          <w:tcPr>
            <w:tcW w:w="180" w:type="dxa"/>
            <w:vAlign w:val="bottom"/>
          </w:tcPr>
          <w:p>
            <w:pPr>
              <w:spacing w:after="0"/>
              <w:rPr>
                <w:sz w:val="22"/>
                <w:szCs w:val="22"/>
                <w:color w:val="auto"/>
              </w:rPr>
            </w:pPr>
          </w:p>
        </w:tc>
        <w:tc>
          <w:tcPr>
            <w:tcW w:w="12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4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50%</w:t>
            </w:r>
          </w:p>
        </w:tc>
      </w:tr>
      <w:tr>
        <w:trPr>
          <w:trHeight w:val="223"/>
        </w:trPr>
        <w:tc>
          <w:tcPr>
            <w:tcW w:w="522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w w:val="99"/>
              </w:rPr>
              <w:t>Sunoma . . . . . . . . . . . . . . . . . . . . . . . . . . . . . . . . . . . . . . . . . . . .</w:t>
            </w:r>
          </w:p>
        </w:tc>
        <w:tc>
          <w:tcPr>
            <w:tcW w:w="1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192,350</w:t>
            </w:r>
          </w:p>
        </w:tc>
        <w:tc>
          <w:tcPr>
            <w:tcW w:w="180" w:type="dxa"/>
            <w:vAlign w:val="bottom"/>
          </w:tcPr>
          <w:p>
            <w:pPr>
              <w:spacing w:after="0"/>
              <w:rPr>
                <w:sz w:val="19"/>
                <w:szCs w:val="19"/>
                <w:color w:val="auto"/>
              </w:rPr>
            </w:pPr>
          </w:p>
        </w:tc>
        <w:tc>
          <w:tcPr>
            <w:tcW w:w="12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40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90%</w:t>
            </w:r>
          </w:p>
        </w:tc>
      </w:tr>
      <w:tr>
        <w:trPr>
          <w:trHeight w:val="24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 . . . . . . . . . . . . . . . . . . . . . . . . . . . . . . . . . . . . . . . .</w:t>
            </w:r>
            <w:r>
              <w:rPr>
                <w:rFonts w:ascii="Times New Roman" w:cs="Times New Roman" w:eastAsia="Times New Roman" w:hAnsi="Times New Roman"/>
                <w:sz w:val="20"/>
                <w:szCs w:val="20"/>
                <w:b w:val="1"/>
                <w:bCs w:val="1"/>
                <w:color w:val="auto"/>
              </w:rPr>
              <w:t>Subtotal</w:t>
            </w: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3,917,101</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8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construction:</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Prince William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1,725,282</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r>
      <w:tr>
        <w:trPr>
          <w:trHeight w:val="26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Hilltop . . . . . . . . . . . . . . . . . . . . . . . . . . . . . . . . . . . . . . . . . . . .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255,500</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Dairy</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r>
      <w:tr>
        <w:trPr>
          <w:trHeight w:val="26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Vander Schaaf . . . . . . . . . . . . . . . . . . . . . . . . . . . . . . . . . . . . . .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255,500</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Dairy</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r>
      <w:tr>
        <w:trPr>
          <w:trHeight w:val="26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Emerald . . . . . . . . . . . . . . . . . . . . . . . . . . . . . . . . . . . . . . . . . . .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1,327,140</w:t>
            </w:r>
          </w:p>
        </w:tc>
        <w:tc>
          <w:tcPr>
            <w:tcW w:w="1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LFG</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50%</w:t>
            </w:r>
          </w:p>
        </w:tc>
      </w:tr>
      <w:tr>
        <w:trPr>
          <w:trHeight w:val="26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Sapphire . . . . . . . . . . . . . . . . . . . . . . . . . . . . . . . . . . . . . . . . . .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796,284</w:t>
            </w:r>
          </w:p>
        </w:tc>
        <w:tc>
          <w:tcPr>
            <w:tcW w:w="1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LFG</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50%</w:t>
            </w:r>
          </w:p>
        </w:tc>
      </w:tr>
      <w:tr>
        <w:trPr>
          <w:trHeight w:val="26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New England . . . . . . . . . . . . . . . . . . . . . . . . . . . . . . . . . . . . . . .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318,514</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40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r>
      <w:tr>
        <w:trPr>
          <w:trHeight w:val="240"/>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 . . . . . . . . . . . . . . . . . . . . . . . . . . . . . . . . . . . . . . . .</w:t>
            </w:r>
            <w:r>
              <w:rPr>
                <w:rFonts w:ascii="Times New Roman" w:cs="Times New Roman" w:eastAsia="Times New Roman" w:hAnsi="Times New Roman"/>
                <w:sz w:val="20"/>
                <w:szCs w:val="20"/>
                <w:b w:val="1"/>
                <w:bCs w:val="1"/>
                <w:color w:val="auto"/>
              </w:rPr>
              <w:t>Subtotal</w:t>
            </w: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4,678,220</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81"/>
        </w:trPr>
        <w:tc>
          <w:tcPr>
            <w:tcW w:w="5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 . . . . . . . . . . . . . . . . . . . . . . . . . . . . . . . . . . . . . . . . . . . .</w:t>
            </w:r>
            <w:r>
              <w:rPr>
                <w:rFonts w:ascii="Times New Roman" w:cs="Times New Roman" w:eastAsia="Times New Roman" w:hAnsi="Times New Roman"/>
                <w:sz w:val="20"/>
                <w:szCs w:val="20"/>
                <w:b w:val="1"/>
                <w:bCs w:val="1"/>
                <w:color w:val="auto"/>
              </w:rPr>
              <w:t>Total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8,595,321</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4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r>
    </w:tbl>
    <w:p>
      <w:pPr>
        <w:spacing w:after="0" w:line="83" w:lineRule="exact"/>
        <w:rPr>
          <w:sz w:val="20"/>
          <w:szCs w:val="20"/>
          <w:color w:val="auto"/>
        </w:rPr>
      </w:pPr>
    </w:p>
    <w:p>
      <w:pPr>
        <w:jc w:val="both"/>
        <w:ind w:left="480" w:right="6" w:hanging="480"/>
        <w:spacing w:after="0" w:line="250"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capacity represents the Company’s proportional ownership in the project. 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3" w:lineRule="exact"/>
        <w:rPr>
          <w:rFonts w:ascii="Times New Roman" w:cs="Times New Roman" w:eastAsia="Times New Roman" w:hAnsi="Times New Roman"/>
          <w:sz w:val="18"/>
          <w:szCs w:val="18"/>
          <w:color w:val="auto"/>
        </w:rPr>
      </w:pPr>
    </w:p>
    <w:p>
      <w:pPr>
        <w:ind w:left="480" w:right="6" w:hanging="480"/>
        <w:spacing w:after="0" w:line="270" w:lineRule="auto"/>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ind w:left="480" w:hanging="48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our ownership interests in these projects as equity method investments in our consolidated financial statements.</w:t>
      </w:r>
    </w:p>
    <w:p>
      <w:pPr>
        <w:sectPr>
          <w:pgSz w:w="12240" w:h="15846" w:orient="portrait"/>
          <w:cols w:equalWidth="0" w:num="1">
            <w:col w:w="9366"/>
          </w:cols>
          <w:pgMar w:left="1440" w:top="954" w:right="1440" w:bottom="348" w:gutter="0" w:footer="0" w:header="0"/>
        </w:sectPr>
      </w:pPr>
    </w:p>
    <w:p>
      <w:pPr>
        <w:spacing w:after="0" w:line="26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9</w:t>
      </w:r>
    </w:p>
    <w:p>
      <w:pPr>
        <w:sectPr>
          <w:pgSz w:w="12240" w:h="15846" w:orient="portrait"/>
          <w:cols w:equalWidth="0" w:num="1">
            <w:col w:w="9366"/>
          </w:cols>
          <w:pgMar w:left="1440" w:top="954" w:right="1440" w:bottom="348"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our over 20-year history which has allowed us to pivot towards projects and markets that we believe deliver optimal returns and shareholder value in response to changes in market, regulatory and competitive pressures.</w:t>
      </w:r>
    </w:p>
    <w:p>
      <w:pPr>
        <w:spacing w:after="0" w:line="174"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72"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Our RNG projects are subject to federal RFS program regulations, including the Energy Policy Act of 2005 (the “</w:t>
      </w:r>
      <w:r>
        <w:rPr>
          <w:rFonts w:ascii="Times New Roman" w:cs="Times New Roman" w:eastAsia="Times New Roman" w:hAnsi="Times New Roman"/>
          <w:sz w:val="19"/>
          <w:szCs w:val="19"/>
          <w:i w:val="1"/>
          <w:iCs w:val="1"/>
          <w:color w:val="auto"/>
        </w:rPr>
        <w:t>EPACT 2005</w:t>
      </w:r>
      <w:r>
        <w:rPr>
          <w:rFonts w:ascii="Times New Roman" w:cs="Times New Roman" w:eastAsia="Times New Roman" w:hAnsi="Times New Roman"/>
          <w:sz w:val="19"/>
          <w:szCs w:val="19"/>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156"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70"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The EPA under the Clean Air Act (the “</w:t>
      </w:r>
      <w:r>
        <w:rPr>
          <w:rFonts w:ascii="Times New Roman" w:cs="Times New Roman" w:eastAsia="Times New Roman" w:hAnsi="Times New Roman"/>
          <w:sz w:val="19"/>
          <w:szCs w:val="19"/>
          <w:i w:val="1"/>
          <w:iCs w:val="1"/>
          <w:color w:val="auto"/>
        </w:rPr>
        <w:t>CAA</w:t>
      </w:r>
      <w:r>
        <w:rPr>
          <w:rFonts w:ascii="Times New Roman" w:cs="Times New Roman" w:eastAsia="Times New Roman" w:hAnsi="Times New Roman"/>
          <w:sz w:val="19"/>
          <w:szCs w:val="19"/>
          <w:color w:val="auto"/>
        </w:rPr>
        <w:t>”) regulates emissions of pollutants to protect the environment and public health and contains provisions for New Source Review (the “</w:t>
      </w:r>
      <w:r>
        <w:rPr>
          <w:rFonts w:ascii="Times New Roman" w:cs="Times New Roman" w:eastAsia="Times New Roman" w:hAnsi="Times New Roman"/>
          <w:sz w:val="19"/>
          <w:szCs w:val="19"/>
          <w:i w:val="1"/>
          <w:iCs w:val="1"/>
          <w:color w:val="auto"/>
        </w:rPr>
        <w:t>NSR</w:t>
      </w:r>
      <w:r>
        <w:rPr>
          <w:rFonts w:ascii="Times New Roman" w:cs="Times New Roman" w:eastAsia="Times New Roman" w:hAnsi="Times New Roman"/>
          <w:sz w:val="19"/>
          <w:szCs w:val="19"/>
          <w:color w:val="auto"/>
        </w:rPr>
        <w:t>”) permits and Title V permits. New Biogas Conversion Projects may be required to obtain construction permits under the NSR program. The combustion of biogas results in emissions of carbon monoxide, oxides of nitrogen, sulfur dioxide, volatile organic compounds</w:t>
      </w:r>
    </w:p>
    <w:p>
      <w:pPr>
        <w:sectPr>
          <w:pgSz w:w="12240" w:h="15846" w:orient="portrait"/>
          <w:cols w:equalWidth="0" w:num="1">
            <w:col w:w="9366"/>
          </w:cols>
          <w:pgMar w:left="1440" w:top="947" w:right="1440" w:bottom="348" w:gutter="0" w:footer="0" w:header="0"/>
        </w:sectPr>
      </w:pPr>
    </w:p>
    <w:p>
      <w:pPr>
        <w:spacing w:after="0" w:line="3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10</w:t>
      </w:r>
    </w:p>
    <w:p>
      <w:pPr>
        <w:sectPr>
          <w:pgSz w:w="12240" w:h="15846" w:orient="portrait"/>
          <w:cols w:equalWidth="0" w:num="1">
            <w:col w:w="9366"/>
          </w:cols>
          <w:pgMar w:left="1440" w:top="947" w:right="1440" w:bottom="348" w:gutter="0" w:footer="0" w:header="0"/>
          <w:type w:val="continuous"/>
        </w:sectPr>
      </w:pPr>
    </w:p>
    <w:bookmarkStart w:id="22" w:name="page23"/>
    <w:bookmarkEnd w:id="22"/>
    <w:p>
      <w:pPr>
        <w:jc w:val="both"/>
        <w:ind w:right="6"/>
        <w:spacing w:after="0" w:line="249" w:lineRule="auto"/>
        <w:rPr>
          <w:sz w:val="20"/>
          <w:szCs w:val="20"/>
          <w:color w:val="auto"/>
        </w:rPr>
      </w:pPr>
      <w:r>
        <w:rPr>
          <w:rFonts w:ascii="Times New Roman" w:cs="Times New Roman" w:eastAsia="Times New Roman" w:hAnsi="Times New Roman"/>
          <w:sz w:val="20"/>
          <w:szCs w:val="20"/>
          <w:color w:val="auto"/>
        </w:rPr>
        <w:t>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Before an RNG project can be developed, all the Resource Conservation and Recovery (th</w:t>
      </w:r>
      <w:r>
        <w:rPr>
          <w:rFonts w:ascii="Times New Roman" w:cs="Times New Roman" w:eastAsia="Times New Roman" w:hAnsi="Times New Roman"/>
          <w:sz w:val="20"/>
          <w:szCs w:val="20"/>
          <w:i w:val="1"/>
          <w:iCs w:val="1"/>
          <w:color w:val="auto"/>
        </w:rPr>
        <w:t>e “RCRA”)</w:t>
      </w:r>
      <w:r>
        <w:rPr>
          <w:rFonts w:ascii="Times New Roman" w:cs="Times New Roman" w:eastAsia="Times New Roman" w:hAnsi="Times New Roman"/>
          <w:sz w:val="20"/>
          <w:szCs w:val="20"/>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72"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72"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FERC</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11</w:t>
      </w:r>
    </w:p>
    <w:p>
      <w:pPr>
        <w:sectPr>
          <w:pgSz w:w="12240" w:h="15846" w:orient="portrait"/>
          <w:cols w:equalWidth="0" w:num="1">
            <w:col w:w="9366"/>
          </w:cols>
          <w:pgMar w:left="1440" w:top="954" w:right="1440" w:bottom="348" w:gutter="0" w:footer="0" w:header="0"/>
          <w:type w:val="continuous"/>
        </w:sectPr>
      </w:pPr>
    </w:p>
    <w:bookmarkStart w:id="23" w:name="page24"/>
    <w:bookmarkEnd w:id="23"/>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Qualifying Facilities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Public Utility Regulatory Policies Act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State Utility Regulation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73"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Production and Sale</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12</w:t>
      </w:r>
    </w:p>
    <w:p>
      <w:pPr>
        <w:sectPr>
          <w:pgSz w:w="12240" w:h="15846" w:orient="portrait"/>
          <w:cols w:equalWidth="0" w:num="1">
            <w:col w:w="9366"/>
          </w:cols>
          <w:pgMar w:left="1440" w:top="954" w:right="1440" w:bottom="348" w:gutter="0" w:footer="0" w:header="0"/>
          <w:type w:val="continuous"/>
        </w:sectPr>
      </w:pPr>
    </w:p>
    <w:bookmarkStart w:id="24" w:name="page25"/>
    <w:bookmarkEnd w:id="24"/>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Regulations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 of Existing or Probable Government Regulations on Our Business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70"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 w:cs="Times New Roman" w:eastAsia="Times New Roman" w:hAnsi="Times New Roman"/>
          <w:sz w:val="20"/>
          <w:szCs w:val="20"/>
          <w:i w:val="1"/>
          <w:iCs w:val="1"/>
          <w:color w:val="auto"/>
        </w:rPr>
        <w:t>Business — Legal Proceedings.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corporate headquarters are located in White Plains, New York, where we occupy approximately 13,600 square feet of shared office space with an affiliate of Fortistar pursuant to an Administrative Services Agreement. We believe this office space is adequate for our needs for the immediate future and that, should it be necessary, we can lease additional space to accommodate any future growth.</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services office and maintenance facility is located in Oronoco, Minnesota, where we own and occupy a 20,000 square foot building of combined office space, maintenance shop and loading dock located on 3.25 acres. The building was acquired in September 2018 and is adequate for our needs for the immediate future. Should it be necessary, we believe we can expand the building to accommodate future growth.</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construction office and maintenance facility is located in Rancho Cucamonga, California, where we occupy approximately 29,935 square feet of combined office space, maintenance shop and loading dock. In March, 2022, the Company entered into an amendment to the lease which extended the lease term till January 2026. We believe the space that we currently lease is adequate for our needs for the immediate future but we will likely seek additional space during the course of 2023 to accommodate future growth, which we believe will be available to us on satisfactory terms.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As of December 31, 2022, OPAL had approximately 298 full-time employees, all of whom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w:t>
      </w:r>
    </w:p>
    <w:p>
      <w:pPr>
        <w:sectPr>
          <w:pgSz w:w="12240" w:h="15846" w:orient="portrait"/>
          <w:cols w:equalWidth="0" w:num="1">
            <w:col w:w="9366"/>
          </w:cols>
          <w:pgMar w:left="1440" w:top="954" w:right="1440" w:bottom="348" w:gutter="0" w:footer="0" w:header="0"/>
        </w:sectPr>
      </w:pPr>
    </w:p>
    <w:p>
      <w:pPr>
        <w:spacing w:after="0" w:line="3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13</w:t>
      </w:r>
    </w:p>
    <w:p>
      <w:pPr>
        <w:sectPr>
          <w:pgSz w:w="12240" w:h="15846" w:orient="portrait"/>
          <w:cols w:equalWidth="0" w:num="1">
            <w:col w:w="9366"/>
          </w:cols>
          <w:pgMar w:left="1440" w:top="954" w:right="1440" w:bottom="348"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i w:val="1"/>
          <w:iCs w:val="1"/>
          <w:color w:val="auto"/>
        </w:rPr>
        <w:t>Our values</w:t>
      </w:r>
    </w:p>
    <w:p>
      <w:pPr>
        <w:spacing w:after="0" w:line="170" w:lineRule="exact"/>
        <w:rPr>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SAFETY — </w:t>
      </w:r>
      <w:r>
        <w:rPr>
          <w:rFonts w:ascii="Times New Roman" w:cs="Times New Roman" w:eastAsia="Times New Roman" w:hAnsi="Times New Roman"/>
          <w:sz w:val="20"/>
          <w:szCs w:val="20"/>
          <w:color w:val="auto"/>
        </w:rPr>
        <w:t>Passion for safety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INTEGRITY — </w:t>
      </w:r>
      <w:r>
        <w:rPr>
          <w:rFonts w:ascii="Times New Roman" w:cs="Times New Roman" w:eastAsia="Times New Roman" w:hAnsi="Times New Roman"/>
          <w:sz w:val="20"/>
          <w:szCs w:val="20"/>
          <w:color w:val="auto"/>
        </w:rPr>
        <w:t>Straightforward, open and honest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RELATIONSHIPS — </w:t>
      </w:r>
      <w:r>
        <w:rPr>
          <w:rFonts w:ascii="Times New Roman" w:cs="Times New Roman" w:eastAsia="Times New Roman" w:hAnsi="Times New Roman"/>
          <w:sz w:val="20"/>
          <w:szCs w:val="20"/>
          <w:color w:val="auto"/>
        </w:rPr>
        <w:t>Engaging all stakeholders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EXCELLENCE — </w:t>
      </w:r>
      <w:r>
        <w:rPr>
          <w:rFonts w:ascii="Times New Roman" w:cs="Times New Roman" w:eastAsia="Times New Roman" w:hAnsi="Times New Roman"/>
          <w:sz w:val="20"/>
          <w:szCs w:val="20"/>
          <w:color w:val="auto"/>
        </w:rPr>
        <w:t>Quality and creativity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Talent management and leadership</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Human rights, health and safety</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the accidents occur.</w:t>
      </w:r>
    </w:p>
    <w:p>
      <w:pPr>
        <w:spacing w:after="0" w:line="169"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We continuously strive to provide a secure working environment for both our office-based and field operations personnel. During COVID-19, we have taken extraordinary measures to protect the health of our employees by allowing them to work from home. We took measures to adapt all of our office to the new safety precautions to include social distancing guidelines as well as ensuring mask wearing compliance when required. We continued our focus in 2022 on keeping our employees and their families safe from COVID-19 through a variety of workplace health and safety measures, including providing hybrid working schedule, required mask compliance per the local health guidelines, quarantined and contact traced employees, deployed hand sanitizer machines and strongly encouraged all employees to get vaccinated against COVID-19. We offer free COVID-19 test kits to our employees.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Our website can be found at </w:t>
      </w:r>
      <w:r>
        <w:rPr>
          <w:rFonts w:ascii="Times New Roman" w:cs="Times New Roman" w:eastAsia="Times New Roman" w:hAnsi="Times New Roman"/>
          <w:sz w:val="20"/>
          <w:szCs w:val="20"/>
          <w:i w:val="1"/>
          <w:iCs w:val="1"/>
          <w:color w:val="auto"/>
        </w:rPr>
        <w:t>www.opalfuels.com</w:t>
      </w:r>
      <w:r>
        <w:rPr>
          <w:rFonts w:ascii="Times New Roman" w:cs="Times New Roman" w:eastAsia="Times New Roman" w:hAnsi="Times New Roman"/>
          <w:sz w:val="20"/>
          <w:szCs w:val="20"/>
          <w:color w:val="auto"/>
        </w:rPr>
        <w:t xml:space="preserve">. We make available, free of charge through our website, our Annual Report on Form 10-K, Quarterly Reports on Form 10-Q, Current Reports on Form 8-K, our proxy statement, our Registration Statements and Forms 3, 4 and 5 filed on behalf of directors and executive officers, and amendments to these reports, as soon as reasonably practicable after we electronically file such material with, or furnish such material to, the SEC. We are not including the information contained on our website or any other website as a part of, or incorporating it by reference into, this Annual Report on Form 10-K or any other filing we make with the SEC. The filings are also available through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Our Board of Directors (the “Board”) has documented its governance practices by adopting several corporate governance policies. These governance policies, including our Corporate Governance Guidelines and Code of Business Conduct and Ethics, as well as the charter for the Audit Committee of the Board may also be viewed on our website. Copies of such documents will be provided to stockholders without charge upon written request to the corporate secretary at the address shown on the cover page of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are definitions of terms used in this Form 10-K.</w:t>
      </w:r>
    </w:p>
    <w:p>
      <w:pPr>
        <w:spacing w:after="0" w:line="179" w:lineRule="exact"/>
        <w:rPr>
          <w:sz w:val="20"/>
          <w:szCs w:val="20"/>
          <w:color w:val="auto"/>
        </w:rPr>
      </w:pPr>
    </w:p>
    <w:p>
      <w:pPr>
        <w:jc w:val="both"/>
        <w:ind w:left="480" w:right="6"/>
        <w:spacing w:after="0" w:line="241" w:lineRule="auto"/>
        <w:rPr>
          <w:sz w:val="20"/>
          <w:szCs w:val="20"/>
          <w:color w:val="auto"/>
        </w:rPr>
      </w:pPr>
      <w:r>
        <w:rPr>
          <w:rFonts w:ascii="Times New Roman" w:cs="Times New Roman" w:eastAsia="Times New Roman" w:hAnsi="Times New Roman"/>
          <w:sz w:val="20"/>
          <w:szCs w:val="20"/>
          <w:i w:val="1"/>
          <w:iCs w:val="1"/>
          <w:color w:val="auto"/>
        </w:rPr>
        <w:t>“ArcLight” refers to ArcLight Clean Transaction Corp. II, a blank check company incorporated as a Cayman Islands exempt company, and our previous name prior to the Closing.</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“Ares” refers to ARRC Beacon LLC, a Delaware limited liability company.</w:t>
      </w:r>
    </w:p>
    <w:p>
      <w:pPr>
        <w:spacing w:after="0" w:line="179" w:lineRule="exact"/>
        <w:rPr>
          <w:sz w:val="20"/>
          <w:szCs w:val="20"/>
          <w:color w:val="auto"/>
        </w:rPr>
      </w:pPr>
    </w:p>
    <w:p>
      <w:pPr>
        <w:jc w:val="both"/>
        <w:ind w:left="480" w:right="6"/>
        <w:spacing w:after="0" w:line="245" w:lineRule="auto"/>
        <w:rPr>
          <w:sz w:val="20"/>
          <w:szCs w:val="20"/>
          <w:color w:val="auto"/>
        </w:rPr>
      </w:pPr>
      <w:r>
        <w:rPr>
          <w:rFonts w:ascii="Times New Roman" w:cs="Times New Roman" w:eastAsia="Times New Roman" w:hAnsi="Times New Roman"/>
          <w:sz w:val="20"/>
          <w:szCs w:val="20"/>
          <w:i w:val="1"/>
          <w:iCs w:val="1"/>
          <w:color w:val="auto"/>
        </w:rPr>
        <w:t>“BCA” or “Business Combination Agreement” refers to the Business Combination Agreement dated as of December 2, 2021 (as the same has been or may be amended, modified, supplemented or waived from time to time), by and among ArcLight, OPAL Fuels and OPAL Holdco.</w:t>
      </w:r>
    </w:p>
    <w:p>
      <w:pPr>
        <w:sectPr>
          <w:pgSz w:w="12240" w:h="15846" w:orient="portrait"/>
          <w:cols w:equalWidth="0" w:num="1">
            <w:col w:w="9366"/>
          </w:cols>
          <w:pgMar w:left="1440" w:top="947" w:right="1440" w:bottom="348" w:gutter="0" w:footer="0" w:header="0"/>
        </w:sectPr>
      </w:pPr>
    </w:p>
    <w:p>
      <w:pPr>
        <w:spacing w:after="0" w:line="16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14</w:t>
      </w:r>
    </w:p>
    <w:p>
      <w:pPr>
        <w:sectPr>
          <w:pgSz w:w="12240" w:h="15846" w:orient="portrait"/>
          <w:cols w:equalWidth="0" w:num="1">
            <w:col w:w="9366"/>
          </w:cols>
          <w:pgMar w:left="1440" w:top="947" w:right="1440" w:bottom="348" w:gutter="0" w:footer="0" w:header="0"/>
          <w:type w:val="continuous"/>
        </w:sectPr>
      </w:pPr>
    </w:p>
    <w:bookmarkStart w:id="26" w:name="page27"/>
    <w:bookmarkEnd w:id="26"/>
    <w:p>
      <w:pPr>
        <w:ind w:left="480"/>
        <w:spacing w:after="0"/>
        <w:rPr>
          <w:sz w:val="20"/>
          <w:szCs w:val="20"/>
          <w:color w:val="auto"/>
        </w:rPr>
      </w:pPr>
      <w:r>
        <w:rPr>
          <w:rFonts w:ascii="Times New Roman" w:cs="Times New Roman" w:eastAsia="Times New Roman" w:hAnsi="Times New Roman"/>
          <w:sz w:val="20"/>
          <w:szCs w:val="20"/>
          <w:i w:val="1"/>
          <w:iCs w:val="1"/>
          <w:color w:val="auto"/>
        </w:rPr>
        <w:t>“Business Combination” refers to the transaction contemplated by the BCA.</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“Bylaws” refers to the bylaws of OPAL.</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“Charter” refers to certificate of incorporation of OPAL.</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A common stock” refers to the shares of Class A common stock, par value $0.0001 per share, of OPAL.</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“Class A Units” refers to the Class A Units as defined in the Second A&amp;R LLC Agreement.</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B common stock” refers to the shares of Class B common stock, par value $0.0001 per share, of OPAL.</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“Class B Units” refers to the Class B Units as defined in the Second A&amp;R LLC Agreement.</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C common stock” refers to the shares of Class C common stock, par value $0.0001 per share, of OPAL.</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D common stock” refers to the shares of Class D common stock, par value $0.0001 per share, of OPAL.</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“Closing” refers to the closing of the Business Combination.</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“Closing Date” refers to July 21, 2022.</w:t>
      </w:r>
    </w:p>
    <w:p>
      <w:pPr>
        <w:spacing w:after="0" w:line="159" w:lineRule="exact"/>
        <w:rPr>
          <w:sz w:val="20"/>
          <w:szCs w:val="20"/>
          <w:color w:val="auto"/>
        </w:rPr>
      </w:pPr>
    </w:p>
    <w:p>
      <w:pPr>
        <w:jc w:val="both"/>
        <w:ind w:left="480" w:right="6"/>
        <w:spacing w:after="0" w:line="241" w:lineRule="auto"/>
        <w:rPr>
          <w:sz w:val="20"/>
          <w:szCs w:val="20"/>
          <w:color w:val="auto"/>
        </w:rPr>
      </w:pPr>
      <w:r>
        <w:rPr>
          <w:rFonts w:ascii="Times New Roman" w:cs="Times New Roman" w:eastAsia="Times New Roman" w:hAnsi="Times New Roman"/>
          <w:sz w:val="20"/>
          <w:szCs w:val="20"/>
          <w:i w:val="1"/>
          <w:iCs w:val="1"/>
          <w:color w:val="auto"/>
        </w:rPr>
        <w:t>“Company”, “we”, “our”, “us” or similar terms refers to OPAL Fuels Inc. individually or on a consolidated basis, as the context may require.</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“Exchange Act” refers to the Securities Exchange Act of 1934, as amended.</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“FASB” refers to the Financial Accounting Standards Board.</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“Fortistar” refers to Fortistar LLC, a Delaware limited liability company.</w:t>
      </w:r>
    </w:p>
    <w:p>
      <w:pPr>
        <w:spacing w:after="0" w:line="159" w:lineRule="exact"/>
        <w:rPr>
          <w:sz w:val="20"/>
          <w:szCs w:val="20"/>
          <w:color w:val="auto"/>
        </w:rPr>
      </w:pPr>
    </w:p>
    <w:p>
      <w:pPr>
        <w:jc w:val="both"/>
        <w:ind w:left="480" w:right="6"/>
        <w:spacing w:after="0" w:line="263" w:lineRule="auto"/>
        <w:rPr>
          <w:sz w:val="20"/>
          <w:szCs w:val="20"/>
          <w:color w:val="auto"/>
        </w:rPr>
      </w:pPr>
      <w:r>
        <w:rPr>
          <w:rFonts w:ascii="Times New Roman" w:cs="Times New Roman" w:eastAsia="Times New Roman" w:hAnsi="Times New Roman"/>
          <w:sz w:val="19"/>
          <w:szCs w:val="19"/>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146" w:lineRule="exact"/>
        <w:rPr>
          <w:sz w:val="20"/>
          <w:szCs w:val="20"/>
          <w:color w:val="auto"/>
        </w:rPr>
      </w:pPr>
    </w:p>
    <w:p>
      <w:pPr>
        <w:jc w:val="both"/>
        <w:ind w:left="480" w:right="6"/>
        <w:spacing w:after="0" w:line="241" w:lineRule="auto"/>
        <w:rPr>
          <w:sz w:val="20"/>
          <w:szCs w:val="20"/>
          <w:color w:val="auto"/>
        </w:rPr>
      </w:pPr>
      <w:r>
        <w:rPr>
          <w:rFonts w:ascii="Times New Roman" w:cs="Times New Roman" w:eastAsia="Times New Roman" w:hAnsi="Times New Roman"/>
          <w:sz w:val="20"/>
          <w:szCs w:val="20"/>
          <w:i w:val="1"/>
          <w:iCs w:val="1"/>
          <w:color w:val="auto"/>
        </w:rPr>
        <w:t>“Hillman” refers to Hillman RNG Investments, LLC, an affiliate of Fortistar, a Delaware limited liability company.</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Investment Company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refers to the Investment Company Act of 1940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as amended.</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“Sarbanes-Oxley Act” refers to the Sarbanes-Oxley Act of 2002.</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“Securities Act” refers to the Securities Act of 1933, as amended.</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“Sponsor” refers to ArcLight CTC Holdings II, L.P., a Delaware limited partnership.</w:t>
      </w:r>
    </w:p>
    <w:p>
      <w:pPr>
        <w:spacing w:after="0" w:line="159" w:lineRule="exact"/>
        <w:rPr>
          <w:sz w:val="20"/>
          <w:szCs w:val="20"/>
          <w:color w:val="auto"/>
        </w:rPr>
      </w:pPr>
    </w:p>
    <w:p>
      <w:pPr>
        <w:jc w:val="both"/>
        <w:ind w:left="480" w:right="6"/>
        <w:spacing w:after="0" w:line="247" w:lineRule="auto"/>
        <w:rPr>
          <w:sz w:val="20"/>
          <w:szCs w:val="20"/>
          <w:color w:val="auto"/>
        </w:rPr>
      </w:pPr>
      <w:r>
        <w:rPr>
          <w:rFonts w:ascii="Times New Roman" w:cs="Times New Roman" w:eastAsia="Times New Roman" w:hAnsi="Times New Roman"/>
          <w:sz w:val="20"/>
          <w:szCs w:val="20"/>
          <w:i w:val="1"/>
          <w:iCs w:val="1"/>
          <w:color w:val="auto"/>
        </w:rPr>
        <w:t>“Tax Receivable Agreement” refers to the Tax Receivable Agreement, dated July 21, 2022, by and among OPAL Fuels Inc, Opal Holdco LLC and the Parties named therein as included in Exhibit 10.6 to the Current Report on Form 8-K, filed with the SEC on July 29, 2021, as the same may be amended, modified, supplemented or waived from time to time in accordance with its terms.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addition, the following is a glossary of key industry terms used herein: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“ADG” refers to anaerobic digester gas.</w:t>
      </w:r>
    </w:p>
    <w:p>
      <w:pPr>
        <w:spacing w:after="0" w:line="179" w:lineRule="exact"/>
        <w:rPr>
          <w:sz w:val="20"/>
          <w:szCs w:val="20"/>
          <w:color w:val="auto"/>
        </w:rPr>
      </w:pPr>
    </w:p>
    <w:p>
      <w:pPr>
        <w:jc w:val="both"/>
        <w:ind w:left="480" w:right="6"/>
        <w:spacing w:after="0" w:line="241" w:lineRule="auto"/>
        <w:rPr>
          <w:sz w:val="20"/>
          <w:szCs w:val="20"/>
          <w:color w:val="auto"/>
        </w:rPr>
      </w:pPr>
      <w:r>
        <w:rPr>
          <w:rFonts w:ascii="Times New Roman" w:cs="Times New Roman" w:eastAsia="Times New Roman" w:hAnsi="Times New Roman"/>
          <w:sz w:val="20"/>
          <w:szCs w:val="20"/>
          <w:i w:val="1"/>
          <w:iCs w:val="1"/>
          <w:color w:val="auto"/>
        </w:rPr>
        <w:t>“Advanced Clean Trucks Regulation” refers to the rules adopted by the California Air Resources Board on June 25, 2020 requiring the sale of zero-emission heavy-duty trucks.</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15</w:t>
      </w:r>
    </w:p>
    <w:p>
      <w:pPr>
        <w:sectPr>
          <w:pgSz w:w="12240" w:h="15846" w:orient="portrait"/>
          <w:cols w:equalWidth="0" w:num="1">
            <w:col w:w="9366"/>
          </w:cols>
          <w:pgMar w:left="1440" w:top="947" w:right="1440" w:bottom="348" w:gutter="0" w:footer="0" w:header="0"/>
          <w:type w:val="continuous"/>
        </w:sectPr>
      </w:pPr>
    </w:p>
    <w:bookmarkStart w:id="27" w:name="page28"/>
    <w:bookmarkEnd w:id="27"/>
    <w:p>
      <w:pPr>
        <w:jc w:val="both"/>
        <w:ind w:left="480" w:right="6"/>
        <w:spacing w:after="0" w:line="245" w:lineRule="auto"/>
        <w:rPr>
          <w:sz w:val="20"/>
          <w:szCs w:val="20"/>
          <w:color w:val="auto"/>
        </w:rPr>
      </w:pPr>
      <w:r>
        <w:rPr>
          <w:rFonts w:ascii="Times New Roman" w:cs="Times New Roman" w:eastAsia="Times New Roman" w:hAnsi="Times New Roman"/>
          <w:sz w:val="20"/>
          <w:szCs w:val="20"/>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“Btu” refers to British thermal units.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“CARB” refers to the California Air Resources Board.</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“CI” refers to carbon intensity.</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“CNG” refers to compressed natural gas.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“CO2” refers to carbon dioxide.</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“D3” refers to cellulosic biofuel with a 60% GHG reduction requirement.</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“EHS” refers to environment, health and safety.</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“EISA” refers to Energy Independence and Security Act of 2007.</w:t>
      </w:r>
    </w:p>
    <w:p>
      <w:pPr>
        <w:spacing w:after="0" w:line="159" w:lineRule="exact"/>
        <w:rPr>
          <w:sz w:val="20"/>
          <w:szCs w:val="20"/>
          <w:color w:val="auto"/>
        </w:rPr>
      </w:pPr>
    </w:p>
    <w:p>
      <w:pPr>
        <w:jc w:val="both"/>
        <w:ind w:left="480" w:right="6"/>
        <w:spacing w:after="0" w:line="265" w:lineRule="auto"/>
        <w:rPr>
          <w:sz w:val="20"/>
          <w:szCs w:val="20"/>
          <w:color w:val="auto"/>
        </w:rPr>
      </w:pPr>
      <w:r>
        <w:rPr>
          <w:rFonts w:ascii="Times New Roman" w:cs="Times New Roman" w:eastAsia="Times New Roman" w:hAnsi="Times New Roman"/>
          <w:sz w:val="19"/>
          <w:szCs w:val="19"/>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“EPA” refers to the U.S. Environmental Protection Agency.</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“EPACT 2005” refers to the Energy Policy Act of 2005.</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“FERC” refers to the U.S. Federal Energy Regulatory Commission.</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“GHG” refers to greenhouse gases.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“ISOs” refers to independent system operators.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“LCFS” refers to Low Carbon Fuel Standard or similar types of federal and state programs.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“LFG” refers to landfill gas.</w:t>
      </w:r>
    </w:p>
    <w:p>
      <w:pPr>
        <w:spacing w:after="0" w:line="159" w:lineRule="exact"/>
        <w:rPr>
          <w:sz w:val="20"/>
          <w:szCs w:val="20"/>
          <w:color w:val="auto"/>
        </w:rPr>
      </w:pPr>
    </w:p>
    <w:p>
      <w:pPr>
        <w:jc w:val="both"/>
        <w:ind w:left="480" w:right="6"/>
        <w:spacing w:after="0" w:line="248" w:lineRule="auto"/>
        <w:rPr>
          <w:sz w:val="20"/>
          <w:szCs w:val="20"/>
          <w:color w:val="auto"/>
        </w:rPr>
      </w:pPr>
      <w:r>
        <w:rPr>
          <w:rFonts w:ascii="Times New Roman" w:cs="Times New Roman" w:eastAsia="Times New Roman" w:hAnsi="Times New Roman"/>
          <w:sz w:val="20"/>
          <w:szCs w:val="20"/>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“Obligated Parties” means refiners or importers of gasoline or diesel fuel under the RFS program.</w:t>
      </w:r>
    </w:p>
    <w:p>
      <w:pPr>
        <w:spacing w:after="0" w:line="159" w:lineRule="exact"/>
        <w:rPr>
          <w:sz w:val="20"/>
          <w:szCs w:val="20"/>
          <w:color w:val="auto"/>
        </w:rPr>
      </w:pPr>
    </w:p>
    <w:p>
      <w:pPr>
        <w:jc w:val="both"/>
        <w:ind w:left="480" w:right="6"/>
        <w:spacing w:after="0" w:line="241" w:lineRule="auto"/>
        <w:rPr>
          <w:sz w:val="20"/>
          <w:szCs w:val="20"/>
          <w:color w:val="auto"/>
        </w:rPr>
      </w:pPr>
      <w:r>
        <w:rPr>
          <w:rFonts w:ascii="Times New Roman" w:cs="Times New Roman" w:eastAsia="Times New Roman" w:hAnsi="Times New Roman"/>
          <w:sz w:val="20"/>
          <w:szCs w:val="20"/>
          <w:i w:val="1"/>
          <w:iCs w:val="1"/>
          <w:color w:val="auto"/>
        </w:rPr>
        <w:t>“QFs” refers to qualifying small power production facilities under the Federal Power Act and the Public Utility Regulatory Policies Act of 1978, as amended</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“RECs” refers to renewable energy credits.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“Renewable Power” refers to electricity generated from renewable sources.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“RFS” refers to the EPA’s Renewable Fuel Standard.</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“RINs” refers to Renewable Identification Numbers.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“RNG” refers to renewable natural gas.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“RPS” refers to Renewable Portfolio Standards.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“RTOs” refers to regional transmission organizations.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“RVOs” refers to renewable volume obligations.</w:t>
      </w:r>
    </w:p>
    <w:p>
      <w:pPr>
        <w:spacing w:after="0" w:line="179" w:lineRule="exact"/>
        <w:rPr>
          <w:sz w:val="20"/>
          <w:szCs w:val="20"/>
          <w:color w:val="auto"/>
        </w:rPr>
      </w:pPr>
    </w:p>
    <w:p>
      <w:pPr>
        <w:jc w:val="both"/>
        <w:ind w:left="480" w:right="6"/>
        <w:spacing w:after="0" w:line="241" w:lineRule="auto"/>
        <w:rPr>
          <w:sz w:val="20"/>
          <w:szCs w:val="20"/>
          <w:color w:val="auto"/>
        </w:rPr>
      </w:pPr>
      <w:r>
        <w:rPr>
          <w:rFonts w:ascii="Times New Roman" w:cs="Times New Roman" w:eastAsia="Times New Roman" w:hAnsi="Times New Roman"/>
          <w:sz w:val="20"/>
          <w:szCs w:val="20"/>
          <w:i w:val="1"/>
          <w:iCs w:val="1"/>
          <w:color w:val="auto"/>
        </w:rPr>
        <w:t>“September 2020 Executive Order” refers to Executive Order N-79-20 issued by the Governor of the State of California in September 2020.</w:t>
      </w:r>
    </w:p>
    <w:p>
      <w:pPr>
        <w:sectPr>
          <w:pgSz w:w="12240" w:h="15846" w:orient="portrait"/>
          <w:cols w:equalWidth="0" w:num="1">
            <w:col w:w="9366"/>
          </w:cols>
          <w:pgMar w:left="1440" w:top="956" w:right="1440" w:bottom="348"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16</w:t>
      </w:r>
    </w:p>
    <w:p>
      <w:pPr>
        <w:sectPr>
          <w:pgSz w:w="12240" w:h="15846" w:orient="portrait"/>
          <w:cols w:equalWidth="0" w:num="1">
            <w:col w:w="9366"/>
          </w:cols>
          <w:pgMar w:left="1440" w:top="956" w:right="1440" w:bottom="348"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Related to Our Third Party Relationships and Government Regulation of Our Business</w:t>
      </w:r>
    </w:p>
    <w:p>
      <w:pPr>
        <w:spacing w:after="0" w:line="25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71" w:lineRule="exact"/>
        <w:rPr>
          <w:sz w:val="20"/>
          <w:szCs w:val="20"/>
          <w:color w:val="auto"/>
        </w:rPr>
      </w:pPr>
    </w:p>
    <w:p>
      <w:pPr>
        <w:jc w:val="both"/>
        <w:ind w:right="20" w:firstLine="480"/>
        <w:spacing w:after="0" w:line="263" w:lineRule="auto"/>
        <w:rPr>
          <w:sz w:val="20"/>
          <w:szCs w:val="20"/>
          <w:color w:val="auto"/>
        </w:rPr>
      </w:pPr>
      <w:r>
        <w:rPr>
          <w:rFonts w:ascii="Times New Roman" w:cs="Times New Roman" w:eastAsia="Times New Roman" w:hAnsi="Times New Roman"/>
          <w:sz w:val="19"/>
          <w:szCs w:val="19"/>
          <w:color w:val="auto"/>
        </w:rPr>
        <w:t>We do not own any of the landfill or livestock waste sites, which we sometimes refer to in this report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“Business — Our Projects.” In addition, the biogas rights are typically specific to the right to produce electricity generated from Renewable Power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25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The owners and operators of biogas project sites generally make no warranties to us as to the quality or quantity of gas produced.</w:t>
      </w:r>
    </w:p>
    <w:p>
      <w:pPr>
        <w:spacing w:after="0" w:line="17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 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ectPr>
          <w:pgSz w:w="12240" w:h="15846" w:orient="portrait"/>
          <w:cols w:equalWidth="0" w:num="1">
            <w:col w:w="9380"/>
          </w:cols>
          <w:pgMar w:left="1440" w:top="947" w:right="1426" w:bottom="348"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6" w:orient="portrait"/>
          <w:cols w:equalWidth="0" w:num="1">
            <w:col w:w="9380"/>
          </w:cols>
          <w:pgMar w:left="1440" w:top="947" w:right="1426" w:bottom="348" w:gutter="0" w:footer="0" w:header="0"/>
          <w:type w:val="continuous"/>
        </w:sectPr>
      </w:pPr>
    </w:p>
    <w:bookmarkStart w:id="29" w:name="page30"/>
    <w:bookmarkEnd w:id="29"/>
    <w:p>
      <w:pPr>
        <w:jc w:val="both"/>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71"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75"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In addition, the financial condition of the biogas conversion project sites may be affected in large part by conditions and events that are beyond our control. Significant deterioration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70"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25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71"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6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“Advanced Clean Trucks Regulation”) and Executive Order N-79-20 issued by the Governor of the State of California in September 2020 (the “September 2020 Executive Order”).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ectPr>
          <w:pgSz w:w="12240" w:h="15846" w:orient="portrait"/>
          <w:cols w:equalWidth="0" w:num="1">
            <w:col w:w="9380"/>
          </w:cols>
          <w:pgMar w:left="1440" w:top="956" w:right="1426"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6" w:orient="portrait"/>
          <w:cols w:equalWidth="0" w:num="1">
            <w:col w:w="9380"/>
          </w:cols>
          <w:pgMar w:left="1440" w:top="956" w:right="1426" w:bottom="348" w:gutter="0" w:footer="0" w:header="0"/>
          <w:type w:val="continuous"/>
        </w:sectPr>
      </w:pPr>
    </w:p>
    <w:bookmarkStart w:id="30" w:name="page31"/>
    <w:bookmarkEnd w:id="30"/>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259" w:lineRule="exact"/>
        <w:rPr>
          <w:sz w:val="20"/>
          <w:szCs w:val="20"/>
          <w:color w:val="auto"/>
        </w:rPr>
      </w:pPr>
    </w:p>
    <w:p>
      <w:pPr>
        <w:jc w:val="both"/>
        <w:ind w:right="6"/>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LFG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72"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169"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These laws and regulations impose numerous obligations applicable to our operations, including (i) the acquisition of permits before construction and operation of our Biogas Conversion Projects and Fueling Stations;</w:t>
      </w:r>
    </w:p>
    <w:p>
      <w:pPr>
        <w:spacing w:after="0" w:line="14" w:lineRule="exact"/>
        <w:rPr>
          <w:sz w:val="20"/>
          <w:szCs w:val="20"/>
          <w:color w:val="auto"/>
        </w:rPr>
      </w:pPr>
    </w:p>
    <w:p>
      <w:pPr>
        <w:jc w:val="both"/>
        <w:ind w:right="6"/>
        <w:spacing w:after="0" w:line="263" w:lineRule="auto"/>
        <w:tabs>
          <w:tab w:leader="none" w:pos="28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restriction of types, quantities and concentration of materials that can be released into the environment; (iii) the limitation or prohibition of our activities on certain lands lying within wilderness, wetlands and other protected areas;</w:t>
      </w:r>
    </w:p>
    <w:p>
      <w:pPr>
        <w:spacing w:after="0" w:line="1" w:lineRule="exact"/>
        <w:rPr>
          <w:rFonts w:ascii="Times New Roman" w:cs="Times New Roman" w:eastAsia="Times New Roman" w:hAnsi="Times New Roman"/>
          <w:sz w:val="19"/>
          <w:szCs w:val="19"/>
          <w:color w:val="auto"/>
        </w:rPr>
      </w:pPr>
    </w:p>
    <w:p>
      <w:pPr>
        <w:jc w:val="both"/>
        <w:ind w:right="6"/>
        <w:spacing w:after="0" w:line="249" w:lineRule="auto"/>
        <w:tabs>
          <w:tab w:leader="none" w:pos="36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71"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w:t>
      </w:r>
    </w:p>
    <w:p>
      <w:pPr>
        <w:sectPr>
          <w:pgSz w:w="12240" w:h="15846" w:orient="portrait"/>
          <w:cols w:equalWidth="0" w:num="1">
            <w:col w:w="9366"/>
          </w:cols>
          <w:pgMar w:left="1440" w:top="956"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19</w:t>
      </w:r>
    </w:p>
    <w:p>
      <w:pPr>
        <w:sectPr>
          <w:pgSz w:w="12240" w:h="15846" w:orient="portrait"/>
          <w:cols w:equalWidth="0" w:num="1">
            <w:col w:w="9366"/>
          </w:cols>
          <w:pgMar w:left="1440" w:top="956" w:right="1440" w:bottom="348" w:gutter="0" w:footer="0" w:header="0"/>
          <w:type w:val="continuous"/>
        </w:sectPr>
      </w:pPr>
    </w:p>
    <w:bookmarkStart w:id="31" w:name="page32"/>
    <w:bookmarkEnd w:id="31"/>
    <w:p>
      <w:pPr>
        <w:jc w:val="both"/>
        <w:ind w:right="6"/>
        <w:spacing w:after="0" w:line="264" w:lineRule="auto"/>
        <w:rPr>
          <w:sz w:val="20"/>
          <w:szCs w:val="20"/>
          <w:color w:val="auto"/>
        </w:rPr>
      </w:pPr>
      <w:r>
        <w:rPr>
          <w:rFonts w:ascii="Times New Roman" w:cs="Times New Roman" w:eastAsia="Times New Roman" w:hAnsi="Times New Roman"/>
          <w:sz w:val="19"/>
          <w:szCs w:val="19"/>
          <w:color w:val="auto"/>
        </w:rPr>
        <w:t>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71"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spacing w:after="0" w:line="238" w:lineRule="exact"/>
        <w:rPr>
          <w:sz w:val="20"/>
          <w:szCs w:val="20"/>
          <w:color w:val="auto"/>
        </w:rPr>
      </w:pPr>
    </w:p>
    <w:p>
      <w:pPr>
        <w:jc w:val="both"/>
        <w:ind w:right="6"/>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9"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 delay or prevent new Biogas Conversion Projects and Fueling Stations from being developed.</w:t>
      </w:r>
    </w:p>
    <w:p>
      <w:pPr>
        <w:spacing w:after="0" w:line="156"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U.S. Environmental Protection Agency (“EPA”) annually sets proposed and actual RVOs for the Renewable Identification Numbers (“RIN”) market in accordance with the mandates established by EISA.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(“RFS”)</w:t>
      </w:r>
    </w:p>
    <w:p>
      <w:pPr>
        <w:sectPr>
          <w:pgSz w:w="12240" w:h="15846" w:orient="portrait"/>
          <w:cols w:equalWidth="0" w:num="1">
            <w:col w:w="9366"/>
          </w:cols>
          <w:pgMar w:left="1440" w:top="954" w:right="1440" w:bottom="348" w:gutter="0" w:footer="0" w:header="0"/>
        </w:sectPr>
      </w:pPr>
    </w:p>
    <w:p>
      <w:pPr>
        <w:spacing w:after="0" w:line="3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20</w:t>
      </w:r>
    </w:p>
    <w:p>
      <w:pPr>
        <w:sectPr>
          <w:pgSz w:w="12240" w:h="15846" w:orient="portrait"/>
          <w:cols w:equalWidth="0" w:num="1">
            <w:col w:w="9366"/>
          </w:cols>
          <w:pgMar w:left="1440" w:top="954" w:right="1440" w:bottom="348" w:gutter="0" w:footer="0" w:header="0"/>
          <w:type w:val="continuous"/>
        </w:sectPr>
      </w:pPr>
    </w:p>
    <w:bookmarkStart w:id="32" w:name="page33"/>
    <w:bookmarkEnd w:id="32"/>
    <w:p>
      <w:pPr>
        <w:jc w:val="both"/>
        <w:ind w:right="6"/>
        <w:spacing w:after="0" w:line="265" w:lineRule="auto"/>
        <w:rPr>
          <w:sz w:val="20"/>
          <w:szCs w:val="20"/>
          <w:color w:val="auto"/>
        </w:rPr>
      </w:pPr>
      <w:r>
        <w:rPr>
          <w:rFonts w:ascii="Times New Roman" w:cs="Times New Roman" w:eastAsia="Times New Roman" w:hAnsi="Times New Roman"/>
          <w:sz w:val="19"/>
          <w:szCs w:val="19"/>
          <w:color w:val="auto"/>
        </w:rPr>
        <w:t>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price environment for RINs will be favorable to us.</w:t>
      </w:r>
    </w:p>
    <w:p>
      <w:pPr>
        <w:spacing w:after="0" w:line="155"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 Board (“CARB”) adopted LCFS regulations aimed at reducing the CI of transportation fuel sold and purchased in the state. A CI score is calculated as grams of CO2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 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or to sell at unattractive prices could adversely affect our business.</w:t>
      </w:r>
    </w:p>
    <w:p>
      <w:pPr>
        <w:spacing w:after="0" w:line="18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70"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56"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70"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New laws, changes to existing laws, new interpretations of existing laws, increased governmental enforcement of environmental laws or other developments could require us to make significant additional expenditures. Continued government and public emphasis on environmental issues can be expected to result in increased future investments for environmental controls at our plants. Present and future environmental laws and regulations, and interpretations of those laws and regulations, applicable to our operations, more vigorous enforcement policies and discovery of currently unknown conditions may require substantial expenditures that could have a material adverse effect on our results of operations and financial condition. In January 2021, President Biden issued an executive order directing all</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21</w:t>
      </w:r>
    </w:p>
    <w:p>
      <w:pPr>
        <w:sectPr>
          <w:pgSz w:w="12240" w:h="15846" w:orient="portrait"/>
          <w:cols w:equalWidth="0" w:num="1">
            <w:col w:w="9366"/>
          </w:cols>
          <w:pgMar w:left="1440" w:top="954" w:right="1440" w:bottom="348" w:gutter="0" w:footer="0" w:header="0"/>
          <w:type w:val="continuous"/>
        </w:sectPr>
      </w:pPr>
    </w:p>
    <w:bookmarkStart w:id="33" w:name="page34"/>
    <w:bookmarkEnd w:id="33"/>
    <w:p>
      <w:pPr>
        <w:jc w:val="both"/>
        <w:ind w:right="6"/>
        <w:spacing w:after="0" w:line="248" w:lineRule="auto"/>
        <w:rPr>
          <w:sz w:val="20"/>
          <w:szCs w:val="20"/>
          <w:color w:val="auto"/>
        </w:rPr>
      </w:pPr>
      <w:r>
        <w:rPr>
          <w:rFonts w:ascii="Times New Roman" w:cs="Times New Roman" w:eastAsia="Times New Roman" w:hAnsi="Times New Roman"/>
          <w:sz w:val="20"/>
          <w:szCs w:val="20"/>
          <w:color w:val="auto"/>
        </w:rPr>
        <w:t>federal agencies to review and take action to address any federal regulations, orders, guidance documents, policies, and any similar agency actions promulgated during the prior administration that may be inconsistent with the current administration’s policies and to address climate change. The federal agencies review of previous agency actions remain ongoing. In January 2021, President Biden also issued an executive order solely targeting climate change. Pursuant to these executive orders, on February 19, 2021 the United States formally rejoined the Paris Climate</w:t>
      </w:r>
    </w:p>
    <w:p>
      <w:pPr>
        <w:spacing w:after="0" w:line="172"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Agreement, an international treaty that provides for the cutting of carbon emissions every five years, beginning in 2023. In August 2022, President Biden signed into law the Inflation Reduction Act, which includes incentives for development and production of renewable energy. These incentives include grants, loan guaranties, development funding, investment tax credits, and production tax credits. At this time, we cannot predict the outcome of any of these executive actions on our operations.</w:t>
      </w:r>
    </w:p>
    <w:p>
      <w:pPr>
        <w:spacing w:after="0" w:line="172" w:lineRule="exact"/>
        <w:rPr>
          <w:sz w:val="20"/>
          <w:szCs w:val="20"/>
          <w:color w:val="auto"/>
        </w:rPr>
      </w:pPr>
    </w:p>
    <w:p>
      <w:pPr>
        <w:jc w:val="both"/>
        <w:ind w:right="6" w:firstLine="480"/>
        <w:spacing w:after="0" w:line="263" w:lineRule="auto"/>
        <w:rPr>
          <w:sz w:val="20"/>
          <w:szCs w:val="20"/>
          <w:color w:val="auto"/>
        </w:rPr>
      </w:pPr>
      <w:r>
        <w:rPr>
          <w:rFonts w:ascii="Times New Roman" w:cs="Times New Roman" w:eastAsia="Times New Roman" w:hAnsi="Times New Roman"/>
          <w:sz w:val="19"/>
          <w:szCs w:val="19"/>
          <w:color w:val="auto"/>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75"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22</w:t>
      </w:r>
    </w:p>
    <w:p>
      <w:pPr>
        <w:sectPr>
          <w:pgSz w:w="12240" w:h="15846" w:orient="portrait"/>
          <w:cols w:equalWidth="0" w:num="1">
            <w:col w:w="9366"/>
          </w:cols>
          <w:pgMar w:left="1440" w:top="954" w:right="1440" w:bottom="348" w:gutter="0" w:footer="0" w:header="0"/>
          <w:type w:val="continuous"/>
        </w:sectPr>
      </w:pPr>
    </w:p>
    <w:bookmarkStart w:id="34" w:name="page35"/>
    <w:bookmarkEnd w:id="34"/>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68"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15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252"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73"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w:t>
      </w:r>
    </w:p>
    <w:p>
      <w:pPr>
        <w:sectPr>
          <w:pgSz w:w="12240" w:h="15846" w:orient="portrait"/>
          <w:cols w:equalWidth="0" w:num="1">
            <w:col w:w="9366"/>
          </w:cols>
          <w:pgMar w:left="1440" w:top="956" w:right="1440" w:bottom="348"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23</w:t>
      </w:r>
    </w:p>
    <w:p>
      <w:pPr>
        <w:sectPr>
          <w:pgSz w:w="12240" w:h="15846" w:orient="portrait"/>
          <w:cols w:equalWidth="0" w:num="1">
            <w:col w:w="9366"/>
          </w:cols>
          <w:pgMar w:left="1440" w:top="956" w:right="1440" w:bottom="348" w:gutter="0" w:footer="0" w:header="0"/>
          <w:type w:val="continuous"/>
        </w:sectPr>
      </w:pPr>
    </w:p>
    <w:bookmarkStart w:id="35" w:name="page36"/>
    <w:bookmarkEnd w:id="35"/>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255" w:lineRule="exact"/>
        <w:rPr>
          <w:sz w:val="20"/>
          <w:szCs w:val="20"/>
          <w:color w:val="auto"/>
        </w:rPr>
      </w:pPr>
    </w:p>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8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16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73"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241" w:lineRule="exact"/>
        <w:rPr>
          <w:sz w:val="20"/>
          <w:szCs w:val="20"/>
          <w:color w:val="auto"/>
        </w:rPr>
      </w:pPr>
    </w:p>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71"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24</w:t>
      </w:r>
    </w:p>
    <w:p>
      <w:pPr>
        <w:sectPr>
          <w:pgSz w:w="12240" w:h="15846" w:orient="portrait"/>
          <w:cols w:equalWidth="0" w:num="1">
            <w:col w:w="9366"/>
          </w:cols>
          <w:pgMar w:left="1440" w:top="954" w:right="1440" w:bottom="348" w:gutter="0" w:footer="0" w:header="0"/>
          <w:type w:val="continuous"/>
        </w:sectPr>
      </w:pPr>
    </w:p>
    <w:bookmarkStart w:id="36" w:name="page37"/>
    <w:bookmarkEnd w:id="36"/>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255"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w:t>
      </w:r>
    </w:p>
    <w:p>
      <w:pPr>
        <w:spacing w:after="0" w:line="25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73"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ectPr>
          <w:pgSz w:w="12240" w:h="15846" w:orient="portrait"/>
          <w:cols w:equalWidth="0" w:num="1">
            <w:col w:w="9380"/>
          </w:cols>
          <w:pgMar w:left="1440" w:top="954" w:right="1426"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6" w:orient="portrait"/>
          <w:cols w:equalWidth="0" w:num="1">
            <w:col w:w="9380"/>
          </w:cols>
          <w:pgMar w:left="1440" w:top="954" w:right="1426" w:bottom="348" w:gutter="0" w:footer="0" w:header="0"/>
          <w:type w:val="continuous"/>
        </w:sectPr>
      </w:pPr>
    </w:p>
    <w:bookmarkStart w:id="37" w:name="page38"/>
    <w:bookmarkEnd w:id="37"/>
    <w:p>
      <w:pPr>
        <w:jc w:val="both"/>
        <w:ind w:right="6"/>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Risks Related to Our Business</w:t>
      </w:r>
    </w:p>
    <w:p>
      <w:pPr>
        <w:spacing w:after="0" w:line="179" w:lineRule="exact"/>
        <w:rPr>
          <w:sz w:val="20"/>
          <w:szCs w:val="20"/>
          <w:color w:val="auto"/>
        </w:rPr>
      </w:pPr>
    </w:p>
    <w:p>
      <w:pPr>
        <w:jc w:val="both"/>
        <w:ind w:right="6" w:firstLine="4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 w:cs="Times New Roman" w:eastAsia="Times New Roman" w:hAnsi="Times New Roman"/>
          <w:sz w:val="20"/>
          <w:szCs w:val="20"/>
          <w:b w:val="1"/>
          <w:bCs w:val="1"/>
          <w:color w:val="auto"/>
        </w:rPr>
        <w:t>.</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254"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The volatility in the price of oil, gasoline, diesel, natural gas, RNG, or Environmental Attribute prices could adversely affect our business.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w:t>
      </w:r>
    </w:p>
    <w:p>
      <w:pPr>
        <w:spacing w:after="0" w:line="9" w:lineRule="exact"/>
        <w:rPr>
          <w:sz w:val="20"/>
          <w:szCs w:val="20"/>
          <w:color w:val="auto"/>
        </w:rPr>
      </w:pPr>
    </w:p>
    <w:p>
      <w:pPr>
        <w:jc w:val="both"/>
        <w:ind w:right="6"/>
        <w:spacing w:after="0" w:line="250" w:lineRule="auto"/>
        <w:tabs>
          <w:tab w:leader="none" w:pos="3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ectPr>
          <w:pgSz w:w="12240" w:h="15846" w:orient="portrait"/>
          <w:cols w:equalWidth="0" w:num="1">
            <w:col w:w="9366"/>
          </w:cols>
          <w:pgMar w:left="1440" w:top="956" w:right="1440" w:bottom="348" w:gutter="0" w:footer="0" w:header="0"/>
        </w:sectPr>
      </w:pP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26</w:t>
      </w:r>
    </w:p>
    <w:p>
      <w:pPr>
        <w:sectPr>
          <w:pgSz w:w="12240" w:h="15846" w:orient="portrait"/>
          <w:cols w:equalWidth="0" w:num="1">
            <w:col w:w="9366"/>
          </w:cols>
          <w:pgMar w:left="1440" w:top="956" w:right="1440" w:bottom="348" w:gutter="0" w:footer="0" w:header="0"/>
          <w:type w:val="continuous"/>
        </w:sectPr>
      </w:pPr>
    </w:p>
    <w:bookmarkStart w:id="38" w:name="page39"/>
    <w:bookmarkEnd w:id="38"/>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254"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74"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254"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73"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market prices for LCFS credits specifically within California have declined over the past year,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160"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20"/>
          <w:szCs w:val="20"/>
          <w:b w:val="1"/>
          <w:bCs w:val="1"/>
          <w:color w:val="auto"/>
        </w:rPr>
        <w: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(vii) development of new fuels or new technologies for the production of power; (viii) federal and state regulations; and (ix) actions of the Independent System Operators (“ISOs”) and regional transmission organizations (“RTOs”) that control and administer regional power markets.</w:t>
      </w:r>
    </w:p>
    <w:p>
      <w:pPr>
        <w:sectPr>
          <w:pgSz w:w="12240" w:h="15846" w:orient="portrait"/>
          <w:cols w:equalWidth="0" w:num="1">
            <w:col w:w="9366"/>
          </w:cols>
          <w:pgMar w:left="1440" w:top="954" w:right="1440" w:bottom="348" w:gutter="0" w:footer="0" w:header="0"/>
        </w:sectPr>
      </w:pPr>
    </w:p>
    <w:p>
      <w:pPr>
        <w:spacing w:after="0" w:line="3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27</w:t>
      </w:r>
    </w:p>
    <w:p>
      <w:pPr>
        <w:sectPr>
          <w:pgSz w:w="12240" w:h="15846" w:orient="portrait"/>
          <w:cols w:equalWidth="0" w:num="1">
            <w:col w:w="9366"/>
          </w:cols>
          <w:pgMar w:left="1440" w:top="954" w:right="1440" w:bottom="348" w:gutter="0" w:footer="0" w:header="0"/>
          <w:type w:val="continuous"/>
        </w:sectPr>
      </w:pPr>
    </w:p>
    <w:bookmarkStart w:id="39" w:name="page40"/>
    <w:bookmarkEnd w:id="39"/>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78" w:lineRule="exact"/>
        <w:rPr>
          <w:sz w:val="20"/>
          <w:szCs w:val="20"/>
          <w:color w:val="auto"/>
        </w:rPr>
      </w:pPr>
    </w:p>
    <w:p>
      <w:pPr>
        <w:jc w:val="both"/>
        <w:ind w:right="6" w:firstLine="480"/>
        <w:spacing w:after="0" w:line="266" w:lineRule="auto"/>
        <w:rPr>
          <w:sz w:val="20"/>
          <w:szCs w:val="20"/>
          <w:color w:val="auto"/>
        </w:rPr>
      </w:pPr>
      <w:r>
        <w:rPr>
          <w:rFonts w:ascii="Times New Roman" w:cs="Times New Roman" w:eastAsia="Times New Roman" w:hAnsi="Times New Roman"/>
          <w:sz w:val="19"/>
          <w:szCs w:val="19"/>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54"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255"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and Industry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Risk Factors Relating to Our Biogas Capture Business</w:t>
      </w:r>
    </w:p>
    <w:p>
      <w:pPr>
        <w:spacing w:after="0" w:line="259"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Our ability to acquire, convert, develop and operate Biogas Conversion Projects, as well as expand production at current Biogas Conversion Projects, is subject to many risks.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ectPr>
          <w:pgSz w:w="12240" w:h="15846" w:orient="portrait"/>
          <w:cols w:equalWidth="0" w:num="1">
            <w:col w:w="9366"/>
          </w:cols>
          <w:pgMar w:left="1440" w:top="956" w:right="1440" w:bottom="348"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28</w:t>
      </w:r>
    </w:p>
    <w:p>
      <w:pPr>
        <w:sectPr>
          <w:pgSz w:w="12240" w:h="15846" w:orient="portrait"/>
          <w:cols w:equalWidth="0" w:num="1">
            <w:col w:w="9366"/>
          </w:cols>
          <w:pgMar w:left="1440" w:top="956" w:right="1440" w:bottom="348" w:gutter="0" w:footer="0" w:header="0"/>
          <w:type w:val="continuous"/>
        </w:sectPr>
      </w:pPr>
    </w:p>
    <w:bookmarkStart w:id="40" w:name="page41"/>
    <w:bookmarkEnd w:id="40"/>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7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Our ability to acquire, convert, develop and operate Biogas Conversion Projects, as well as expand production at current Biogas Conversion Projects, is subject to several additional risks, including:</w:t>
      </w:r>
    </w:p>
    <w:p>
      <w:pPr>
        <w:spacing w:after="0" w:line="174" w:lineRule="exact"/>
        <w:rPr>
          <w:sz w:val="20"/>
          <w:szCs w:val="20"/>
          <w:color w:val="auto"/>
        </w:rPr>
      </w:pPr>
    </w:p>
    <w:p>
      <w:pPr>
        <w:jc w:val="both"/>
        <w:ind w:left="960" w:right="6"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72"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energy commodity prices, such as natural gas and wholesale electricity prices, which could have a significant effect on our revenues and expenses;</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72"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72"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72" w:lineRule="exact"/>
        <w:rPr>
          <w:rFonts w:ascii="Times New Roman" w:cs="Times New Roman" w:eastAsia="Times New Roman" w:hAnsi="Times New Roman"/>
          <w:sz w:val="20"/>
          <w:szCs w:val="20"/>
          <w:color w:val="auto"/>
        </w:rPr>
      </w:pPr>
    </w:p>
    <w:p>
      <w:pPr>
        <w:jc w:val="both"/>
        <w:ind w:left="960" w:right="6" w:hanging="480"/>
        <w:spacing w:after="0" w:line="248"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involving personal injury or the loss of life;</w:t>
      </w:r>
    </w:p>
    <w:p>
      <w:pPr>
        <w:spacing w:after="0" w:line="176"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markets where we have less experience, such as our Biogas Conversion Projects for biogas recovery at livestock farms;</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66" w:lineRule="auto"/>
        <w:tabs>
          <w:tab w:leader="none" w:pos="9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53" w:lineRule="exact"/>
        <w:rPr>
          <w:rFonts w:ascii="Times New Roman" w:cs="Times New Roman" w:eastAsia="Times New Roman" w:hAnsi="Times New Roman"/>
          <w:sz w:val="19"/>
          <w:szCs w:val="19"/>
          <w:color w:val="auto"/>
        </w:rPr>
      </w:pPr>
    </w:p>
    <w:p>
      <w:pPr>
        <w:ind w:left="960" w:right="6"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failures or delays in obtaining desired or necessary land rights, including ownership, leases, easements, zoning rights and building permits;</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72"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keeping in good standing permits, authorizations and consents from local city, county, state and US federal government agencies and organizations;</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penalties, including potential termination, under short-term and long-term contracts for failing to produce or deliver a sufficient quantity and acceptable quality of RNG in accordance with our contractual obligations;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29</w:t>
      </w:r>
    </w:p>
    <w:p>
      <w:pPr>
        <w:sectPr>
          <w:pgSz w:w="12240" w:h="15846" w:orient="portrait"/>
          <w:cols w:equalWidth="0" w:num="1">
            <w:col w:w="9366"/>
          </w:cols>
          <w:pgMar w:left="1440" w:top="954" w:right="1440" w:bottom="348" w:gutter="0" w:footer="0" w:header="0"/>
          <w:type w:val="continuous"/>
        </w:sectPr>
      </w:pPr>
    </w:p>
    <w:bookmarkStart w:id="41" w:name="page42"/>
    <w:bookmarkEnd w:id="41"/>
    <w:p>
      <w:pPr>
        <w:ind w:left="960" w:right="6"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unknown regulatory changes related to the transportation of RNG, which may increase the transportation cost for delivering under our contracts then in effect;</w:t>
      </w:r>
    </w:p>
    <w:p>
      <w:pPr>
        <w:spacing w:after="0" w:line="17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and authorization of local utilities or other energy development off-takers to ensure successful interconnection to energy grids to enable power and gas sales;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identifying, obtaining and permitting suitable sites for new Biogas Conversion Projects.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73"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Multiple factors, including lower levels of gas collection and delays in commencement and completion of construction, have negatively impacted our business during the year ended December 31, 2022. While we continue to execute on our business plan, we expect these factors to continue during 2023.</w:t>
      </w:r>
    </w:p>
    <w:p>
      <w:pPr>
        <w:spacing w:after="0" w:line="255"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73"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Additional risks related to acquiring existing projects, include:</w:t>
      </w:r>
    </w:p>
    <w:p>
      <w:pPr>
        <w:spacing w:after="0" w:line="177" w:lineRule="exact"/>
        <w:rPr>
          <w:sz w:val="20"/>
          <w:szCs w:val="20"/>
          <w:color w:val="auto"/>
        </w:rPr>
      </w:pPr>
    </w:p>
    <w:p>
      <w:pPr>
        <w:ind w:left="960" w:right="6"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we pay could significantly deplete our cash reserves or result in dilution to our existing stockholders;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or assets may not improve our customer offerings or market position as planned;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difficulty integrating the operations and personnel of the acquired companies;</w:t>
      </w:r>
    </w:p>
    <w:p>
      <w:pPr>
        <w:spacing w:after="0" w:line="176"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 personnel and counterparties of the acquired companies may terminate their relationships with the acquired companies as a result of or following the acquisition;</w:t>
      </w:r>
    </w:p>
    <w:p>
      <w:pPr>
        <w:spacing w:after="0" w:line="17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additional financial and accounting challenges and complexities in certain areas, such as tax planning and financial reporting;</w:t>
      </w:r>
    </w:p>
    <w:p>
      <w:pPr>
        <w:spacing w:after="0" w:line="17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additional costs and expenses related to complying with additional laws, rules or regulations in new jurisdictions;</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72"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ongoing business and management’s attention may be disrupted or diverted by transition or integration issues and the complexity of managing geographically diverse enterprises;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one-time write-offs or restructuring charges in connection with an acquisition;</w:t>
      </w:r>
    </w:p>
    <w:p>
      <w:pPr>
        <w:spacing w:after="0" w:line="176"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acquire goodwill and other intangible assets that are subject to amortization or impairment tests, which could result in future charges to earnings;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30</w:t>
      </w:r>
    </w:p>
    <w:p>
      <w:pPr>
        <w:sectPr>
          <w:pgSz w:w="12240" w:h="15846" w:orient="portrait"/>
          <w:cols w:equalWidth="0" w:num="1">
            <w:col w:w="9366"/>
          </w:cols>
          <w:pgMar w:left="1440" w:top="954" w:right="1440" w:bottom="348" w:gutter="0" w:footer="0" w:header="0"/>
          <w:type w:val="continuous"/>
        </w:sectPr>
      </w:pPr>
    </w:p>
    <w:bookmarkStart w:id="42" w:name="page43"/>
    <w:bookmarkEnd w:id="42"/>
    <w:p>
      <w:pPr>
        <w:ind w:left="960" w:right="6"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acquire goodwill and other intangible assets that are subject to amortization or impairment tests, which could result in future charges to earnings;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realize the cost savings or other financial benefits we anticipated.</w:t>
      </w:r>
    </w:p>
    <w:p>
      <w:pPr>
        <w:spacing w:after="0" w:line="259" w:lineRule="exact"/>
        <w:rPr>
          <w:sz w:val="20"/>
          <w:szCs w:val="20"/>
          <w:color w:val="auto"/>
        </w:rPr>
      </w:pPr>
    </w:p>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252" w:lineRule="exact"/>
        <w:rPr>
          <w:sz w:val="20"/>
          <w:szCs w:val="20"/>
          <w:color w:val="auto"/>
        </w:rPr>
      </w:pPr>
    </w:p>
    <w:p>
      <w:pPr>
        <w:jc w:val="both"/>
        <w:ind w:right="6"/>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56"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5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w:t>
      </w:r>
    </w:p>
    <w:p>
      <w:pPr>
        <w:spacing w:after="0" w:line="9" w:lineRule="exact"/>
        <w:rPr>
          <w:sz w:val="20"/>
          <w:szCs w:val="20"/>
          <w:color w:val="auto"/>
        </w:rPr>
      </w:pPr>
    </w:p>
    <w:p>
      <w:pPr>
        <w:jc w:val="both"/>
        <w:ind w:right="6"/>
        <w:spacing w:after="0" w:line="249" w:lineRule="auto"/>
        <w:tabs>
          <w:tab w:leader="none" w:pos="27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31</w:t>
      </w:r>
    </w:p>
    <w:p>
      <w:pPr>
        <w:sectPr>
          <w:pgSz w:w="12240" w:h="15846" w:orient="portrait"/>
          <w:cols w:equalWidth="0" w:num="1">
            <w:col w:w="9366"/>
          </w:cols>
          <w:pgMar w:left="1440" w:top="954" w:right="1440" w:bottom="348"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9"/>
          <w:szCs w:val="19"/>
          <w:b w:val="1"/>
          <w:bCs w:val="1"/>
          <w:i w:val="1"/>
          <w:iCs w:val="1"/>
          <w:color w:val="auto"/>
        </w:rPr>
        <w:t>Construction, development and operation of our Biogas Conversion Projects involves significant risks and hazards.</w:t>
      </w:r>
    </w:p>
    <w:p>
      <w:pPr>
        <w:spacing w:after="0" w:line="17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75"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Furthermore, some of our facilities are located in areas prone to extreme weather conditions, most notably extreme cold such as has recently occurred in California,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71"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239" w:lineRule="exact"/>
        <w:rPr>
          <w:sz w:val="20"/>
          <w:szCs w:val="20"/>
          <w:color w:val="auto"/>
        </w:rPr>
      </w:pPr>
    </w:p>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71"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69"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w:t>
      </w:r>
    </w:p>
    <w:p>
      <w:pPr>
        <w:sectPr>
          <w:pgSz w:w="12240" w:h="15846" w:orient="portrait"/>
          <w:cols w:equalWidth="0" w:num="1">
            <w:col w:w="9366"/>
          </w:cols>
          <w:pgMar w:left="1440" w:top="956" w:right="1440" w:bottom="348" w:gutter="0" w:footer="0" w:header="0"/>
        </w:sectPr>
      </w:pPr>
    </w:p>
    <w:p>
      <w:pPr>
        <w:spacing w:after="0" w:line="32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32</w:t>
      </w:r>
    </w:p>
    <w:p>
      <w:pPr>
        <w:sectPr>
          <w:pgSz w:w="12240" w:h="15846" w:orient="portrait"/>
          <w:cols w:equalWidth="0" w:num="1">
            <w:col w:w="9366"/>
          </w:cols>
          <w:pgMar w:left="1440" w:top="956" w:right="1440" w:bottom="348" w:gutter="0" w:footer="0" w:header="0"/>
          <w:type w:val="continuous"/>
        </w:sectPr>
      </w:pPr>
    </w:p>
    <w:bookmarkStart w:id="44" w:name="page45"/>
    <w:bookmarkEnd w:id="44"/>
    <w:p>
      <w:pPr>
        <w:jc w:val="both"/>
        <w:ind w:right="6"/>
        <w:spacing w:after="0" w:line="266" w:lineRule="auto"/>
        <w:rPr>
          <w:sz w:val="20"/>
          <w:szCs w:val="20"/>
          <w:color w:val="auto"/>
        </w:rPr>
      </w:pPr>
      <w:r>
        <w:rPr>
          <w:rFonts w:ascii="Times New Roman" w:cs="Times New Roman" w:eastAsia="Times New Roman" w:hAnsi="Times New Roman"/>
          <w:sz w:val="19"/>
          <w:szCs w:val="19"/>
          <w:color w:val="auto"/>
        </w:rPr>
        <w:t>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54"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71" w:lineRule="exact"/>
        <w:rPr>
          <w:sz w:val="20"/>
          <w:szCs w:val="20"/>
          <w:color w:val="auto"/>
        </w:rPr>
      </w:pPr>
    </w:p>
    <w:p>
      <w:pPr>
        <w:jc w:val="both"/>
        <w:ind w:right="6" w:firstLine="480"/>
        <w:spacing w:after="0" w:line="250" w:lineRule="auto"/>
        <w:rPr>
          <w:sz w:val="20"/>
          <w:szCs w:val="20"/>
          <w:color w:val="auto"/>
        </w:rPr>
      </w:pPr>
      <w:r>
        <w:rPr>
          <w:rFonts w:ascii="Times New Roman" w:cs="Times New Roman" w:eastAsia="Times New Roman" w:hAnsi="Times New Roman"/>
          <w:sz w:val="20"/>
          <w:szCs w:val="20"/>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However, if the agreement was to be terminated as of the date of this report and we were not to deliver any further Environmental Attribute volume to NextEra under the agreement, the maximum potential payment to NextEra under these provisions would be approximately $10.6 million based on current market prices for such Environmental Attributes.</w:t>
      </w:r>
    </w:p>
    <w:p>
      <w:pPr>
        <w:spacing w:after="0" w:line="251" w:lineRule="exact"/>
        <w:rPr>
          <w:sz w:val="20"/>
          <w:szCs w:val="20"/>
          <w:color w:val="auto"/>
        </w:rPr>
      </w:pPr>
    </w:p>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33</w:t>
      </w:r>
    </w:p>
    <w:p>
      <w:pPr>
        <w:sectPr>
          <w:pgSz w:w="12240" w:h="15846" w:orient="portrait"/>
          <w:cols w:equalWidth="0" w:num="1">
            <w:col w:w="9366"/>
          </w:cols>
          <w:pgMar w:left="1440" w:top="954" w:right="1440" w:bottom="348" w:gutter="0" w:footer="0" w:header="0"/>
          <w:type w:val="continuous"/>
        </w:sectPr>
      </w:pPr>
    </w:p>
    <w:bookmarkStart w:id="45" w:name="page46"/>
    <w:bookmarkEnd w:id="45"/>
    <w:p>
      <w:pPr>
        <w:jc w:val="both"/>
        <w:ind w:right="6"/>
        <w:spacing w:after="0" w:line="265" w:lineRule="auto"/>
        <w:rPr>
          <w:sz w:val="20"/>
          <w:szCs w:val="20"/>
          <w:color w:val="auto"/>
        </w:rPr>
      </w:pPr>
      <w:r>
        <w:rPr>
          <w:rFonts w:ascii="Times New Roman" w:cs="Times New Roman" w:eastAsia="Times New Roman" w:hAnsi="Times New Roman"/>
          <w:sz w:val="19"/>
          <w:szCs w:val="19"/>
          <w:color w:val="auto"/>
        </w:rPr>
        <w:t>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238"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73"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239"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258"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78" w:lineRule="exact"/>
        <w:rPr>
          <w:sz w:val="20"/>
          <w:szCs w:val="20"/>
          <w:color w:val="auto"/>
        </w:rPr>
      </w:pPr>
    </w:p>
    <w:p>
      <w:pPr>
        <w:jc w:val="both"/>
        <w:ind w:right="6" w:firstLine="480"/>
        <w:spacing w:after="0" w:line="266" w:lineRule="auto"/>
        <w:rPr>
          <w:sz w:val="20"/>
          <w:szCs w:val="20"/>
          <w:color w:val="auto"/>
        </w:rPr>
      </w:pPr>
      <w:r>
        <w:rPr>
          <w:rFonts w:ascii="Times New Roman" w:cs="Times New Roman" w:eastAsia="Times New Roman" w:hAnsi="Times New Roman"/>
          <w:sz w:val="19"/>
          <w:szCs w:val="19"/>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w:t>
      </w:r>
    </w:p>
    <w:p>
      <w:pPr>
        <w:sectPr>
          <w:pgSz w:w="12240" w:h="15846" w:orient="portrait"/>
          <w:cols w:equalWidth="0" w:num="1">
            <w:col w:w="9366"/>
          </w:cols>
          <w:pgMar w:left="1440" w:top="954" w:right="1440" w:bottom="348" w:gutter="0" w:footer="0" w:header="0"/>
        </w:sectPr>
      </w:pPr>
    </w:p>
    <w:p>
      <w:pPr>
        <w:spacing w:after="0" w:line="3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34</w:t>
      </w:r>
    </w:p>
    <w:p>
      <w:pPr>
        <w:sectPr>
          <w:pgSz w:w="12240" w:h="15846" w:orient="portrait"/>
          <w:cols w:equalWidth="0" w:num="1">
            <w:col w:w="9366"/>
          </w:cols>
          <w:pgMar w:left="1440" w:top="954" w:right="1440" w:bottom="348" w:gutter="0" w:footer="0" w:header="0"/>
          <w:type w:val="continuous"/>
        </w:sectPr>
      </w:pPr>
    </w:p>
    <w:bookmarkStart w:id="46" w:name="page47"/>
    <w:bookmarkEnd w:id="46"/>
    <w:p>
      <w:pPr>
        <w:jc w:val="both"/>
        <w:ind w:right="6"/>
        <w:spacing w:after="0" w:line="249" w:lineRule="auto"/>
        <w:rPr>
          <w:sz w:val="20"/>
          <w:szCs w:val="20"/>
          <w:color w:val="auto"/>
        </w:rPr>
      </w:pPr>
      <w:r>
        <w:rPr>
          <w:rFonts w:ascii="Times New Roman" w:cs="Times New Roman" w:eastAsia="Times New Roman" w:hAnsi="Times New Roman"/>
          <w:sz w:val="20"/>
          <w:szCs w:val="20"/>
          <w:color w:val="auto"/>
        </w:rPr>
        <w:t>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6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254" w:lineRule="exact"/>
        <w:rPr>
          <w:sz w:val="20"/>
          <w:szCs w:val="20"/>
          <w:color w:val="auto"/>
        </w:rPr>
      </w:pPr>
    </w:p>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71"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5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Sequestering CO2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 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252"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35</w:t>
      </w:r>
    </w:p>
    <w:p>
      <w:pPr>
        <w:sectPr>
          <w:pgSz w:w="12240" w:h="15846" w:orient="portrait"/>
          <w:cols w:equalWidth="0" w:num="1">
            <w:col w:w="9366"/>
          </w:cols>
          <w:pgMar w:left="1440" w:top="954" w:right="1440" w:bottom="348" w:gutter="0" w:footer="0" w:header="0"/>
          <w:type w:val="continuous"/>
        </w:sectPr>
      </w:pPr>
    </w:p>
    <w:bookmarkStart w:id="47" w:name="page48"/>
    <w:bookmarkEnd w:id="47"/>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73"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Risk Factors Relating to Our Dispensing Business</w:t>
      </w:r>
    </w:p>
    <w:p>
      <w:pPr>
        <w:spacing w:after="0" w:line="259"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16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257"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68"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Additional factors that may influence the adoption of natural gas vehicle fuels, many of which are beyond our control, include, among others:</w:t>
      </w:r>
    </w:p>
    <w:p>
      <w:pPr>
        <w:spacing w:after="0" w:line="174" w:lineRule="exact"/>
        <w:rPr>
          <w:sz w:val="20"/>
          <w:szCs w:val="20"/>
          <w:color w:val="auto"/>
        </w:rPr>
      </w:pPr>
    </w:p>
    <w:p>
      <w:pPr>
        <w:ind w:left="960" w:right="6"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demand for trucks that use natural gas vehicle fuels due to business disruptions and depressed oil prices;</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8"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ectPr>
          <w:pgSz w:w="12240" w:h="15846" w:orient="portrait"/>
          <w:cols w:equalWidth="0" w:num="1">
            <w:col w:w="9366"/>
          </w:cols>
          <w:pgMar w:left="1440" w:top="954" w:right="1440" w:bottom="348" w:gutter="0" w:footer="0" w:header="0"/>
        </w:sectPr>
      </w:pP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36</w:t>
      </w:r>
    </w:p>
    <w:p>
      <w:pPr>
        <w:sectPr>
          <w:pgSz w:w="12240" w:h="15846" w:orient="portrait"/>
          <w:cols w:equalWidth="0" w:num="1">
            <w:col w:w="9366"/>
          </w:cols>
          <w:pgMar w:left="1440" w:top="954" w:right="1440" w:bottom="348" w:gutter="0" w:footer="0" w:header="0"/>
          <w:type w:val="continuous"/>
        </w:sectPr>
      </w:pPr>
    </w:p>
    <w:bookmarkStart w:id="48" w:name="page49"/>
    <w:bookmarkEnd w:id="48"/>
    <w:p>
      <w:pPr>
        <w:jc w:val="both"/>
        <w:ind w:left="960" w:right="6" w:hanging="480"/>
        <w:spacing w:after="0" w:line="297"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27" w:lineRule="exact"/>
        <w:rPr>
          <w:rFonts w:ascii="Times New Roman" w:cs="Times New Roman" w:eastAsia="Times New Roman" w:hAnsi="Times New Roman"/>
          <w:sz w:val="18"/>
          <w:szCs w:val="18"/>
          <w:color w:val="auto"/>
        </w:rPr>
      </w:pPr>
    </w:p>
    <w:p>
      <w:pPr>
        <w:jc w:val="both"/>
        <w:ind w:left="960" w:right="6"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72"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in the supply, demand, use and prices of crude oil, gasoline, diesel, RNG, natural gas and other vehicle fuels, such as electricity, hydrogen, renewable diesel, biodiesel and ethanol;</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8"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69"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72"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72"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72" w:lineRule="exact"/>
        <w:rPr>
          <w:rFonts w:ascii="Times New Roman" w:cs="Times New Roman" w:eastAsia="Times New Roman" w:hAnsi="Times New Roman"/>
          <w:sz w:val="20"/>
          <w:szCs w:val="20"/>
          <w:color w:val="auto"/>
        </w:rPr>
      </w:pPr>
    </w:p>
    <w:p>
      <w:pPr>
        <w:jc w:val="both"/>
        <w:ind w:left="960" w:right="6" w:hanging="480"/>
        <w:spacing w:after="0" w:line="248"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69"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Emissions and other environmental regulations and pressures on producing, transporting, and dispensing our fuels.</w:t>
      </w:r>
    </w:p>
    <w:p>
      <w:pPr>
        <w:spacing w:after="0" w:line="174" w:lineRule="exact"/>
        <w:rPr>
          <w:sz w:val="20"/>
          <w:szCs w:val="20"/>
          <w:color w:val="auto"/>
        </w:rPr>
      </w:pPr>
    </w:p>
    <w:p>
      <w:pPr>
        <w:jc w:val="both"/>
        <w:ind w:right="6" w:firstLine="480"/>
        <w:spacing w:after="0" w:line="263" w:lineRule="auto"/>
        <w:rPr>
          <w:sz w:val="20"/>
          <w:szCs w:val="20"/>
          <w:color w:val="auto"/>
        </w:rPr>
      </w:pPr>
      <w:r>
        <w:rPr>
          <w:rFonts w:ascii="Times New Roman" w:cs="Times New Roman" w:eastAsia="Times New Roman" w:hAnsi="Times New Roman"/>
          <w:sz w:val="19"/>
          <w:szCs w:val="19"/>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253"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Acquisition, financing, construction, and development of Fueling Station projects by us or our partners that own projects may not commence on anticipated timelines or at all.</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37</w:t>
      </w:r>
    </w:p>
    <w:p>
      <w:pPr>
        <w:sectPr>
          <w:pgSz w:w="12240" w:h="15846" w:orient="portrait"/>
          <w:cols w:equalWidth="0" w:num="1">
            <w:col w:w="9366"/>
          </w:cols>
          <w:pgMar w:left="1440" w:top="954" w:right="1440" w:bottom="348" w:gutter="0" w:footer="0" w:header="0"/>
          <w:type w:val="continuous"/>
        </w:sectPr>
      </w:pPr>
    </w:p>
    <w:bookmarkStart w:id="49" w:name="page50"/>
    <w:bookmarkEnd w:id="49"/>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have executed definitive documentation, we or our partners may not be able to consummate any development or acquisition transactions, or any other similar arrangements, on the terms set forth in the applicable letter of intent or at all.</w:t>
      </w:r>
    </w:p>
    <w:p>
      <w:pPr>
        <w:spacing w:after="0" w:line="1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The acquisition, financing, construction and development of projects involves numerous risks, including:</w:t>
      </w:r>
    </w:p>
    <w:p>
      <w:pPr>
        <w:spacing w:after="0" w:line="170" w:lineRule="exact"/>
        <w:rPr>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identifying, obtaining, and permitting suitable sites for new projects;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all necessary rights to land access and use;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inaccuracy of assumptions with respect to the cost and schedule for completing construction;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inaccuracy of assumptions with respect to the biogas potential, including quality, volume, and asset life;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obtain financing for a project on acceptable terms or at all;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deliveries or increases in the price of equipment or other materials;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and other regulatory issues, license revocation and changes in legal requirements;</w:t>
      </w:r>
    </w:p>
    <w:p>
      <w:pPr>
        <w:spacing w:after="0" w:line="176"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of labor, labor disputes and work stoppages or the inability to find an adequate supply of workers;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receive quality and timely performance of third-party services;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engineering and environmental problems;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overruns or supply chain disruptions;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involving personal injury or the loss of life</w:t>
      </w:r>
    </w:p>
    <w:p>
      <w:pPr>
        <w:spacing w:after="0" w:line="176"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health crises, pandemics, catastrophic events, including fires, explosions, earthquakes, droughts and acts of terrorism, and other force majeure events;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interconnection and access to utilities.</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In addition, new projects have no operating history. A new project may be unable to fund principal and interest payments under its debt service obligations or may operate at a loss.</w:t>
      </w:r>
    </w:p>
    <w:p>
      <w:pPr>
        <w:spacing w:after="0" w:line="257" w:lineRule="exact"/>
        <w:rPr>
          <w:sz w:val="20"/>
          <w:szCs w:val="20"/>
          <w:color w:val="auto"/>
        </w:rPr>
      </w:pPr>
    </w:p>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171"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5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ectPr>
          <w:pgSz w:w="12240" w:h="15846" w:orient="portrait"/>
          <w:cols w:equalWidth="0" w:num="1">
            <w:col w:w="9366"/>
          </w:cols>
          <w:pgMar w:left="1440" w:top="954" w:right="1440" w:bottom="348" w:gutter="0" w:footer="0" w:header="0"/>
        </w:sectPr>
      </w:pPr>
    </w:p>
    <w:p>
      <w:pPr>
        <w:spacing w:after="0" w:line="3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38</w:t>
      </w:r>
    </w:p>
    <w:p>
      <w:pPr>
        <w:sectPr>
          <w:pgSz w:w="12240" w:h="15846" w:orient="portrait"/>
          <w:cols w:equalWidth="0" w:num="1">
            <w:col w:w="9366"/>
          </w:cols>
          <w:pgMar w:left="1440" w:top="954" w:right="1440" w:bottom="348" w:gutter="0" w:footer="0" w:header="0"/>
          <w:type w:val="continuous"/>
        </w:sectPr>
      </w:pPr>
    </w:p>
    <w:bookmarkStart w:id="50" w:name="page51"/>
    <w:bookmarkEnd w:id="50"/>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Risk Factors Relating to Our Business in General</w:t>
      </w:r>
    </w:p>
    <w:p>
      <w:pPr>
        <w:spacing w:after="0" w:line="259"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Certain of our Biogas Conversion Projects and Fueling Stations are newly constructed or are under construction and may not perform as we expect.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257" w:lineRule="exact"/>
        <w:rPr>
          <w:sz w:val="20"/>
          <w:szCs w:val="20"/>
          <w:color w:val="auto"/>
        </w:rPr>
      </w:pPr>
    </w:p>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39</w:t>
      </w:r>
    </w:p>
    <w:p>
      <w:pPr>
        <w:sectPr>
          <w:pgSz w:w="12240" w:h="15846" w:orient="portrait"/>
          <w:cols w:equalWidth="0" w:num="1">
            <w:col w:w="9366"/>
          </w:cols>
          <w:pgMar w:left="1440" w:top="954" w:right="1440" w:bottom="348" w:gutter="0" w:footer="0" w:header="0"/>
          <w:type w:val="continuous"/>
        </w:sectPr>
      </w:pPr>
    </w:p>
    <w:bookmarkStart w:id="51" w:name="page52"/>
    <w:bookmarkEnd w:id="51"/>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and our redeemable preferred non-controlling interests’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2022, our total indebtedness was $170 million, excluding deferred financing costs. Additionally, on November 29, 2021, we entered into an Exchange Agreement with Hillman pursuant to which OPAL Fuels issued to Hillman Series A-1 Preferred Units of OPAL Fuels,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OPAL Fuels, which are redeemable after four years at the option of NextEra for an aggregate redemption price of $100.0 million plus accrued and unpaid dividends thereon.</w:t>
      </w:r>
    </w:p>
    <w:p>
      <w:pPr>
        <w:spacing w:after="0" w:line="170"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Our substantial indebtedness and preferred units redemption obligations could have important consequences, including, for example:</w:t>
      </w:r>
    </w:p>
    <w:p>
      <w:pPr>
        <w:spacing w:after="0" w:line="174" w:lineRule="exact"/>
        <w:rPr>
          <w:sz w:val="20"/>
          <w:szCs w:val="20"/>
          <w:color w:val="auto"/>
        </w:rPr>
      </w:pPr>
    </w:p>
    <w:p>
      <w:pPr>
        <w:ind w:left="960" w:right="6" w:hanging="480"/>
        <w:spacing w:after="0" w:line="243"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required to accept then-prevailing market terms in connection with any required refinancing of such indebtedness or redemption obligations, which may be less favorable than existing terms;</w:t>
      </w:r>
    </w:p>
    <w:p>
      <w:pPr>
        <w:spacing w:after="0" w:line="17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required to accept then-prevailing market terms in connection with any required refinancing of such indebtedness or redemption obligations, which may be less favorable than existing terms;</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72"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72"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interest rates on our existing debt facilities or a reduction in the supply of project debt financing could reduce our ability to construct and operate new RNG projects or fueling stations;</w:t>
      </w:r>
    </w:p>
    <w:p>
      <w:pPr>
        <w:spacing w:after="0" w:line="17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limited financial flexibility could reduce our ability to plan for and react to unexpected opportunities; and</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8"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w:t>
      </w:r>
    </w:p>
    <w:p>
      <w:pPr>
        <w:sectPr>
          <w:pgSz w:w="12240" w:h="15846" w:orient="portrait"/>
          <w:cols w:equalWidth="0" w:num="1">
            <w:col w:w="9366"/>
          </w:cols>
          <w:pgMar w:left="1440" w:top="956"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40</w:t>
      </w:r>
    </w:p>
    <w:p>
      <w:pPr>
        <w:sectPr>
          <w:pgSz w:w="12240" w:h="15846" w:orient="portrait"/>
          <w:cols w:equalWidth="0" w:num="1">
            <w:col w:w="9366"/>
          </w:cols>
          <w:pgMar w:left="1440" w:top="956" w:right="1440" w:bottom="348" w:gutter="0" w:footer="0" w:header="0"/>
          <w:type w:val="continuous"/>
        </w:sectPr>
      </w:pPr>
    </w:p>
    <w:bookmarkStart w:id="52" w:name="page53"/>
    <w:bookmarkEnd w:id="52"/>
    <w:p>
      <w:pPr>
        <w:jc w:val="both"/>
        <w:ind w:right="6"/>
        <w:spacing w:after="0" w:line="265" w:lineRule="auto"/>
        <w:rPr>
          <w:sz w:val="20"/>
          <w:szCs w:val="20"/>
          <w:color w:val="auto"/>
        </w:rPr>
      </w:pPr>
      <w:r>
        <w:rPr>
          <w:rFonts w:ascii="Times New Roman" w:cs="Times New Roman" w:eastAsia="Times New Roman" w:hAnsi="Times New Roman"/>
          <w:sz w:val="19"/>
          <w:szCs w:val="19"/>
          <w:color w:val="auto"/>
        </w:rPr>
        <w:t>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155"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cash could be adversely affected if the financial institutions in which we hold our cash fail.</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252"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7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history of accounting losses and may incur additional losses in the future.</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has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w:t>
      </w:r>
    </w:p>
    <w:p>
      <w:pPr>
        <w:sectPr>
          <w:pgSz w:w="12240" w:h="15846" w:orient="portrait"/>
          <w:cols w:equalWidth="0" w:num="1">
            <w:col w:w="9366"/>
          </w:cols>
          <w:pgMar w:left="1440" w:top="954" w:right="1440" w:bottom="348" w:gutter="0" w:footer="0" w:header="0"/>
        </w:sectPr>
      </w:pPr>
    </w:p>
    <w:p>
      <w:pPr>
        <w:spacing w:after="0" w:line="3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41</w:t>
      </w:r>
    </w:p>
    <w:p>
      <w:pPr>
        <w:sectPr>
          <w:pgSz w:w="12240" w:h="15846" w:orient="portrait"/>
          <w:cols w:equalWidth="0" w:num="1">
            <w:col w:w="9366"/>
          </w:cols>
          <w:pgMar w:left="1440" w:top="954" w:right="1440" w:bottom="348" w:gutter="0" w:footer="0" w:header="0"/>
          <w:type w:val="continuous"/>
        </w:sectPr>
      </w:pPr>
    </w:p>
    <w:bookmarkStart w:id="53" w:name="page54"/>
    <w:bookmarkEnd w:id="53"/>
    <w:p>
      <w:pPr>
        <w:jc w:val="both"/>
        <w:ind w:right="6"/>
        <w:spacing w:after="0" w:line="249" w:lineRule="auto"/>
        <w:rPr>
          <w:sz w:val="20"/>
          <w:szCs w:val="20"/>
          <w:color w:val="auto"/>
        </w:rPr>
      </w:pPr>
      <w:r>
        <w:rPr>
          <w:rFonts w:ascii="Times New Roman" w:cs="Times New Roman" w:eastAsia="Times New Roman" w:hAnsi="Times New Roman"/>
          <w:sz w:val="20"/>
          <w:szCs w:val="20"/>
          <w:color w:val="auto"/>
        </w:rPr>
        <w:t>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257"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Loss of our key management could adversely affect our business performance. Our management team has limited experience in operating a public company such as us.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255"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The COVID-19 pandemic and measures intended to reduce its spread have, and may continue to, adversely affect our business, results of operations and financial condition.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175"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spacing w:after="0" w:line="172" w:lineRule="exact"/>
        <w:rPr>
          <w:sz w:val="20"/>
          <w:szCs w:val="20"/>
          <w:color w:val="auto"/>
        </w:rPr>
      </w:pPr>
    </w:p>
    <w:p>
      <w:pPr>
        <w:ind w:left="960" w:right="6"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further delay in the adoption of natural gas vehicle fuels by heavy-duty trucks and/or a delay in increasing the use of our vehicle fuels;</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72"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further delay in the adoption of natural gas vehicle fuels by heavy-duty trucks and/or a delay in increasing the use of our vehicle fuels;</w:t>
      </w:r>
    </w:p>
    <w:p>
      <w:pPr>
        <w:spacing w:after="0" w:line="174"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72"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72"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depressed oil and diesel prices, especially relative to natural gas prices and for a prolonged period, which may decrease the price-related incentive for operators to adopt trucks that use our vehicle fuels.</w:t>
      </w:r>
    </w:p>
    <w:p>
      <w:pPr>
        <w:sectPr>
          <w:pgSz w:w="12240" w:h="15846" w:orient="portrait"/>
          <w:cols w:equalWidth="0" w:num="1">
            <w:col w:w="9366"/>
          </w:cols>
          <w:pgMar w:left="1440" w:top="954" w:right="1440" w:bottom="348" w:gutter="0" w:footer="0" w:header="0"/>
        </w:sectPr>
      </w:pPr>
    </w:p>
    <w:p>
      <w:pPr>
        <w:spacing w:after="0" w:line="32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42</w:t>
      </w:r>
    </w:p>
    <w:p>
      <w:pPr>
        <w:sectPr>
          <w:pgSz w:w="12240" w:h="15846" w:orient="portrait"/>
          <w:cols w:equalWidth="0" w:num="1">
            <w:col w:w="9366"/>
          </w:cols>
          <w:pgMar w:left="1440" w:top="954" w:right="1440" w:bottom="348" w:gutter="0" w:footer="0" w:header="0"/>
          <w:type w:val="continuous"/>
        </w:sectPr>
      </w:pPr>
    </w:p>
    <w:bookmarkStart w:id="54" w:name="page55"/>
    <w:bookmarkEnd w:id="54"/>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240"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Some relationships with our counterparties and suppliers may experience disruptions as a result of the Business Combination, which may limit our business.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Parties with which OPAL Fuels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258" w:lineRule="exact"/>
        <w:rPr>
          <w:sz w:val="20"/>
          <w:szCs w:val="20"/>
          <w:color w:val="auto"/>
        </w:rPr>
      </w:pPr>
    </w:p>
    <w:p>
      <w:pPr>
        <w:jc w:val="both"/>
        <w:ind w:right="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material weaknesses in our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71"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In connection with the preparation and audit of our consolidated financial statements for each of the years ended December 31, 2022, 2021 and 2020, we identified material weaknesses in our internal controls over financial reporting.</w:t>
      </w:r>
    </w:p>
    <w:p>
      <w:pPr>
        <w:spacing w:after="0" w:line="173"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These material weaknesses identified were as follows:</w:t>
      </w:r>
    </w:p>
    <w:p>
      <w:pPr>
        <w:spacing w:after="0" w:line="177" w:lineRule="exact"/>
        <w:rPr>
          <w:sz w:val="20"/>
          <w:szCs w:val="20"/>
          <w:color w:val="auto"/>
        </w:rPr>
      </w:pPr>
    </w:p>
    <w:p>
      <w:pPr>
        <w:ind w:left="960" w:right="6"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lack of an adequate control environment, including internal communications, to allow for timeliness of reviews for the accounting and disclosures of significant and unusual transactions and contracts;</w:t>
      </w:r>
    </w:p>
    <w:p>
      <w:pPr>
        <w:spacing w:after="0" w:line="17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have timely and effective reviews over standard account reconciliations and related accounting analysis which resulted in various audit adjustments that we corrected; and</w:t>
      </w:r>
    </w:p>
    <w:p>
      <w:pPr>
        <w:spacing w:after="0" w:line="17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review controls over application of Accounting Standards Codification (“ASC”)-606 were not designed and implemented appropriately during the current year.</w:t>
      </w:r>
    </w:p>
    <w:p>
      <w:pPr>
        <w:spacing w:after="0" w:line="174"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have developed and begun executing on a plan to remediate these material weaknesses. Our remediation plans include measures such as: designing and implementing formal processes, policies and procedures supporting our financial close process, creating standard balance sheet reconciliation templates and journal entry controls; and designing and implementing controls to formalize roles and review responsibilities to align with our team’s skills.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43</w:t>
      </w:r>
    </w:p>
    <w:p>
      <w:pPr>
        <w:sectPr>
          <w:pgSz w:w="12240" w:h="15846" w:orient="portrait"/>
          <w:cols w:equalWidth="0" w:num="1">
            <w:col w:w="9366"/>
          </w:cols>
          <w:pgMar w:left="1440" w:top="954" w:right="1440" w:bottom="348" w:gutter="0" w:footer="0" w:header="0"/>
          <w:type w:val="continuous"/>
        </w:sectPr>
      </w:pPr>
    </w:p>
    <w:bookmarkStart w:id="55" w:name="page56"/>
    <w:bookmarkEnd w:id="55"/>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58"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Our failure to timely and effectively implement controls and procedures required by Section 404(a) of the Sarbanes-Oxley Act could have a material adverse effect on its business.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OPAL Fuels historically as a privately-held company or by ArcLight prior to the Closing.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Company</w:t>
      </w:r>
    </w:p>
    <w:p>
      <w:pPr>
        <w:spacing w:after="0" w:line="259"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251"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Approximately 155,237,646 of these shares of Class A common stock were subject to restrictions on transfer under a 180-day lock-up agreement entered into between us and the holders of those shares. These restrictions expired on January 17, 2023, resulting in these shares becoming eligible for public sale on January 18, 2023. Sales of such shares may be made under the registration statement filed under the Securities Act, or in reliance upon an exemption from registration under the Securities Act. 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44</w:t>
      </w:r>
    </w:p>
    <w:p>
      <w:pPr>
        <w:sectPr>
          <w:pgSz w:w="12240" w:h="15846" w:orient="portrait"/>
          <w:cols w:equalWidth="0" w:num="1">
            <w:col w:w="9366"/>
          </w:cols>
          <w:pgMar w:left="1440" w:top="954" w:right="1440" w:bottom="348" w:gutter="0" w:footer="0" w:header="0"/>
          <w:type w:val="continuous"/>
        </w:sectPr>
      </w:pPr>
    </w:p>
    <w:bookmarkStart w:id="56" w:name="page57"/>
    <w:bookmarkEnd w:id="56"/>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Until such time that such registration statement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w:t>
      </w:r>
    </w:p>
    <w:p>
      <w:pPr>
        <w:spacing w:after="0" w:line="255" w:lineRule="exact"/>
        <w:rPr>
          <w:sz w:val="20"/>
          <w:szCs w:val="20"/>
          <w:color w:val="auto"/>
        </w:rPr>
      </w:pPr>
    </w:p>
    <w:p>
      <w:pPr>
        <w:jc w:val="both"/>
        <w:ind w:right="6"/>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155"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As of the date of this report,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OPAL Fuels Common equity 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w:t>
      </w:r>
    </w:p>
    <w:p>
      <w:pPr>
        <w:spacing w:after="0" w:line="258"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Litigation or legal proceedings could expose us to significant liabilities and have a negative impact on our reputations or business.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68" w:lineRule="exact"/>
        <w:rPr>
          <w:sz w:val="20"/>
          <w:szCs w:val="20"/>
          <w:color w:val="auto"/>
        </w:rPr>
      </w:pPr>
    </w:p>
    <w:p>
      <w:pPr>
        <w:jc w:val="both"/>
        <w:ind w:right="6" w:firstLine="480"/>
        <w:spacing w:after="0" w:line="263" w:lineRule="auto"/>
        <w:rPr>
          <w:sz w:val="20"/>
          <w:szCs w:val="20"/>
          <w:color w:val="auto"/>
        </w:rPr>
      </w:pPr>
      <w:r>
        <w:rPr>
          <w:rFonts w:ascii="Times New Roman" w:cs="Times New Roman" w:eastAsia="Times New Roman" w:hAnsi="Times New Roman"/>
          <w:sz w:val="19"/>
          <w:szCs w:val="19"/>
          <w:color w:val="auto"/>
        </w:rPr>
        <w:t>Under the terms of ArcLight’s placement agent agreements with BofA Securities, Inc. (“BofA”), Credit Suisse Securities (USA) LLC (“CS”), Barclays Capital Inc. (“Barclays”) and Citigroup Global Markets Inc. (“Citi” and together with BofA, CS and Barclays, the “Advisors”)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OPAL Fuels’s financial advisory agreements with BofA and CS, OPAL Fuels agreed to indemnify and hold harmless each of BofA and CS, their affiliates and each of their respective directors, officers, employees and agents from and against any losses and claims arising in any manner out of or in connection with the services provided to OPAL Fuels thereunder. Accordingly, if any claims, litigation, disputes or other legal proceedings are brought by third parties against any of the Advisors in relation to the services it provided to ArcLight or OPAL Fuels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Therefore, as a</w:t>
      </w:r>
    </w:p>
    <w:p>
      <w:pPr>
        <w:sectPr>
          <w:pgSz w:w="12240" w:h="15846" w:orient="portrait"/>
          <w:cols w:equalWidth="0" w:num="1">
            <w:col w:w="9366"/>
          </w:cols>
          <w:pgMar w:left="1440" w:top="954" w:right="1440" w:bottom="348" w:gutter="0" w:footer="0" w:header="0"/>
        </w:sectPr>
      </w:pPr>
    </w:p>
    <w:p>
      <w:pPr>
        <w:spacing w:after="0" w:line="32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45</w:t>
      </w:r>
    </w:p>
    <w:p>
      <w:pPr>
        <w:sectPr>
          <w:pgSz w:w="12240" w:h="15846" w:orient="portrait"/>
          <w:cols w:equalWidth="0" w:num="1">
            <w:col w:w="9366"/>
          </w:cols>
          <w:pgMar w:left="1440" w:top="954" w:right="1440" w:bottom="348" w:gutter="0" w:footer="0" w:header="0"/>
          <w:type w:val="continuous"/>
        </w:sectPr>
      </w:pPr>
    </w:p>
    <w:bookmarkStart w:id="57" w:name="page58"/>
    <w:bookmarkEnd w:id="57"/>
    <w:p>
      <w:pPr>
        <w:jc w:val="both"/>
        <w:ind w:right="6"/>
        <w:spacing w:after="0" w:line="264" w:lineRule="auto"/>
        <w:rPr>
          <w:sz w:val="20"/>
          <w:szCs w:val="20"/>
          <w:color w:val="auto"/>
        </w:rPr>
      </w:pPr>
      <w:r>
        <w:rPr>
          <w:rFonts w:ascii="Times New Roman" w:cs="Times New Roman" w:eastAsia="Times New Roman" w:hAnsi="Times New Roman"/>
          <w:sz w:val="19"/>
          <w:szCs w:val="19"/>
          <w:color w:val="auto"/>
        </w:rPr>
        <w:t>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74"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252"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58"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54"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77" w:lineRule="exact"/>
        <w:rPr>
          <w:sz w:val="20"/>
          <w:szCs w:val="20"/>
          <w:color w:val="auto"/>
        </w:rPr>
      </w:pPr>
    </w:p>
    <w:p>
      <w:pPr>
        <w:jc w:val="both"/>
        <w:ind w:right="6" w:firstLine="480"/>
        <w:spacing w:after="0" w:line="266" w:lineRule="auto"/>
        <w:rPr>
          <w:sz w:val="20"/>
          <w:szCs w:val="20"/>
          <w:color w:val="auto"/>
        </w:rPr>
      </w:pPr>
      <w:r>
        <w:rPr>
          <w:rFonts w:ascii="Times New Roman" w:cs="Times New Roman" w:eastAsia="Times New Roman" w:hAnsi="Times New Roman"/>
          <w:sz w:val="19"/>
          <w:szCs w:val="19"/>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w:t>
      </w:r>
    </w:p>
    <w:p>
      <w:pPr>
        <w:sectPr>
          <w:pgSz w:w="12240" w:h="15846" w:orient="portrait"/>
          <w:cols w:equalWidth="0" w:num="1">
            <w:col w:w="9366"/>
          </w:cols>
          <w:pgMar w:left="1440" w:top="954" w:right="1440" w:bottom="348" w:gutter="0" w:footer="0" w:header="0"/>
        </w:sectPr>
      </w:pPr>
    </w:p>
    <w:p>
      <w:pPr>
        <w:spacing w:after="0" w:line="3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46</w:t>
      </w:r>
    </w:p>
    <w:p>
      <w:pPr>
        <w:sectPr>
          <w:pgSz w:w="12240" w:h="15846" w:orient="portrait"/>
          <w:cols w:equalWidth="0" w:num="1">
            <w:col w:w="9366"/>
          </w:cols>
          <w:pgMar w:left="1440" w:top="954" w:right="1440" w:bottom="348" w:gutter="0" w:footer="0" w:header="0"/>
          <w:type w:val="continuous"/>
        </w:sectPr>
      </w:pPr>
    </w:p>
    <w:bookmarkStart w:id="58" w:name="page59"/>
    <w:bookmarkEnd w:id="58"/>
    <w:p>
      <w:pPr>
        <w:jc w:val="both"/>
        <w:ind w:right="6"/>
        <w:spacing w:after="0" w:line="248" w:lineRule="auto"/>
        <w:rPr>
          <w:sz w:val="20"/>
          <w:szCs w:val="20"/>
          <w:color w:val="auto"/>
        </w:rPr>
      </w:pPr>
      <w:r>
        <w:rPr>
          <w:rFonts w:ascii="Times New Roman" w:cs="Times New Roman" w:eastAsia="Times New Roman" w:hAnsi="Times New Roman"/>
          <w:sz w:val="20"/>
          <w:szCs w:val="20"/>
          <w:color w:val="auto"/>
        </w:rPr>
        <w:t>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may lose our emerging growth company status and become subject to the SEC’s internal control over financial reporting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255" w:lineRule="exact"/>
        <w:rPr>
          <w:sz w:val="20"/>
          <w:szCs w:val="20"/>
          <w:color w:val="auto"/>
        </w:rPr>
      </w:pPr>
    </w:p>
    <w:p>
      <w:pPr>
        <w:jc w:val="both"/>
        <w:ind w:right="6"/>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84.4% of our outstanding common stock as of March 27, 2023. All of these shares (with the exception of 880,600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 of directors.</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47</w:t>
      </w:r>
    </w:p>
    <w:p>
      <w:pPr>
        <w:sectPr>
          <w:pgSz w:w="12240" w:h="15846" w:orient="portrait"/>
          <w:cols w:equalWidth="0" w:num="1">
            <w:col w:w="9366"/>
          </w:cols>
          <w:pgMar w:left="1440" w:top="954" w:right="1440" w:bottom="348" w:gutter="0" w:footer="0" w:header="0"/>
          <w:type w:val="continuous"/>
        </w:sectPr>
      </w:pPr>
    </w:p>
    <w:bookmarkStart w:id="59" w:name="page60"/>
    <w:bookmarkEnd w:id="59"/>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68" w:lineRule="exact"/>
        <w:rPr>
          <w:sz w:val="20"/>
          <w:szCs w:val="20"/>
          <w:color w:val="auto"/>
        </w:rPr>
      </w:pPr>
    </w:p>
    <w:p>
      <w:pPr>
        <w:jc w:val="both"/>
        <w:ind w:right="6" w:firstLine="480"/>
        <w:spacing w:after="0" w:line="250" w:lineRule="auto"/>
        <w:rPr>
          <w:sz w:val="20"/>
          <w:szCs w:val="20"/>
          <w:color w:val="auto"/>
        </w:rPr>
      </w:pPr>
      <w:r>
        <w:rPr>
          <w:rFonts w:ascii="Times New Roman" w:cs="Times New Roman" w:eastAsia="Times New Roman" w:hAnsi="Times New Roman"/>
          <w:sz w:val="20"/>
          <w:szCs w:val="20"/>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251" w:lineRule="exact"/>
        <w:rPr>
          <w:sz w:val="20"/>
          <w:szCs w:val="20"/>
          <w:color w:val="auto"/>
        </w:rPr>
      </w:pPr>
    </w:p>
    <w:p>
      <w:pPr>
        <w:jc w:val="both"/>
        <w:ind w:right="6"/>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264"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77" w:lineRule="exact"/>
        <w:rPr>
          <w:sz w:val="20"/>
          <w:szCs w:val="20"/>
          <w:color w:val="auto"/>
        </w:rPr>
      </w:pPr>
    </w:p>
    <w:p>
      <w:pPr>
        <w:jc w:val="both"/>
        <w:ind w:right="6" w:firstLine="480"/>
        <w:spacing w:after="0" w:line="284"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w:t>
      </w:r>
    </w:p>
    <w:p>
      <w:pPr>
        <w:sectPr>
          <w:pgSz w:w="12240" w:h="15846" w:orient="portrait"/>
          <w:cols w:equalWidth="0" w:num="1">
            <w:col w:w="9366"/>
          </w:cols>
          <w:pgMar w:left="1440" w:top="954" w:right="1440" w:bottom="348" w:gutter="0" w:footer="0" w:header="0"/>
        </w:sectPr>
      </w:pPr>
    </w:p>
    <w:p>
      <w:pPr>
        <w:spacing w:after="0" w:line="2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48</w:t>
      </w:r>
    </w:p>
    <w:p>
      <w:pPr>
        <w:sectPr>
          <w:pgSz w:w="12240" w:h="15846" w:orient="portrait"/>
          <w:cols w:equalWidth="0" w:num="1">
            <w:col w:w="9366"/>
          </w:cols>
          <w:pgMar w:left="1440" w:top="954" w:right="1440" w:bottom="348" w:gutter="0" w:footer="0" w:header="0"/>
          <w:type w:val="continuous"/>
        </w:sectPr>
      </w:pPr>
    </w:p>
    <w:bookmarkStart w:id="60" w:name="page61"/>
    <w:bookmarkEnd w:id="60"/>
    <w:p>
      <w:pPr>
        <w:jc w:val="both"/>
        <w:ind w:right="20"/>
        <w:spacing w:after="0" w:line="264" w:lineRule="auto"/>
        <w:rPr>
          <w:sz w:val="20"/>
          <w:szCs w:val="20"/>
          <w:color w:val="auto"/>
        </w:rPr>
      </w:pPr>
      <w:r>
        <w:rPr>
          <w:rFonts w:ascii="Times New Roman" w:cs="Times New Roman" w:eastAsia="Times New Roman" w:hAnsi="Times New Roman"/>
          <w:sz w:val="19"/>
          <w:szCs w:val="19"/>
          <w:color w:val="auto"/>
        </w:rPr>
        <w:t>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24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5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25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255"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The dual-class structure of our common stock may adversely affect the trading market for the shares of Class A common stock.</w:t>
      </w:r>
    </w:p>
    <w:p>
      <w:pPr>
        <w:spacing w:after="0" w:line="17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w:t>
      </w:r>
    </w:p>
    <w:p>
      <w:pPr>
        <w:sectPr>
          <w:pgSz w:w="12240" w:h="15846" w:orient="portrait"/>
          <w:cols w:equalWidth="0" w:num="1">
            <w:col w:w="9380"/>
          </w:cols>
          <w:pgMar w:left="1440" w:top="954" w:right="1426" w:bottom="348" w:gutter="0" w:footer="0" w:header="0"/>
        </w:sect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6" w:orient="portrait"/>
          <w:cols w:equalWidth="0" w:num="1">
            <w:col w:w="9380"/>
          </w:cols>
          <w:pgMar w:left="1440" w:top="954" w:right="1426" w:bottom="348" w:gutter="0" w:footer="0" w:header="0"/>
          <w:type w:val="continuous"/>
        </w:sectPr>
      </w:pPr>
    </w:p>
    <w:bookmarkStart w:id="61" w:name="page62"/>
    <w:bookmarkEnd w:id="61"/>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can be no assurance that we will be able to comply with the continued listing standards of Nasdaq.</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spacing w:after="0" w:line="166" w:lineRule="exact"/>
        <w:rPr>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availability of market quotations for our securities;</w:t>
      </w:r>
    </w:p>
    <w:p>
      <w:pPr>
        <w:spacing w:after="0" w:line="156"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that the Class A common stock is a “penny stock” which will require brokers trading in the Class A common stock to adhere to more stringent rules;</w:t>
      </w:r>
    </w:p>
    <w:p>
      <w:pPr>
        <w:spacing w:after="0" w:line="15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reduction in the level of trading activity in the secondary trading market for shares of the Class A common stock;</w:t>
      </w:r>
    </w:p>
    <w:p>
      <w:pPr>
        <w:spacing w:after="0" w:line="14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amount of analyst coverage;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decreased ability to issue additional securities or obtain additional financing in the future.</w:t>
      </w:r>
    </w:p>
    <w:p>
      <w:pPr>
        <w:spacing w:after="0" w:line="259" w:lineRule="exact"/>
        <w:rPr>
          <w:sz w:val="20"/>
          <w:szCs w:val="20"/>
          <w:color w:val="auto"/>
        </w:rPr>
      </w:pPr>
    </w:p>
    <w:p>
      <w:pPr>
        <w:jc w:val="both"/>
        <w:ind w:right="6"/>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255"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Anti-takeover provisions are contained in the Organizational Documents that could delay or prevent a change of control.</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These provisions, among other things:</w:t>
      </w:r>
    </w:p>
    <w:p>
      <w:pPr>
        <w:spacing w:after="0" w:line="177" w:lineRule="exact"/>
        <w:rPr>
          <w:sz w:val="20"/>
          <w:szCs w:val="20"/>
          <w:color w:val="auto"/>
        </w:rPr>
      </w:pPr>
    </w:p>
    <w:p>
      <w:pPr>
        <w:jc w:val="both"/>
        <w:ind w:left="960" w:right="6" w:hanging="480"/>
        <w:spacing w:after="0" w:line="246"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stockholders to call special meetings of stockholders;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stockholders to fill vacancies on our board;</w:t>
      </w:r>
    </w:p>
    <w:p>
      <w:pPr>
        <w:spacing w:after="0" w:line="176"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or for proposing matters that can be acted upon by stockholders at annual stockholder meetings;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our board to establish the number of directors;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our board is expressly authorized to make, alter or repeal the Bylaws;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jurisdictions in which certain stockholder litigation may be brought.</w:t>
      </w:r>
    </w:p>
    <w:p>
      <w:pPr>
        <w:sectPr>
          <w:pgSz w:w="12240" w:h="15846" w:orient="portrait"/>
          <w:cols w:equalWidth="0" w:num="1">
            <w:col w:w="9366"/>
          </w:cols>
          <w:pgMar w:left="1440" w:top="954" w:right="1440" w:bottom="348" w:gutter="0" w:footer="0" w:header="0"/>
        </w:sectPr>
      </w:pPr>
    </w:p>
    <w:p>
      <w:pPr>
        <w:spacing w:after="0" w:line="2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50</w:t>
      </w:r>
    </w:p>
    <w:p>
      <w:pPr>
        <w:sectPr>
          <w:pgSz w:w="12240" w:h="15846" w:orient="portrait"/>
          <w:cols w:equalWidth="0" w:num="1">
            <w:col w:w="9366"/>
          </w:cols>
          <w:pgMar w:left="1440" w:top="954" w:right="1440" w:bottom="348" w:gutter="0" w:footer="0" w:header="0"/>
          <w:type w:val="continuous"/>
        </w:sectPr>
      </w:pPr>
    </w:p>
    <w:bookmarkStart w:id="62" w:name="page63"/>
    <w:bookmarkEnd w:id="62"/>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spacing w:after="0" w:line="254" w:lineRule="exact"/>
        <w:rPr>
          <w:sz w:val="20"/>
          <w:szCs w:val="20"/>
          <w:color w:val="auto"/>
        </w:rPr>
      </w:pPr>
    </w:p>
    <w:p>
      <w:pPr>
        <w:jc w:val="both"/>
        <w:ind w:right="6"/>
        <w:spacing w:after="0"/>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7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$192.0 million depending on OPAL Fuels’s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80"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It is more likely than not that the deferred tax assets will not be realized in accordance with ASC Topic 740, ‘Income Taxes’.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Finally, because we are a holding company with no operations of its own, its ability to make payments under the Tax Receivable Agreement depends on the ability of OPAL Fuels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51</w:t>
      </w:r>
    </w:p>
    <w:p>
      <w:pPr>
        <w:sectPr>
          <w:pgSz w:w="12240" w:h="15846" w:orient="portrait"/>
          <w:cols w:equalWidth="0" w:num="1">
            <w:col w:w="9366"/>
          </w:cols>
          <w:pgMar w:left="1440" w:top="954" w:right="1440" w:bottom="348"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and Information Technology Risks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 failure of our IT and data security infrastructure could have a material adverse effect on our business and operations. We rely upon the expertise, reliability and security of our outsourced IT provider and their services to 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spacing w:after="0" w:line="16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spacing w:after="0" w:line="171"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spacing w:after="0" w:line="16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 repairs to infrastructure or capabilities essential to our operations, responding to litigation or regulatory investigations, and those related to a material and adverse impact on our reputation, financial position, results of operations, or cash flows.</w:t>
      </w:r>
    </w:p>
    <w:p>
      <w:pPr>
        <w:spacing w:after="0" w:line="254" w:lineRule="exact"/>
        <w:rPr>
          <w:sz w:val="20"/>
          <w:szCs w:val="20"/>
          <w:color w:val="auto"/>
        </w:rPr>
      </w:pPr>
    </w:p>
    <w:p>
      <w:pPr>
        <w:jc w:val="both"/>
        <w:ind w:right="6"/>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Our business may be impacted by macroeconomic conditions, including fears concerning the financial services industry, inflation, rising interest rates and volatile market conditions, and other uncertainties beyond our control.</w:t>
      </w:r>
    </w:p>
    <w:p>
      <w:pPr>
        <w:spacing w:after="0" w:line="155"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w:t>
      </w:r>
    </w:p>
    <w:p>
      <w:pPr>
        <w:sectPr>
          <w:pgSz w:w="12240" w:h="15846" w:orient="portrait"/>
          <w:cols w:equalWidth="0" w:num="1">
            <w:col w:w="9366"/>
          </w:cols>
          <w:pgMar w:left="1440" w:top="947" w:right="1440" w:bottom="348" w:gutter="0" w:footer="0" w:header="0"/>
        </w:sectPr>
      </w:pPr>
    </w:p>
    <w:p>
      <w:pPr>
        <w:spacing w:after="0" w:line="3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52</w:t>
      </w:r>
    </w:p>
    <w:p>
      <w:pPr>
        <w:sectPr>
          <w:pgSz w:w="12240" w:h="15846" w:orient="portrait"/>
          <w:cols w:equalWidth="0" w:num="1">
            <w:col w:w="9366"/>
          </w:cols>
          <w:pgMar w:left="1440" w:top="947" w:right="1440" w:bottom="348" w:gutter="0" w:footer="0" w:header="0"/>
          <w:type w:val="continuous"/>
        </w:sectPr>
      </w:pPr>
    </w:p>
    <w:bookmarkStart w:id="64" w:name="page65"/>
    <w:bookmarkEnd w:id="64"/>
    <w:p>
      <w:pPr>
        <w:jc w:val="both"/>
        <w:ind w:right="6"/>
        <w:spacing w:after="0" w:line="249" w:lineRule="auto"/>
        <w:rPr>
          <w:sz w:val="20"/>
          <w:szCs w:val="20"/>
          <w:color w:val="auto"/>
        </w:rPr>
      </w:pPr>
      <w:r>
        <w:rPr>
          <w:rFonts w:ascii="Times New Roman" w:cs="Times New Roman" w:eastAsia="Times New Roman" w:hAnsi="Times New Roman"/>
          <w:sz w:val="20"/>
          <w:szCs w:val="20"/>
          <w:color w:val="auto"/>
        </w:rPr>
        <w:t>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178"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Currently, we do not have a business relationship with any of the banking institutions mentioned above, and our cash, cash equivalents and short term investments have been unaffected by the turmoil in the financial industry; however, we cannot guaranty that the banking institution with which we do business will not face similar circumstances in the future, or that the third parties with whom we do business will not be negatively affected by such circumstances.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do not own any real property. Our corporate headquarters are located in White Plains, New York, where we occupy approximately 13,600 square feet of shared office space with an affiliate of Fortistar pursuant to an Administrative Services Agreement. In addition, we lease office and maintenance facilities in Oronoco, Minnesota and Rancho Cucamonga, California. Our interests in our RNG and Renewable Power projects are our only material properties. See Item 1. Business — Our projects for additional information.</w:t>
      </w:r>
    </w:p>
    <w:p>
      <w:pPr>
        <w:spacing w:after="0" w:line="2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tab/>
        <w:t>LEGAL PROCEEDINGS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Ohio Edison Arbitration Demand</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Noble Road RNG LLC (“Noble Road”), a subsidiary of Opal Fuels, and Ohio Edison Company (“Ohio Edison”) entered into several contracts pursuant to which Ohio Edison agreed to, among other things furnish to Noble Road alternating current, sixty cycle, three phase electrical energy at approximately 12,500 volts, up to approximately 2,100 kW of capacity, and agreed to construct upgrades to Ohio Edison’s facilities to serve the required load to Noble Road’s RNG facility.</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October 3, 2023.</w:t>
      </w:r>
    </w:p>
    <w:p>
      <w:pPr>
        <w:spacing w:after="0" w:line="173"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 xml:space="preserve">See Note 18.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to the Company’s consolidated financial statements set forth in Item 8. Financial Statements and Supplementary Data of this Form 10-K, for information regarding legal proceedings in which we are involved.</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53</w:t>
      </w:r>
    </w:p>
    <w:p>
      <w:pPr>
        <w:sectPr>
          <w:pgSz w:w="12240" w:h="15846" w:orient="portrait"/>
          <w:cols w:equalWidth="0" w:num="1">
            <w:col w:w="9366"/>
          </w:cols>
          <w:pgMar w:left="1440" w:top="954" w:right="1440" w:bottom="348" w:gutter="0" w:footer="0" w:header="0"/>
          <w:type w:val="continuous"/>
        </w:sectPr>
      </w:pPr>
    </w:p>
    <w:bookmarkStart w:id="65" w:name="page66"/>
    <w:bookmarkEnd w:id="65"/>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75" w:lineRule="exact"/>
        <w:rPr>
          <w:sz w:val="20"/>
          <w:szCs w:val="20"/>
          <w:color w:val="auto"/>
        </w:rPr>
      </w:pPr>
    </w:p>
    <w:p>
      <w:pPr>
        <w:jc w:val="both"/>
        <w:ind w:left="960" w:right="6"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tab/>
        <w:t>MARKET FOR REGISTRANT’S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shares of Class A common stock are traded on the Nasdaq Stock Market LLC under the symbol “OPAL”.</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On March 27, 2023, the closing sale price of our shares of Class A common stock, as reported on the Nasdaq Stock Market LLC, was $7.26 per share.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number of shareholders of record of our shares of Class A common stock was approximately 18 on March 27,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Dividends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Our Board of Directors currently intends to retain any future earnings to support operations and to finance the growth and development of our business, and therefore does not intend to pay cash dividends on our common stock in the near term.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July 21, 2022, the Company adopted the OPAL Fuels Inc. 2022 Omnibus Equity Incentive Plan (the “2022 Equity Compensation Plan”). Under the terms of the 2022 Equity Compensation Plan, a maximum of 19,811,726 shares of Class A common stock may be issued. Any director, officer, employee or consultant of the Company or any of its subsidiaries (including any prospective officer or employee) is eligible to be designated to participate in the 2022 Equity Compensation Plan.</w:t>
      </w:r>
    </w:p>
    <w:p>
      <w:pPr>
        <w:spacing w:after="0" w:line="172"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sets forth certain information as of December 31, 2022 regarding the 2022 Equity Compensation Plan. The 2022 Equity Compensation Plan was approved by our shareholders on July 21,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issued</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0"/>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upon exercise of</w:t>
            </w:r>
          </w:p>
        </w:tc>
        <w:tc>
          <w:tcPr>
            <w:tcW w:w="18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8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 securities for</w:t>
            </w:r>
          </w:p>
        </w:tc>
      </w:tr>
      <w:tr>
        <w:trPr>
          <w:trHeight w:val="200"/>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outstanding restricted</w:t>
            </w:r>
          </w:p>
        </w:tc>
        <w:tc>
          <w:tcPr>
            <w:tcW w:w="18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8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00"/>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stock units, options,</w:t>
            </w:r>
          </w:p>
        </w:tc>
        <w:tc>
          <w:tcPr>
            <w:tcW w:w="18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80" w:type="dxa"/>
            <w:vAlign w:val="bottom"/>
          </w:tcPr>
          <w:p>
            <w:pPr>
              <w:spacing w:after="0"/>
              <w:rPr>
                <w:sz w:val="17"/>
                <w:szCs w:val="17"/>
                <w:color w:val="auto"/>
              </w:rPr>
            </w:pPr>
          </w:p>
        </w:tc>
        <w:tc>
          <w:tcPr>
            <w:tcW w:w="1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equity compensation</w:t>
            </w:r>
          </w:p>
        </w:tc>
      </w:tr>
      <w:tr>
        <w:trPr>
          <w:trHeight w:val="210"/>
        </w:trPr>
        <w:tc>
          <w:tcPr>
            <w:tcW w:w="28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Pr>
          <w:p>
            <w:pPr>
              <w:spacing w:after="0"/>
              <w:rPr>
                <w:sz w:val="18"/>
                <w:szCs w:val="18"/>
                <w:color w:val="auto"/>
              </w:rPr>
            </w:pPr>
          </w:p>
        </w:tc>
        <w:tc>
          <w:tcPr>
            <w:tcW w:w="19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80" w:type="dxa"/>
            <w:vAlign w:val="bottom"/>
          </w:tcPr>
          <w:p>
            <w:pPr>
              <w:spacing w:after="0"/>
              <w:rPr>
                <w:sz w:val="18"/>
                <w:szCs w:val="18"/>
                <w:color w:val="auto"/>
              </w:rPr>
            </w:pPr>
          </w:p>
        </w:tc>
        <w:tc>
          <w:tcPr>
            <w:tcW w:w="19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80" w:type="dxa"/>
            <w:vAlign w:val="bottom"/>
          </w:tcPr>
          <w:p>
            <w:pPr>
              <w:spacing w:after="0"/>
              <w:rPr>
                <w:sz w:val="18"/>
                <w:szCs w:val="18"/>
                <w:color w:val="auto"/>
              </w:rPr>
            </w:pPr>
          </w:p>
        </w:tc>
        <w:tc>
          <w:tcPr>
            <w:tcW w:w="19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44"/>
        </w:trPr>
        <w:tc>
          <w:tcPr>
            <w:tcW w:w="3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w:t>
            </w:r>
          </w:p>
        </w:tc>
        <w:tc>
          <w:tcPr>
            <w:tcW w:w="1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23"/>
        </w:trPr>
        <w:tc>
          <w:tcPr>
            <w:tcW w:w="30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approved by security holders . . . .</w:t>
            </w:r>
          </w:p>
        </w:tc>
        <w:tc>
          <w:tcPr>
            <w:tcW w:w="19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422,349</w:t>
            </w: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19,389,377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Use of Proceeds from Registered Offerings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1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75" w:lineRule="exact"/>
        <w:rPr>
          <w:sz w:val="20"/>
          <w:szCs w:val="20"/>
          <w:color w:val="auto"/>
        </w:rPr>
      </w:pPr>
    </w:p>
    <w:p>
      <w:pPr>
        <w:jc w:val="both"/>
        <w:ind w:left="960" w:right="6"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tab/>
        <w:t>MANAGEMENT’S DISCUSSION AND ANALYSIS OF FINANCIAL CONDITION AND RESULTS OF OPERATIONS</w:t>
      </w:r>
    </w:p>
    <w:p>
      <w:pPr>
        <w:spacing w:after="0" w:line="176"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i w:val="1"/>
          <w:iCs w:val="1"/>
          <w:color w:val="auto"/>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consolidated financial statements and related notes set forth in Item 8. Financial Statements and Supplementary Data and the risk factors identified in Item 1A. Risk Factors of this Annual Report. For further discussion regarding our results of operations for the year ended December 31, 2021 as compared to the year ended December 31, 2020, refer to the audited consolidated financial statements and notes thereto included in the Company’s Current Report on Form 8-K, which was</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54</w:t>
      </w:r>
    </w:p>
    <w:p>
      <w:pPr>
        <w:sectPr>
          <w:pgSz w:w="12240" w:h="15846" w:orient="portrait"/>
          <w:cols w:equalWidth="0" w:num="1">
            <w:col w:w="9366"/>
          </w:cols>
          <w:pgMar w:left="1440" w:top="947" w:right="1440" w:bottom="348" w:gutter="0" w:footer="0" w:header="0"/>
          <w:type w:val="continuous"/>
        </w:sectPr>
      </w:pPr>
    </w:p>
    <w:bookmarkStart w:id="66" w:name="page67"/>
    <w:bookmarkEnd w:id="66"/>
    <w:p>
      <w:pPr>
        <w:jc w:val="both"/>
        <w:ind w:right="6"/>
        <w:spacing w:after="0" w:line="245" w:lineRule="auto"/>
        <w:rPr>
          <w:sz w:val="20"/>
          <w:szCs w:val="20"/>
          <w:color w:val="auto"/>
        </w:rPr>
      </w:pPr>
      <w:r>
        <w:rPr>
          <w:rFonts w:ascii="Times New Roman" w:cs="Times New Roman" w:eastAsia="Times New Roman" w:hAnsi="Times New Roman"/>
          <w:sz w:val="20"/>
          <w:szCs w:val="20"/>
          <w:i w:val="1"/>
          <w:iCs w:val="1"/>
          <w:color w:val="auto"/>
        </w:rPr>
        <w:t>filed with Securities and Exchange Commission (the “SEC”) on July 27, 2022. In addition to historical information, this discussion and analysis includes certain forward-looking statements which reflect our current expectations. The Company’s actual results may materially differ from these forward-looking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are a renewable energy company specializing in the capture and conversion of biogas for the (i) production of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recently begun implementing design, development, and construction services for hydrogen Fueling Stations, and we are pursuing opportunities to diversify our sources of biogas to other waste streams. The term “Environmental Attributes” refers to federal, state and local government incentives in the United States, provided in the form of renewable identification numbers (“RINs,”) RECs, low carbon fuel standard (“LCFS”) credits, rebates, tax credits and other incentives to end users, distributors, system integrators and manufacturers of renewable energy projects, that promote the use of renewable energy. We separately design, develop, construct, operate and service Fueling Stations for vehicle fleets across the country that dispense RNG and/or CNG to displace diesel as a fleet transportation fuel.</w:t>
      </w:r>
    </w:p>
    <w:p>
      <w:pPr>
        <w:spacing w:after="0" w:line="180"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As of the date of this report, we owned and operated 25 projects, seven of which are RNG projects and 18 of which are Renewable Power Projects. As of that date, our RNG projects in operation had a design capacity of 3.9 million MMBtus per year and our Renewable Power Projects in operation had a nameplate capacity of 118.6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the Business Combination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combination</w:t>
      </w:r>
    </w:p>
    <w:p>
      <w:pPr>
        <w:spacing w:after="0" w:line="177" w:lineRule="exact"/>
        <w:rPr>
          <w:sz w:val="20"/>
          <w:szCs w:val="20"/>
          <w:color w:val="auto"/>
        </w:rPr>
      </w:pPr>
    </w:p>
    <w:p>
      <w:pPr>
        <w:jc w:val="both"/>
        <w:ind w:right="6" w:firstLine="480"/>
        <w:spacing w:after="0" w:line="263" w:lineRule="auto"/>
        <w:rPr>
          <w:sz w:val="20"/>
          <w:szCs w:val="20"/>
          <w:color w:val="auto"/>
        </w:rPr>
      </w:pPr>
      <w:r>
        <w:rPr>
          <w:rFonts w:ascii="Times New Roman" w:cs="Times New Roman" w:eastAsia="Times New Roman" w:hAnsi="Times New Roman"/>
          <w:sz w:val="19"/>
          <w:szCs w:val="19"/>
          <w:color w:val="auto"/>
        </w:rPr>
        <w:t>On July 21, 2022, we completed the Business Combination. After giving effect to the Business Combination, the redemption of public shares as described below, the consummation of the related PIPE investment, and the separation of the former ArcLight units, there were (i) 25,671,390 shares of our Class A common stock issued and outstanding,</w:t>
      </w:r>
    </w:p>
    <w:p>
      <w:pPr>
        <w:spacing w:after="0" w:line="2" w:lineRule="exact"/>
        <w:rPr>
          <w:sz w:val="20"/>
          <w:szCs w:val="20"/>
          <w:color w:val="auto"/>
        </w:rPr>
      </w:pPr>
    </w:p>
    <w:p>
      <w:pPr>
        <w:jc w:val="both"/>
        <w:ind w:right="6"/>
        <w:spacing w:after="0" w:line="264" w:lineRule="auto"/>
        <w:tabs>
          <w:tab w:leader="none" w:pos="28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Capital Market under the symbols “OPAL” and “OPALW,” respectively, on July 22, 2022.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 exchange</w:t>
      </w:r>
    </w:p>
    <w:p>
      <w:pPr>
        <w:spacing w:after="0" w:line="177" w:lineRule="exact"/>
        <w:rPr>
          <w:sz w:val="20"/>
          <w:szCs w:val="20"/>
          <w:color w:val="auto"/>
        </w:rPr>
      </w:pPr>
    </w:p>
    <w:p>
      <w:pPr>
        <w:jc w:val="both"/>
        <w:ind w:right="6" w:firstLine="480"/>
        <w:spacing w:after="0" w:line="266" w:lineRule="auto"/>
        <w:rPr>
          <w:sz w:val="20"/>
          <w:szCs w:val="20"/>
          <w:color w:val="auto"/>
        </w:rPr>
      </w:pPr>
      <w:r>
        <w:rPr>
          <w:rFonts w:ascii="Times New Roman" w:cs="Times New Roman" w:eastAsia="Times New Roman" w:hAnsi="Times New Roman"/>
          <w:sz w:val="19"/>
          <w:szCs w:val="19"/>
          <w:color w:val="auto"/>
        </w:rPr>
        <w:t>On November 18, 2022, the Company announced the commencement of the Offer and consent solicitation relating to its outstanding (i) Public Warrants, and (ii) private placement warrants to purchase shares of Class A common stock (the “Private Placement Warrants”) and together with the public warrants, the (“Warrants”). The Company offered</w:t>
      </w:r>
    </w:p>
    <w:p>
      <w:pPr>
        <w:sectPr>
          <w:pgSz w:w="12240" w:h="15846" w:orient="portrait"/>
          <w:cols w:equalWidth="0" w:num="1">
            <w:col w:w="9366"/>
          </w:cols>
          <w:pgMar w:left="1440" w:top="956"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55</w:t>
      </w:r>
    </w:p>
    <w:p>
      <w:pPr>
        <w:sectPr>
          <w:pgSz w:w="12240" w:h="15846" w:orient="portrait"/>
          <w:cols w:equalWidth="0" w:num="1">
            <w:col w:w="9366"/>
          </w:cols>
          <w:pgMar w:left="1440" w:top="956" w:right="1440" w:bottom="348" w:gutter="0" w:footer="0" w:header="0"/>
          <w:type w:val="continuous"/>
        </w:sectPr>
      </w:pPr>
    </w:p>
    <w:bookmarkStart w:id="67" w:name="page68"/>
    <w:bookmarkEnd w:id="67"/>
    <w:p>
      <w:pPr>
        <w:jc w:val="both"/>
        <w:ind w:right="6"/>
        <w:spacing w:after="0" w:line="249" w:lineRule="auto"/>
        <w:rPr>
          <w:sz w:val="20"/>
          <w:szCs w:val="20"/>
          <w:color w:val="auto"/>
        </w:rPr>
      </w:pPr>
      <w:r>
        <w:rPr>
          <w:rFonts w:ascii="Times New Roman" w:cs="Times New Roman" w:eastAsia="Times New Roman" w:hAnsi="Times New Roman"/>
          <w:sz w:val="20"/>
          <w:szCs w:val="20"/>
          <w:color w:val="auto"/>
        </w:rPr>
        <w:t>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to permit the Company to require that each warrant that is outstanding upon the closing of the Offer be exchanged for 0.225 shares of Class A common stock, which is a ratio 10% less than the exchange ratio applicable to the Offer (such amendment, the “Warrant Amendment”).</w:t>
      </w:r>
    </w:p>
    <w:p>
      <w:pPr>
        <w:spacing w:after="0" w:line="16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December 22, 2022, the Company completed the exchange offer and issued 3,309,296 shares of Class A common stock in exchange for the warrants tendered in the Offer. Pursuant to the Warrant Amendment dated December 21, 2022, the Company effected the Post-Offer Exchange and issued 497,080 shares of Class A common stock. As a result of the completion of the Offer and the Post-Offer Exchange, there are no outstanding warrants. Accordingly, the public warrants were suspended from trading on the Nasdaq and delisted.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UPS Agreement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December 15, 2022, the Company entered into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Secured Credit Facility</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December 19, 2022, FM3, an indirect subsidiary of the Company, which is the borrower under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Upon consummation of the FM3 Amendment, Opal Fuels holds approximately $45,000 of the outstanding loans under the FM3 Credit Agreement as an affiliate lender. On March 20, 2023, the Company repaid in full the remaining outstanding loan of $22,750.</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OPAL Term Loan II</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August 4, 2022, OPAL Fuels Intermediate Holdco 2, an indirect wholly-owned subsidiary the Company, entered into the OPAL Term Loan II with a syndicate of lenders. The indebtedness is guaranteed by certain of the direct and indirect subsidiaries of OPAL Intermediate Holdco 2. The OPAL Term Loan II provides for an approximately two year DDTL Facility of up to a maximum aggregate principal amount of $100,000 and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discussion and analysis of our financial condition and results of operations is based upon our interim unaudited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56</w:t>
      </w:r>
    </w:p>
    <w:p>
      <w:pPr>
        <w:sectPr>
          <w:pgSz w:w="12240" w:h="15846" w:orient="portrait"/>
          <w:cols w:equalWidth="0" w:num="1">
            <w:col w:w="9366"/>
          </w:cols>
          <w:pgMar w:left="1440" w:top="954" w:right="1440" w:bottom="348" w:gutter="0" w:footer="0" w:header="0"/>
          <w:type w:val="continuous"/>
        </w:sectPr>
      </w:pPr>
    </w:p>
    <w:bookmarkStart w:id="68" w:name="page69"/>
    <w:bookmarkEnd w:id="68"/>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 w:cs="Times New Roman" w:eastAsia="Times New Roman" w:hAnsi="Times New Roman"/>
          <w:sz w:val="20"/>
          <w:szCs w:val="20"/>
          <w:i w:val="1"/>
          <w:iCs w:val="1"/>
          <w:color w:val="auto"/>
        </w:rPr>
        <w:t>Significant Accounting Policies</w:t>
      </w:r>
      <w:r>
        <w:rPr>
          <w:rFonts w:ascii="Times New Roman" w:cs="Times New Roman" w:eastAsia="Times New Roman" w:hAnsi="Times New Roman"/>
          <w:sz w:val="20"/>
          <w:szCs w:val="20"/>
          <w:color w:val="auto"/>
        </w:rPr>
        <w:t>, to our consolidated financial statements included herein.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Gas — Fuel Purchase Agreements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own Fueling Stations for use by customers under fuel sale agreements. We bill these customers at an agreed upon price for each gallon sold and recognize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Interstate Gas Pipeline Delivery</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Environmental Attributes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Operation and Maintenance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have operating and maintenance agreements in which we are contracted to operate, maintain, and repair landfill site gas collection systems. Revenue is based on the volume of per million British thermal units (“</w:t>
      </w:r>
      <w:r>
        <w:rPr>
          <w:rFonts w:ascii="Times New Roman" w:cs="Times New Roman" w:eastAsia="Times New Roman" w:hAnsi="Times New Roman"/>
          <w:sz w:val="20"/>
          <w:szCs w:val="20"/>
          <w:b w:val="1"/>
          <w:bCs w:val="1"/>
          <w:i w:val="1"/>
          <w:iCs w:val="1"/>
          <w:color w:val="auto"/>
        </w:rPr>
        <w:t>MMBtu</w:t>
      </w:r>
      <w:r>
        <w:rPr>
          <w:rFonts w:ascii="Times New Roman" w:cs="Times New Roman" w:eastAsia="Times New Roman" w:hAnsi="Times New Roman"/>
          <w:sz w:val="20"/>
          <w:szCs w:val="20"/>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Construction Type Contracts — Third Party</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57</w:t>
      </w:r>
    </w:p>
    <w:p>
      <w:pPr>
        <w:sectPr>
          <w:pgSz w:w="12240" w:h="15846" w:orient="portrait"/>
          <w:cols w:equalWidth="0" w:num="1">
            <w:col w:w="9366"/>
          </w:cols>
          <w:pgMar w:left="1440" w:top="954" w:right="1440" w:bottom="348"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i w:val="1"/>
          <w:iCs w:val="1"/>
          <w:color w:val="auto"/>
        </w:rPr>
        <w:t>Impairment of Goodwill and Long-Lived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Goodwill</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71"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177" w:lineRule="exact"/>
        <w:rPr>
          <w:sz w:val="20"/>
          <w:szCs w:val="20"/>
          <w:color w:val="auto"/>
        </w:rPr>
      </w:pPr>
    </w:p>
    <w:p>
      <w:pPr>
        <w:jc w:val="both"/>
        <w:ind w:right="6" w:firstLine="480"/>
        <w:spacing w:after="0" w:line="250" w:lineRule="auto"/>
        <w:rPr>
          <w:sz w:val="20"/>
          <w:szCs w:val="20"/>
          <w:color w:val="auto"/>
        </w:rPr>
      </w:pPr>
      <w:r>
        <w:rPr>
          <w:rFonts w:ascii="Times New Roman" w:cs="Times New Roman" w:eastAsia="Times New Roman" w:hAnsi="Times New Roman"/>
          <w:sz w:val="20"/>
          <w:szCs w:val="20"/>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68"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Based on our assessment for the year ended December 31, 2022, there is no impairment recorded on our Plant, Property and Equipment.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w:t>
      </w:r>
    </w:p>
    <w:p>
      <w:pPr>
        <w:spacing w:after="0" w:line="177"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58</w:t>
      </w:r>
    </w:p>
    <w:p>
      <w:pPr>
        <w:sectPr>
          <w:pgSz w:w="12240" w:h="15846" w:orient="portrait"/>
          <w:cols w:equalWidth="0" w:num="1">
            <w:col w:w="9366"/>
          </w:cols>
          <w:pgMar w:left="1440" w:top="947" w:right="1440" w:bottom="348" w:gutter="0" w:footer="0" w:header="0"/>
          <w:type w:val="continuous"/>
        </w:sectPr>
      </w:pPr>
    </w:p>
    <w:bookmarkStart w:id="70" w:name="page71"/>
    <w:bookmarkEnd w:id="70"/>
    <w:p>
      <w:pPr>
        <w:jc w:val="both"/>
        <w:ind w:right="6"/>
        <w:spacing w:after="0" w:line="249" w:lineRule="auto"/>
        <w:rPr>
          <w:sz w:val="20"/>
          <w:szCs w:val="20"/>
          <w:color w:val="auto"/>
        </w:rPr>
      </w:pPr>
      <w:r>
        <w:rPr>
          <w:rFonts w:ascii="Times New Roman" w:cs="Times New Roman" w:eastAsia="Times New Roman" w:hAnsi="Times New Roman"/>
          <w:sz w:val="20"/>
          <w:szCs w:val="20"/>
          <w:color w:val="auto"/>
        </w:rPr>
        <w:t>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73"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 xml:space="preserve">Refer to Note 10. </w:t>
      </w:r>
      <w:r>
        <w:rPr>
          <w:rFonts w:ascii="Times New Roman" w:cs="Times New Roman" w:eastAsia="Times New Roman" w:hAnsi="Times New Roman"/>
          <w:sz w:val="20"/>
          <w:szCs w:val="20"/>
          <w:i w:val="1"/>
          <w:iCs w:val="1"/>
          <w:color w:val="auto"/>
        </w:rPr>
        <w:t>Derivative Financial Instruments and Fair Value Measurements,</w:t>
      </w:r>
      <w:r>
        <w:rPr>
          <w:rFonts w:ascii="Times New Roman" w:cs="Times New Roman" w:eastAsia="Times New Roman" w:hAnsi="Times New Roman"/>
          <w:sz w:val="20"/>
          <w:szCs w:val="20"/>
          <w:color w:val="auto"/>
        </w:rPr>
        <w:t xml:space="preserve"> to our consolidated financial statements, for details on our assets and liabilities regularly recorded at fair value and the respective placements in the fair value hierarchy.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Refer to Note 16.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to our consolidated financial statements, for additional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Emerging Growth Company Status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 forward purchase agreement, interest rate swaps and commodity swap contracts. Actual results could differ from those estimates.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and Trends Influencing our Results of Operations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elsewhere in this report.</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59</w:t>
      </w:r>
    </w:p>
    <w:p>
      <w:pPr>
        <w:sectPr>
          <w:pgSz w:w="12240" w:h="15846" w:orient="portrait"/>
          <w:cols w:equalWidth="0" w:num="1">
            <w:col w:w="9366"/>
          </w:cols>
          <w:pgMar w:left="1440" w:top="954" w:right="1440" w:bottom="348"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i w:val="1"/>
          <w:iCs w:val="1"/>
          <w:color w:val="auto"/>
        </w:rPr>
        <w:t>Market Demand for RNG</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market.The EPA is required to set RVOs for 2023 and beyond and the EPA introduced proposed Set rule in December 2022 with rule finalization expected in June 2023. Until the rules and RVOs are finalized, this may create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155"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Commercial transportation, including heavy-duty trucking, generates approximately 30% emissions of overall CO2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69"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We are also exposed to the commodity prices of natural gas and diesel, which serve as alternative fuel for RNG and therefore impact the demand for RNG.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 Markets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Regulatory landscape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our risk factor titled </w:t>
      </w:r>
      <w:r>
        <w:rPr>
          <w:rFonts w:ascii="Times New Roman" w:cs="Times New Roman" w:eastAsia="Times New Roman" w:hAnsi="Times New Roman"/>
          <w:sz w:val="20"/>
          <w:szCs w:val="20"/>
          <w:i w:val="1"/>
          <w:iCs w:val="1"/>
          <w:color w:val="auto"/>
        </w:rPr>
        <w:t>“The financial performance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of our business depends upon tax and other government incentives for the generation of RNG and Renewable Power, any of which could change at any time and such changes may negatively impact our growth strategy.” </w:t>
      </w:r>
      <w:r>
        <w:rPr>
          <w:rFonts w:ascii="Times New Roman" w:cs="Times New Roman" w:eastAsia="Times New Roman" w:hAnsi="Times New Roman"/>
          <w:sz w:val="20"/>
          <w:szCs w:val="20"/>
          <w:color w:val="auto"/>
        </w:rPr>
        <w:t>Government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regulations have become increasingly stringent and complying with changes in regulations may result in significant additional operating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Seasonality</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ectPr>
          <w:pgSz w:w="12240" w:h="15846" w:orient="portrait"/>
          <w:cols w:equalWidth="0" w:num="1">
            <w:col w:w="9366"/>
          </w:cols>
          <w:pgMar w:left="1440" w:top="947" w:right="1440" w:bottom="348" w:gutter="0" w:footer="0" w:header="0"/>
        </w:sectPr>
      </w:pPr>
    </w:p>
    <w:p>
      <w:pPr>
        <w:spacing w:after="0" w:line="31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60</w:t>
      </w:r>
    </w:p>
    <w:p>
      <w:pPr>
        <w:sectPr>
          <w:pgSz w:w="12240" w:h="15846" w:orient="portrait"/>
          <w:cols w:equalWidth="0" w:num="1">
            <w:col w:w="9366"/>
          </w:cols>
          <w:pgMar w:left="1440" w:top="947" w:right="1440" w:bottom="348"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i w:val="1"/>
          <w:iCs w:val="1"/>
          <w:color w:val="auto"/>
        </w:rPr>
        <w:t>Impact of COVID-19</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70"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As of the date of this report, the COVID-19 pandemic has had a relatively minimal economic impact on our results of operations.</w:t>
      </w:r>
    </w:p>
    <w:p>
      <w:pPr>
        <w:spacing w:after="0" w:line="17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duration and future economic severity of the COVID-19 remains uncertain, and our results of operations and financial condition could potentially face material adverse effect(s) in the future due to COVID-19.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Our Results of Operations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spacing w:after="0" w:line="168" w:lineRule="exact"/>
        <w:rPr>
          <w:sz w:val="20"/>
          <w:szCs w:val="20"/>
          <w:color w:val="auto"/>
        </w:rPr>
      </w:pPr>
    </w:p>
    <w:p>
      <w:pPr>
        <w:ind w:left="960" w:right="6" w:hanging="480"/>
        <w:spacing w:after="0" w:line="244"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The RNG Fuel segment includes RNG supply and dispensing activities as well as the associated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generation and sale of commodity natural gas and environmental credits, and consists of:</w:t>
      </w:r>
    </w:p>
    <w:p>
      <w:pPr>
        <w:spacing w:after="0" w:line="173" w:lineRule="exact"/>
        <w:rPr>
          <w:rFonts w:ascii="Times New Roman" w:cs="Times New Roman" w:eastAsia="Times New Roman" w:hAnsi="Times New Roman"/>
          <w:sz w:val="20"/>
          <w:szCs w:val="20"/>
          <w:color w:val="auto"/>
        </w:rPr>
      </w:pPr>
    </w:p>
    <w:p>
      <w:pPr>
        <w:ind w:left="1440" w:right="6" w:hanging="480"/>
        <w:spacing w:after="0" w:line="243" w:lineRule="auto"/>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Production Facilities — the design, development, construction, maintenance and operation of facilities that convert raw biogas into pipeline quality natural gas</w:t>
      </w:r>
    </w:p>
    <w:p>
      <w:pPr>
        <w:spacing w:after="0" w:line="167"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Included here are the Company’s interests in both operating and construction projects.</w:t>
      </w:r>
    </w:p>
    <w:p>
      <w:pPr>
        <w:spacing w:after="0" w:line="176" w:lineRule="exact"/>
        <w:rPr>
          <w:rFonts w:ascii="Times New Roman" w:cs="Times New Roman" w:eastAsia="Times New Roman" w:hAnsi="Times New Roman"/>
          <w:sz w:val="20"/>
          <w:szCs w:val="20"/>
          <w:color w:val="auto"/>
        </w:rPr>
      </w:pPr>
    </w:p>
    <w:p>
      <w:pPr>
        <w:jc w:val="both"/>
        <w:ind w:left="1440" w:right="6" w:hanging="480"/>
        <w:spacing w:after="0" w:line="246" w:lineRule="auto"/>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and CNG Fuel Dispensing Stations — This includes both the dispensing (or sale) of RNG, commodity natural gas, and environmental credit generation and monetization. The Company operates Fueling Stations that dispense both CNG and RNG fuel for vehicles.</w:t>
      </w:r>
    </w:p>
    <w:p>
      <w:pPr>
        <w:spacing w:after="0" w:line="171" w:lineRule="exact"/>
        <w:rPr>
          <w:rFonts w:ascii="Times New Roman" w:cs="Times New Roman" w:eastAsia="Times New Roman" w:hAnsi="Times New Roman"/>
          <w:sz w:val="20"/>
          <w:szCs w:val="20"/>
          <w:color w:val="auto"/>
        </w:rPr>
      </w:pPr>
    </w:p>
    <w:p>
      <w:pPr>
        <w:ind w:left="960" w:right="6" w:hanging="480"/>
        <w:spacing w:after="0" w:line="244"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Fuel Station Services. </w:t>
      </w:r>
      <w:r>
        <w:rPr>
          <w:rFonts w:ascii="Times New Roman" w:cs="Times New Roman" w:eastAsia="Times New Roman" w:hAnsi="Times New Roman"/>
          <w:sz w:val="20"/>
          <w:szCs w:val="20"/>
          <w:color w:val="auto"/>
        </w:rPr>
        <w:t>Through its Fuel Station Services segment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provides construction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maintenance services to third-party owners of Fueling Stations. This segment includes:</w:t>
      </w:r>
    </w:p>
    <w:p>
      <w:pPr>
        <w:spacing w:after="0" w:line="167"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and maintenance contracts for RNG/CNG Fueling Stations.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division that builds compact fueling systems and defueling systems.</w:t>
      </w:r>
    </w:p>
    <w:p>
      <w:pPr>
        <w:spacing w:after="0" w:line="176" w:lineRule="exact"/>
        <w:rPr>
          <w:rFonts w:ascii="Times New Roman" w:cs="Times New Roman" w:eastAsia="Times New Roman" w:hAnsi="Times New Roman"/>
          <w:sz w:val="20"/>
          <w:szCs w:val="20"/>
          <w:color w:val="auto"/>
        </w:rPr>
      </w:pPr>
    </w:p>
    <w:p>
      <w:pPr>
        <w:jc w:val="both"/>
        <w:ind w:left="1440" w:right="6" w:hanging="480"/>
        <w:spacing w:after="0" w:line="246" w:lineRule="auto"/>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Design/build contracts where the Company serves as general contractor for construction of Fueling Stations, typically structured as guarantee maximum price or fixed priced contracts for customers, generally lasting less than one year.</w:t>
      </w:r>
    </w:p>
    <w:p>
      <w:pPr>
        <w:spacing w:after="0" w:line="171" w:lineRule="exact"/>
        <w:rPr>
          <w:rFonts w:ascii="Times New Roman" w:cs="Times New Roman" w:eastAsia="Times New Roman" w:hAnsi="Times New Roman"/>
          <w:sz w:val="20"/>
          <w:szCs w:val="20"/>
          <w:color w:val="auto"/>
        </w:rPr>
      </w:pPr>
    </w:p>
    <w:p>
      <w:pPr>
        <w:jc w:val="both"/>
        <w:ind w:left="960" w:right="6" w:hanging="480"/>
        <w:spacing w:after="0" w:line="248"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Renewable Power Portfolio. </w:t>
      </w:r>
      <w:r>
        <w:rPr>
          <w:rFonts w:ascii="Times New Roman" w:cs="Times New Roman" w:eastAsia="Times New Roman" w:hAnsi="Times New Roman"/>
          <w:sz w:val="20"/>
          <w:szCs w:val="20"/>
          <w:color w:val="auto"/>
        </w:rPr>
        <w:t>The Renewable Power portfolio segment generates Renewable Power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combustion of biogas from landfills and digester gas collection systems which is then sold to public utilities throughout the United States. The Renewable Power portfolio operates primarily in Southern California.</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costs of sales associated with each revenue category are as follows:</w:t>
      </w:r>
    </w:p>
    <w:p>
      <w:pPr>
        <w:spacing w:after="0" w:line="175" w:lineRule="exact"/>
        <w:rPr>
          <w:sz w:val="20"/>
          <w:szCs w:val="20"/>
          <w:color w:val="auto"/>
        </w:rPr>
      </w:pPr>
    </w:p>
    <w:p>
      <w:pPr>
        <w:jc w:val="both"/>
        <w:ind w:left="960" w:right="6" w:hanging="480"/>
        <w:spacing w:after="0" w:line="247" w:lineRule="auto"/>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Includes royalty payments to biogas site owners for the biogas we use; service provider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salaries and other indirect expenses related to the production process, utilities, transportation, storage, and insurance; and depreciation of production facilities.</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61</w:t>
      </w:r>
    </w:p>
    <w:p>
      <w:pPr>
        <w:sectPr>
          <w:pgSz w:w="12240" w:h="15846" w:orient="portrait"/>
          <w:cols w:equalWidth="0" w:num="1">
            <w:col w:w="9366"/>
          </w:cols>
          <w:pgMar w:left="1440" w:top="947" w:right="1440" w:bottom="348" w:gutter="0" w:footer="0" w:header="0"/>
          <w:type w:val="continuous"/>
        </w:sectPr>
      </w:pPr>
    </w:p>
    <w:bookmarkStart w:id="73" w:name="page74"/>
    <w:bookmarkEnd w:id="73"/>
    <w:p>
      <w:pPr>
        <w:ind w:left="960" w:right="6" w:hanging="480"/>
        <w:spacing w:after="0" w:line="244" w:lineRule="auto"/>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Fuel Station Services. </w:t>
      </w:r>
      <w:r>
        <w:rPr>
          <w:rFonts w:ascii="Times New Roman" w:cs="Times New Roman" w:eastAsia="Times New Roman" w:hAnsi="Times New Roman"/>
          <w:sz w:val="20"/>
          <w:szCs w:val="20"/>
          <w:color w:val="auto"/>
        </w:rPr>
        <w:t>Includes equipment supplier costs; service provider costs; and salaries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 expenses.</w:t>
      </w:r>
    </w:p>
    <w:p>
      <w:pPr>
        <w:spacing w:after="0" w:line="172" w:lineRule="exact"/>
        <w:rPr>
          <w:rFonts w:ascii="Times New Roman" w:cs="Times New Roman" w:eastAsia="Times New Roman" w:hAnsi="Times New Roman"/>
          <w:sz w:val="20"/>
          <w:szCs w:val="20"/>
          <w:color w:val="auto"/>
        </w:rPr>
      </w:pPr>
    </w:p>
    <w:p>
      <w:pPr>
        <w:ind w:left="960" w:right="6" w:hanging="480"/>
        <w:spacing w:after="0" w:line="244" w:lineRule="auto"/>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Renewable Power. </w:t>
      </w:r>
      <w:r>
        <w:rPr>
          <w:rFonts w:ascii="Times New Roman" w:cs="Times New Roman" w:eastAsia="Times New Roman" w:hAnsi="Times New Roman"/>
          <w:sz w:val="20"/>
          <w:szCs w:val="20"/>
          <w:color w:val="auto"/>
        </w:rPr>
        <w:t>Includes land usage costs; service provider costs; salaries and other indirect 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to the production process; utilities; and depreciation of production facilities.</w:t>
      </w:r>
    </w:p>
    <w:p>
      <w:pPr>
        <w:spacing w:after="0" w:line="17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Selling, general, and administrative expense consists of costs involving corporate overhead functions, including the cost of services provided to us by an affiliate, and marketing costs.</w:t>
      </w:r>
    </w:p>
    <w:p>
      <w:pPr>
        <w:spacing w:after="0" w:line="174"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customers and associated credit risk</w:t>
      </w:r>
    </w:p>
    <w:p>
      <w:pPr>
        <w:spacing w:after="0" w:line="177" w:lineRule="exact"/>
        <w:rPr>
          <w:sz w:val="20"/>
          <w:szCs w:val="20"/>
          <w:color w:val="auto"/>
        </w:rPr>
      </w:pPr>
    </w:p>
    <w:p>
      <w:pPr>
        <w:jc w:val="both"/>
        <w:ind w:right="6" w:firstLine="480"/>
        <w:spacing w:after="0" w:line="266" w:lineRule="auto"/>
        <w:rPr>
          <w:sz w:val="20"/>
          <w:szCs w:val="20"/>
          <w:color w:val="auto"/>
        </w:rPr>
      </w:pPr>
      <w:r>
        <w:rPr>
          <w:rFonts w:ascii="Times New Roman" w:cs="Times New Roman" w:eastAsia="Times New Roman" w:hAnsi="Times New Roman"/>
          <w:sz w:val="19"/>
          <w:szCs w:val="19"/>
          <w:color w:val="auto"/>
        </w:rPr>
        <w:t>The following table summarizes the percentage of consolidated accounts receivable, net by customers that equal or exceed 10% of the consolidated accounts receivable, net as of December 31, 2022 and 2021. No other single customer accounted for 10% or greater of our consolidated accounts receivable,net as of December 31,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3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5940" w:type="dxa"/>
            <w:vAlign w:val="bottom"/>
          </w:tcPr>
          <w:p>
            <w:pPr>
              <w:spacing w:after="0"/>
              <w:rPr>
                <w:sz w:val="18"/>
                <w:szCs w:val="18"/>
                <w:color w:val="auto"/>
              </w:rPr>
            </w:pPr>
          </w:p>
        </w:tc>
        <w:tc>
          <w:tcPr>
            <w:tcW w:w="1300" w:type="dxa"/>
            <w:vAlign w:val="bottom"/>
            <w:tcBorders>
              <w:bottom w:val="single" w:sz="8" w:color="auto"/>
            </w:tcBorders>
          </w:tcPr>
          <w:p>
            <w:pPr>
              <w:jc w:val="right"/>
              <w:ind w:right="27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ind w:right="484"/>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3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A . . . . . . . . . . . . . . . . . . . . . . . . . . . . . . . . . . . . . . . . . . . . . . . .</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60"/>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B . . . . . . . . . . . . . . . . . . . . . . . . . . . . . . . . . . . . . . . . . . . . . . . .</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29%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D . . . . . . . . . . . . . . . . . . . . . . . . . . . . . . . . . . . . . . . . . . . . . . . .</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bl>
    <w:p>
      <w:pPr>
        <w:spacing w:after="0" w:line="15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percentage of consolidated revenues from customers that equal 10% or greater of the consolidated revenues in the period (no other single customer accounted for more than 10% of consolidated revenues in these periods):</w:t>
      </w:r>
    </w:p>
    <w:p>
      <w:pPr>
        <w:spacing w:after="0" w:line="20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578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3771900</wp:posOffset>
                </wp:positionH>
                <wp:positionV relativeFrom="paragraph">
                  <wp:posOffset>14605</wp:posOffset>
                </wp:positionV>
                <wp:extent cx="20701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pt,1.15pt" to="460pt,1.15pt" o:allowincell="f" strokecolor="#000000" strokeweight="0.5pt"/>
            </w:pict>
          </mc:Fallback>
        </mc:AlternateConten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37"/>
        </w:trPr>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A . . . . . . . . . . . . . . . . . . . . . . . . . . . . . . . . . . . . . . . . . . . . . . .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60"/>
        </w:trPr>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B . . . . . . . . . . . . . . . . . . . . . . . . . . . . . . . . . . . . . . . . . . . . . . .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C . . . . . . . . . . . . . . . . . . . . . . . . . . . . . . . . . . . . . . . . . . . . . . .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60"/>
        </w:trPr>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D . . . . . . . . . . . . . . . . . . . . . . . . . . . . . . . . . . . . . . . . . . . . . . .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years ended December 31, 2022 and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Operational data</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the operational data achieved for the years ended December 31, 2022 and 2021:</w:t>
      </w:r>
    </w:p>
    <w:p>
      <w:pPr>
        <w:spacing w:after="0" w:line="188"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58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3771900</wp:posOffset>
                </wp:positionH>
                <wp:positionV relativeFrom="paragraph">
                  <wp:posOffset>14605</wp:posOffset>
                </wp:positionV>
                <wp:extent cx="20955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pt,1.15pt" to="462pt,1.15pt" o:allowincell="f" strokecolor="#000000" strokeweight="0.5pt"/>
            </w:pict>
          </mc:Fallback>
        </mc:AlternateConten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77"/>
        </w:trPr>
        <w:tc>
          <w:tcPr>
            <w:tcW w:w="6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volume produced (Million MMBtus)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60"/>
        </w:trPr>
        <w:tc>
          <w:tcPr>
            <w:tcW w:w="6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volume sold (Million GGEs) .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w:t>
            </w:r>
          </w:p>
        </w:tc>
      </w:tr>
      <w:tr>
        <w:trPr>
          <w:trHeight w:val="260"/>
        </w:trPr>
        <w:tc>
          <w:tcPr>
            <w:tcW w:w="6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volume delivered (Million GGEs) . . . . . . . . . . . . . . . . . . .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96.4</w:t>
            </w:r>
          </w:p>
        </w:tc>
      </w:tr>
    </w:tbl>
    <w:p>
      <w:pPr>
        <w:spacing w:after="0" w:line="200" w:lineRule="exact"/>
        <w:rPr>
          <w:sz w:val="20"/>
          <w:szCs w:val="20"/>
          <w:color w:val="auto"/>
        </w:rPr>
      </w:pPr>
    </w:p>
    <w:p>
      <w:pPr>
        <w:sectPr>
          <w:pgSz w:w="12240" w:h="15846" w:orient="portrait"/>
          <w:cols w:equalWidth="0" w:num="1">
            <w:col w:w="9366"/>
          </w:cols>
          <w:pgMar w:left="1440" w:top="95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62</w:t>
      </w:r>
    </w:p>
    <w:p>
      <w:pPr>
        <w:sectPr>
          <w:pgSz w:w="12240" w:h="15846" w:orient="portrait"/>
          <w:cols w:equalWidth="0" w:num="1">
            <w:col w:w="9366"/>
          </w:cols>
          <w:pgMar w:left="1440" w:top="952" w:right="1440" w:bottom="348"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RNG projects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RNG projects in operation and construction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OPAL’s Share of</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44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Design capacity</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44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(MMbtus</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Source of</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8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40" w:type="dxa"/>
            <w:vAlign w:val="bottom"/>
            <w:gridSpan w:val="2"/>
          </w:tcPr>
          <w:p>
            <w:pPr>
              <w:jc w:val="center"/>
              <w:ind w:right="180"/>
              <w:spacing w:after="0" w:line="219" w:lineRule="exact"/>
              <w:rPr>
                <w:sz w:val="20"/>
                <w:szCs w:val="20"/>
                <w:color w:val="auto"/>
              </w:rPr>
            </w:pPr>
            <w:r>
              <w:rPr>
                <w:rFonts w:ascii="Times New Roman" w:cs="Times New Roman" w:eastAsia="Times New Roman" w:hAnsi="Times New Roman"/>
                <w:sz w:val="18"/>
                <w:szCs w:val="18"/>
                <w:b w:val="1"/>
                <w:bCs w:val="1"/>
                <w:color w:val="auto"/>
                <w:w w:val="95"/>
              </w:rPr>
              <w:t>per year)</w:t>
            </w:r>
            <w:r>
              <w:rPr>
                <w:rFonts w:ascii="Times New Roman" w:cs="Times New Roman" w:eastAsia="Times New Roman" w:hAnsi="Times New Roman"/>
                <w:sz w:val="20"/>
                <w:szCs w:val="20"/>
                <w:b w:val="1"/>
                <w:bCs w:val="1"/>
                <w:color w:val="auto"/>
                <w:w w:val="95"/>
                <w:vertAlign w:val="superscript"/>
              </w:rPr>
              <w:t>(1)</w:t>
            </w:r>
          </w:p>
        </w:tc>
        <w:tc>
          <w:tcPr>
            <w:tcW w:w="12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bio gas</w:t>
            </w:r>
          </w:p>
        </w:tc>
        <w:tc>
          <w:tcPr>
            <w:tcW w:w="180" w:type="dxa"/>
            <w:vAlign w:val="bottom"/>
          </w:tcPr>
          <w:p>
            <w:pPr>
              <w:spacing w:after="0"/>
              <w:rPr>
                <w:sz w:val="19"/>
                <w:szCs w:val="19"/>
                <w:color w:val="auto"/>
              </w:rPr>
            </w:pPr>
          </w:p>
        </w:tc>
        <w:tc>
          <w:tcPr>
            <w:tcW w:w="1380" w:type="dxa"/>
            <w:vAlign w:val="bottom"/>
            <w:gridSpan w:val="2"/>
          </w:tcPr>
          <w:p>
            <w:pPr>
              <w:jc w:val="right"/>
              <w:ind w:right="260"/>
              <w:spacing w:after="0" w:line="219" w:lineRule="exact"/>
              <w:rPr>
                <w:sz w:val="20"/>
                <w:szCs w:val="20"/>
                <w:color w:val="auto"/>
              </w:rPr>
            </w:pP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20"/>
                <w:szCs w:val="20"/>
                <w:b w:val="1"/>
                <w:bCs w:val="1"/>
                <w:color w:val="auto"/>
                <w:vertAlign w:val="superscript"/>
              </w:rPr>
              <w:t>(2)</w:t>
            </w:r>
          </w:p>
        </w:tc>
      </w:tr>
      <w:tr>
        <w:trPr>
          <w:trHeight w:val="238"/>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operation:</w:t>
            </w: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Greentree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Imperial . . . . .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1,061,712</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New River . . .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663,570</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97"/>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Noble Road</w:t>
            </w:r>
            <w:r>
              <w:rPr>
                <w:rFonts w:ascii="Times New Roman" w:cs="Times New Roman" w:eastAsia="Times New Roman" w:hAnsi="Times New Roman"/>
                <w:sz w:val="23"/>
                <w:szCs w:val="23"/>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464,499</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60"/>
        </w:trPr>
        <w:tc>
          <w:tcPr>
            <w:tcW w:w="5100" w:type="dxa"/>
            <w:vAlign w:val="bottom"/>
            <w:gridSpan w:val="2"/>
          </w:tcPr>
          <w:p>
            <w:pPr>
              <w:jc w:val="right"/>
              <w:ind w:right="140"/>
              <w:spacing w:after="0" w:line="259" w:lineRule="exact"/>
              <w:rPr>
                <w:sz w:val="20"/>
                <w:szCs w:val="20"/>
                <w:color w:val="auto"/>
              </w:rPr>
            </w:pPr>
            <w:r>
              <w:rPr>
                <w:rFonts w:ascii="Times New Roman" w:cs="Times New Roman" w:eastAsia="Times New Roman" w:hAnsi="Times New Roman"/>
                <w:sz w:val="20"/>
                <w:szCs w:val="20"/>
                <w:color w:val="auto"/>
                <w:w w:val="98"/>
              </w:rPr>
              <w:t>Biotown</w:t>
            </w:r>
            <w:r>
              <w:rPr>
                <w:rFonts w:ascii="Times New Roman" w:cs="Times New Roman" w:eastAsia="Times New Roman" w:hAnsi="Times New Roman"/>
                <w:sz w:val="23"/>
                <w:szCs w:val="23"/>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48,573</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56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10%</w:t>
            </w:r>
          </w:p>
        </w:tc>
      </w:tr>
      <w:tr>
        <w:trPr>
          <w:trHeight w:val="260"/>
        </w:trPr>
        <w:tc>
          <w:tcPr>
            <w:tcW w:w="5100" w:type="dxa"/>
            <w:vAlign w:val="bottom"/>
            <w:gridSpan w:val="2"/>
          </w:tcPr>
          <w:p>
            <w:pPr>
              <w:jc w:val="right"/>
              <w:ind w:right="140"/>
              <w:spacing w:after="0" w:line="259" w:lineRule="exact"/>
              <w:rPr>
                <w:sz w:val="20"/>
                <w:szCs w:val="20"/>
                <w:color w:val="auto"/>
              </w:rPr>
            </w:pPr>
            <w:r>
              <w:rPr>
                <w:rFonts w:ascii="Times New Roman" w:cs="Times New Roman" w:eastAsia="Times New Roman" w:hAnsi="Times New Roman"/>
                <w:sz w:val="20"/>
                <w:szCs w:val="20"/>
                <w:color w:val="auto"/>
                <w:w w:val="98"/>
              </w:rPr>
              <w:t>Pine Bend</w:t>
            </w:r>
            <w:r>
              <w:rPr>
                <w:rFonts w:ascii="Times New Roman" w:cs="Times New Roman" w:eastAsia="Times New Roman" w:hAnsi="Times New Roman"/>
                <w:sz w:val="23"/>
                <w:szCs w:val="23"/>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424,685</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LFG</w:t>
            </w:r>
          </w:p>
        </w:tc>
        <w:tc>
          <w:tcPr>
            <w:tcW w:w="156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50%</w:t>
            </w:r>
          </w:p>
        </w:tc>
      </w:tr>
      <w:tr>
        <w:trPr>
          <w:trHeight w:val="223"/>
        </w:trPr>
        <w:tc>
          <w:tcPr>
            <w:tcW w:w="51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w w:val="99"/>
              </w:rPr>
              <w:t>Sunoma . . . . . . . . . . . . . . . . . . . . . . . . . . . . . . . . . . . . . . . . . . .</w:t>
            </w: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192,350</w:t>
            </w:r>
          </w:p>
        </w:tc>
        <w:tc>
          <w:tcPr>
            <w:tcW w:w="180" w:type="dxa"/>
            <w:vAlign w:val="bottom"/>
          </w:tcPr>
          <w:p>
            <w:pPr>
              <w:spacing w:after="0"/>
              <w:rPr>
                <w:sz w:val="19"/>
                <w:szCs w:val="19"/>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56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90%</w:t>
            </w:r>
          </w:p>
        </w:tc>
      </w:tr>
      <w:tr>
        <w:trPr>
          <w:trHeight w:val="24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 . . . . . . . . . . . . . . . . . . . . . . .</w:t>
            </w:r>
            <w:r>
              <w:rPr>
                <w:rFonts w:ascii="Times New Roman" w:cs="Times New Roman" w:eastAsia="Times New Roman" w:hAnsi="Times New Roman"/>
                <w:sz w:val="20"/>
                <w:szCs w:val="20"/>
                <w:b w:val="1"/>
                <w:bCs w:val="1"/>
                <w:color w:val="auto"/>
              </w:rPr>
              <w:t>Subtotal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3,917,101</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construction:</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Prince William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1,725,282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Hilltop . . . . . .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255,500</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Dairy</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Vander Schaaf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255,500</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Dairy</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Emerald . . . . .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1,327,140</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6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Sapphire . . . .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796,284</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6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New England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318,514</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LFG</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40"/>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 . . . . . . . . . . . . . . . . . . . . . .</w:t>
            </w:r>
            <w:r>
              <w:rPr>
                <w:rFonts w:ascii="Times New Roman" w:cs="Times New Roman" w:eastAsia="Times New Roman" w:hAnsi="Times New Roman"/>
                <w:sz w:val="20"/>
                <w:szCs w:val="20"/>
                <w:b w:val="1"/>
                <w:bCs w:val="1"/>
                <w:color w:val="auto"/>
              </w:rPr>
              <w:t>Subtotal</w:t>
            </w: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4,678,220</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 . . . . . . . . . . . . . . . . . . . . . . . . . .</w:t>
            </w:r>
            <w:r>
              <w:rPr>
                <w:rFonts w:ascii="Times New Roman" w:cs="Times New Roman" w:eastAsia="Times New Roman" w:hAnsi="Times New Roman"/>
                <w:sz w:val="20"/>
                <w:szCs w:val="20"/>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8,595,321</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83" w:lineRule="exact"/>
        <w:rPr>
          <w:sz w:val="20"/>
          <w:szCs w:val="20"/>
          <w:color w:val="auto"/>
        </w:rPr>
      </w:pPr>
    </w:p>
    <w:p>
      <w:pPr>
        <w:jc w:val="both"/>
        <w:ind w:left="480" w:right="6" w:hanging="480"/>
        <w:spacing w:after="0" w:line="250"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capacity represents the Company’s proportional ownership in the project. 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3" w:lineRule="exact"/>
        <w:rPr>
          <w:rFonts w:ascii="Times New Roman" w:cs="Times New Roman" w:eastAsia="Times New Roman" w:hAnsi="Times New Roman"/>
          <w:sz w:val="18"/>
          <w:szCs w:val="18"/>
          <w:color w:val="auto"/>
        </w:rPr>
      </w:pPr>
    </w:p>
    <w:p>
      <w:pPr>
        <w:ind w:left="480" w:right="6" w:hanging="480"/>
        <w:spacing w:after="0" w:line="270" w:lineRule="auto"/>
        <w:tabs>
          <w:tab w:leader="none" w:pos="4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ind w:left="480" w:hanging="48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our ownership interests in these projects as equity method investments in our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Power Projects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Renewable Power projects in operation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Nameplate capacity</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RNG conversion</w:t>
            </w:r>
          </w:p>
        </w:tc>
        <w:tc>
          <w:tcPr>
            <w:tcW w:w="1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Stage of RNG</w:t>
            </w:r>
          </w:p>
        </w:tc>
      </w:tr>
      <w:tr>
        <w:trPr>
          <w:trHeight w:val="219"/>
        </w:trPr>
        <w:tc>
          <w:tcPr>
            <w:tcW w:w="2900" w:type="dxa"/>
            <w:vAlign w:val="bottom"/>
          </w:tcPr>
          <w:p>
            <w:pPr>
              <w:spacing w:after="0"/>
              <w:rPr>
                <w:sz w:val="19"/>
                <w:szCs w:val="19"/>
                <w:color w:val="auto"/>
              </w:rPr>
            </w:pPr>
          </w:p>
        </w:tc>
        <w:tc>
          <w:tcPr>
            <w:tcW w:w="1660" w:type="dxa"/>
            <w:vAlign w:val="bottom"/>
            <w:tcBorders>
              <w:bottom w:val="single" w:sz="8" w:color="auto"/>
            </w:tcBorders>
          </w:tcPr>
          <w:p>
            <w:pPr>
              <w:jc w:val="right"/>
              <w:ind w:right="81"/>
              <w:spacing w:after="0" w:line="219" w:lineRule="exact"/>
              <w:rPr>
                <w:sz w:val="20"/>
                <w:szCs w:val="20"/>
                <w:color w:val="auto"/>
              </w:rPr>
            </w:pPr>
            <w:r>
              <w:rPr>
                <w:rFonts w:ascii="Times New Roman" w:cs="Times New Roman" w:eastAsia="Times New Roman" w:hAnsi="Times New Roman"/>
                <w:sz w:val="18"/>
                <w:szCs w:val="18"/>
                <w:b w:val="1"/>
                <w:bCs w:val="1"/>
                <w:color w:val="auto"/>
              </w:rPr>
              <w:t>(MW per hour)</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candidate</w:t>
            </w:r>
          </w:p>
        </w:tc>
        <w:tc>
          <w:tcPr>
            <w:tcW w:w="180" w:type="dxa"/>
            <w:vAlign w:val="bottom"/>
          </w:tcPr>
          <w:p>
            <w:pPr>
              <w:spacing w:after="0"/>
              <w:rPr>
                <w:sz w:val="19"/>
                <w:szCs w:val="19"/>
                <w:color w:val="auto"/>
              </w:rPr>
            </w:pPr>
          </w:p>
        </w:tc>
        <w:tc>
          <w:tcPr>
            <w:tcW w:w="28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conversion</w:t>
            </w:r>
          </w:p>
        </w:tc>
      </w:tr>
      <w:tr>
        <w:trPr>
          <w:trHeight w:val="23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California 1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Advanced Development Pipeline</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California 2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California 3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California 4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California 5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California 6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California 7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California 8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Florida . . . .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2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8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Michigan 1E</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1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Construction</w:t>
            </w:r>
          </w:p>
        </w:tc>
      </w:tr>
      <w:tr>
        <w:trPr>
          <w:trHeight w:val="23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Michigan 3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Advanced Development Pipeline</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New York. .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 1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1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Advanced Development Pipeline</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22"/>
                <w:szCs w:val="22"/>
                <w:color w:val="auto"/>
              </w:rPr>
            </w:pPr>
          </w:p>
        </w:tc>
        <w:tc>
          <w:tcPr>
            <w:tcW w:w="2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ectPr>
          <w:pgSz w:w="12240" w:h="15846" w:orient="portrait"/>
          <w:cols w:equalWidth="0" w:num="1">
            <w:col w:w="9366"/>
          </w:cols>
          <w:pgMar w:left="1440" w:top="947" w:right="1440" w:bottom="348" w:gutter="0" w:footer="0" w:header="0"/>
        </w:sectPr>
      </w:pPr>
    </w:p>
    <w:p>
      <w:pPr>
        <w:spacing w:after="0" w:line="35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63</w:t>
      </w:r>
    </w:p>
    <w:p>
      <w:pPr>
        <w:sectPr>
          <w:pgSz w:w="12240" w:h="15846" w:orient="portrait"/>
          <w:cols w:equalWidth="0" w:num="1">
            <w:col w:w="9366"/>
          </w:cols>
          <w:pgMar w:left="1440" w:top="947" w:right="1440" w:bottom="348"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Nameplate capacity</w:t>
            </w:r>
          </w:p>
        </w:tc>
        <w:tc>
          <w:tcPr>
            <w:tcW w:w="1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RNG conversion</w:t>
            </w:r>
          </w:p>
        </w:tc>
        <w:tc>
          <w:tcPr>
            <w:tcW w:w="1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Stage of RNG</w:t>
            </w:r>
          </w:p>
        </w:tc>
      </w:tr>
      <w:tr>
        <w:trPr>
          <w:trHeight w:val="219"/>
        </w:trPr>
        <w:tc>
          <w:tcPr>
            <w:tcW w:w="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60" w:type="dxa"/>
            <w:vAlign w:val="bottom"/>
            <w:tcBorders>
              <w:bottom w:val="single" w:sz="8" w:color="auto"/>
            </w:tcBorders>
          </w:tcPr>
          <w:p>
            <w:pPr>
              <w:jc w:val="right"/>
              <w:ind w:right="85"/>
              <w:spacing w:after="0" w:line="219" w:lineRule="exact"/>
              <w:rPr>
                <w:sz w:val="20"/>
                <w:szCs w:val="20"/>
                <w:color w:val="auto"/>
              </w:rPr>
            </w:pPr>
            <w:r>
              <w:rPr>
                <w:rFonts w:ascii="Times New Roman" w:cs="Times New Roman" w:eastAsia="Times New Roman" w:hAnsi="Times New Roman"/>
                <w:sz w:val="18"/>
                <w:szCs w:val="18"/>
                <w:b w:val="1"/>
                <w:bCs w:val="1"/>
                <w:color w:val="auto"/>
              </w:rPr>
              <w:t>(MW per hour)</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candidate</w:t>
            </w:r>
          </w:p>
        </w:tc>
        <w:tc>
          <w:tcPr>
            <w:tcW w:w="180" w:type="dxa"/>
            <w:vAlign w:val="bottom"/>
          </w:tcPr>
          <w:p>
            <w:pPr>
              <w:spacing w:after="0"/>
              <w:rPr>
                <w:sz w:val="19"/>
                <w:szCs w:val="19"/>
                <w:color w:val="auto"/>
              </w:rPr>
            </w:pPr>
          </w:p>
        </w:tc>
        <w:tc>
          <w:tcPr>
            <w:tcW w:w="28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conversion</w:t>
            </w:r>
          </w:p>
        </w:tc>
      </w:tr>
      <w:tr>
        <w:trPr>
          <w:trHeight w:val="267"/>
        </w:trPr>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Prince William 1E</w:t>
            </w:r>
            <w:r>
              <w:rPr>
                <w:rFonts w:ascii="Times New Roman" w:cs="Times New Roman" w:eastAsia="Times New Roman" w:hAnsi="Times New Roman"/>
                <w:sz w:val="20"/>
                <w:szCs w:val="20"/>
                <w:color w:val="auto"/>
                <w:w w:val="97"/>
                <w:vertAlign w:val="superscript"/>
              </w:rPr>
              <w:t>(3)</w:t>
            </w:r>
            <w:r>
              <w:rPr>
                <w:rFonts w:ascii="Times New Roman" w:cs="Times New Roman" w:eastAsia="Times New Roman" w:hAnsi="Times New Roman"/>
                <w:sz w:val="18"/>
                <w:szCs w:val="18"/>
                <w:color w:val="auto"/>
                <w:w w:val="97"/>
              </w:rPr>
              <w:t xml:space="preserve">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1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Construction</w:t>
            </w:r>
          </w:p>
        </w:tc>
      </w:tr>
      <w:tr>
        <w:trPr>
          <w:trHeight w:val="260"/>
        </w:trPr>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Prince William 2E</w:t>
            </w:r>
            <w:r>
              <w:rPr>
                <w:rFonts w:ascii="Times New Roman" w:cs="Times New Roman" w:eastAsia="Times New Roman" w:hAnsi="Times New Roman"/>
                <w:sz w:val="20"/>
                <w:szCs w:val="20"/>
                <w:color w:val="auto"/>
                <w:w w:val="97"/>
                <w:vertAlign w:val="superscript"/>
              </w:rPr>
              <w:t>(4)</w:t>
            </w:r>
            <w:r>
              <w:rPr>
                <w:rFonts w:ascii="Times New Roman" w:cs="Times New Roman" w:eastAsia="Times New Roman" w:hAnsi="Times New Roman"/>
                <w:sz w:val="18"/>
                <w:szCs w:val="18"/>
                <w:color w:val="auto"/>
                <w:w w:val="97"/>
              </w:rPr>
              <w:t xml:space="preserve">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1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Construction</w:t>
            </w:r>
          </w:p>
        </w:tc>
      </w:tr>
      <w:tr>
        <w:trPr>
          <w:trHeight w:val="231"/>
        </w:trPr>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Virginia – Richmond . . . . . . . . . . . . .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Advanced Development Pipeline</w:t>
            </w:r>
          </w:p>
        </w:tc>
      </w:tr>
      <w:tr>
        <w:trPr>
          <w:trHeight w:val="224"/>
        </w:trPr>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 . . . . . . . . . . . . . . . . . . .</w:t>
            </w: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4"/>
        </w:trPr>
        <w:tc>
          <w:tcPr>
            <w:tcW w:w="880" w:type="dxa"/>
            <w:vAlign w:val="bottom"/>
            <w:tcBorders>
              <w:bottom w:val="single" w:sz="8" w:color="auto"/>
            </w:tcBorders>
          </w:tcPr>
          <w:p>
            <w:pPr>
              <w:spacing w:after="0"/>
              <w:rPr>
                <w:sz w:val="3"/>
                <w:szCs w:val="3"/>
                <w:color w:val="auto"/>
              </w:rPr>
            </w:pPr>
          </w:p>
        </w:tc>
        <w:tc>
          <w:tcPr>
            <w:tcW w:w="20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40" w:type="dxa"/>
            <w:vAlign w:val="bottom"/>
          </w:tcPr>
          <w:p>
            <w:pPr>
              <w:spacing w:after="0"/>
              <w:rPr>
                <w:sz w:val="3"/>
                <w:szCs w:val="3"/>
                <w:color w:val="auto"/>
              </w:rPr>
            </w:pPr>
          </w:p>
        </w:tc>
      </w:tr>
    </w:tbl>
    <w:p>
      <w:pPr>
        <w:spacing w:after="0" w:line="83" w:lineRule="exact"/>
        <w:rPr>
          <w:sz w:val="20"/>
          <w:szCs w:val="20"/>
          <w:color w:val="auto"/>
        </w:rPr>
      </w:pPr>
    </w:p>
    <w:p>
      <w:pPr>
        <w:jc w:val="both"/>
        <w:ind w:left="480" w:right="6" w:hanging="479"/>
        <w:spacing w:after="0" w:line="250"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13" w:lineRule="exact"/>
        <w:rPr>
          <w:rFonts w:ascii="Times New Roman" w:cs="Times New Roman" w:eastAsia="Times New Roman" w:hAnsi="Times New Roman"/>
          <w:sz w:val="18"/>
          <w:szCs w:val="18"/>
          <w:color w:val="auto"/>
        </w:rPr>
      </w:pPr>
    </w:p>
    <w:p>
      <w:pPr>
        <w:jc w:val="both"/>
        <w:ind w:left="480" w:right="6" w:hanging="479"/>
        <w:spacing w:after="0" w:line="250"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4" w:lineRule="exact"/>
        <w:rPr>
          <w:rFonts w:ascii="Times New Roman" w:cs="Times New Roman" w:eastAsia="Times New Roman" w:hAnsi="Times New Roman"/>
          <w:sz w:val="18"/>
          <w:szCs w:val="18"/>
          <w:color w:val="auto"/>
        </w:rPr>
      </w:pPr>
    </w:p>
    <w:p>
      <w:pPr>
        <w:ind w:left="480" w:hanging="479"/>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“Prince William” under “RNG Projects In Construction.”</w:t>
      </w:r>
    </w:p>
    <w:p>
      <w:pPr>
        <w:spacing w:after="0" w:line="12" w:lineRule="exact"/>
        <w:rPr>
          <w:rFonts w:ascii="Times New Roman" w:cs="Times New Roman" w:eastAsia="Times New Roman" w:hAnsi="Times New Roman"/>
          <w:sz w:val="18"/>
          <w:szCs w:val="18"/>
          <w:color w:val="auto"/>
        </w:rPr>
      </w:pPr>
    </w:p>
    <w:p>
      <w:pPr>
        <w:ind w:left="480" w:hanging="479"/>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“Prince William” under “RNG Projects In Construction.”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2022, and 2021</w:t>
      </w:r>
    </w:p>
    <w:p>
      <w:pPr>
        <w:spacing w:after="0" w:line="17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period-over-period change for each line item in the Company’s consolidated statements of operations for the twelve months ended months ended December 31, 2022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6"/>
          </w:tcPr>
          <w:p>
            <w:pPr>
              <w:jc w:val="right"/>
              <w:ind w:right="7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0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44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22"/>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20"/>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1"/>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 .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126,830</w:t>
            </w:r>
          </w:p>
        </w:tc>
        <w:tc>
          <w:tcPr>
            <w:tcW w:w="1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70,360</w:t>
            </w:r>
          </w:p>
        </w:tc>
        <w:tc>
          <w:tcPr>
            <w:tcW w:w="120" w:type="dxa"/>
            <w:vAlign w:val="bottom"/>
          </w:tcPr>
          <w:p>
            <w:pPr>
              <w:spacing w:after="0"/>
              <w:rPr>
                <w:sz w:val="22"/>
                <w:szCs w:val="22"/>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56,470</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Fuel station services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69,240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18,800</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Renewable Power . . . . . . . . . . . . . . . . . . . . . . . . . . . . . .</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39,461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45,324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(5,863)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revenues . . . . . . . . . . . . . . . . . . . . . . . . . . . . . . . . .</w:t>
            </w: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5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235,531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69,407</w:t>
            </w:r>
          </w:p>
        </w:tc>
        <w:tc>
          <w:tcPr>
            <w:tcW w:w="18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sales – RNG fuel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78,953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41,075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37,878</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sales – Fuel station services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61,514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42,838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18,676</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sales – Renewable power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31,580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Selling, general, and administrative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48,569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29,380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19,189</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61"/>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amortization, and accretion . . . . . . . . . . .</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13,136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2,483</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 expenses . . . . . . . . . . . . . . . . . . . . . . . . . . . . . . .</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233,752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155,098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78,654</w:t>
            </w:r>
          </w:p>
        </w:tc>
        <w:tc>
          <w:tcPr>
            <w:tcW w:w="18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Operating income . . . . . . . . . . . . . . . . . . . . . . . . . . . .</w:t>
            </w: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5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(9,247)</w:t>
            </w: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and financing expense, net . . . . . . . . . . . . . . . .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(6,640)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(7,467)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fair value of derivative instruments, net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33,081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32,982</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333%</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 . . . . . . . . . . . . . . . . . . . . . . . . . . . . . . . . .</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1,943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warrant exchange . . . . . . . . . . . . . . . . . . . . . . .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(3,368)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(3,368)</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from equity method investments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5,784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3,516</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60"/>
        </w:trPr>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Gain on acquisition of equity method investment. . . . . .</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(19,818)</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0"/>
        </w:trPr>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Gain on deconsolidation of VIEs . . . . . . . . . . . . . . . . . .</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(15,025)</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income before provision for income taxes . . . . . . . .</w:t>
            </w: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5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40,769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(8,190)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Provision for income taxes . . . . . . . . . . . . . . . . . . . . . . .</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40,769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(8,190)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37"/>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attributable to redeemable non-controlling</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interests . . . . . . . . . . . . . . . . . . . . . . . . . . . . . . . . . . . .</w:t>
            </w:r>
          </w:p>
        </w:tc>
        <w:tc>
          <w:tcPr>
            <w:tcW w:w="122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22,409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41,363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(18,954)</w:t>
            </w:r>
          </w:p>
        </w:tc>
        <w:tc>
          <w:tcPr>
            <w:tcW w:w="11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attributable to non-redeemable non-controlling</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interests . . . . . . . . . . . . . . . . . . . . . . . . . . . . . . . . . . . .</w:t>
            </w:r>
          </w:p>
        </w:tc>
        <w:tc>
          <w:tcPr>
            <w:tcW w:w="122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(1,153)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(804)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(349)</w:t>
            </w:r>
          </w:p>
        </w:tc>
        <w:tc>
          <w:tcPr>
            <w:tcW w:w="114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6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Paid-in-kind preferred dividends . . . . . . . . . . . . . . . . . .</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7,722</w:t>
            </w:r>
          </w:p>
        </w:tc>
        <w:tc>
          <w:tcPr>
            <w:tcW w:w="18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3677%</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Net income attributable to common stockholders </w:t>
            </w:r>
            <w:r>
              <w:rPr>
                <w:rFonts w:ascii="Times New Roman" w:cs="Times New Roman" w:eastAsia="Times New Roman" w:hAnsi="Times New Roman"/>
                <w:sz w:val="20"/>
                <w:szCs w:val="20"/>
                <w:color w:val="auto"/>
              </w:rPr>
              <w:t>. . .</w:t>
            </w: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5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w:t>
            </w:r>
          </w:p>
        </w:tc>
        <w:tc>
          <w:tcPr>
            <w:tcW w:w="18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6" w:orient="portrait"/>
          <w:cols w:equalWidth="0" w:num="1">
            <w:col w:w="9366"/>
          </w:cols>
          <w:pgMar w:left="1440" w:top="978" w:right="1440" w:bottom="348"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64</w:t>
      </w:r>
    </w:p>
    <w:p>
      <w:pPr>
        <w:sectPr>
          <w:pgSz w:w="12240" w:h="15846" w:orient="portrait"/>
          <w:cols w:equalWidth="0" w:num="1">
            <w:col w:w="9366"/>
          </w:cols>
          <w:pgMar w:left="1440" w:top="978" w:right="1440" w:bottom="348"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Fuel</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Revenue from RNG Fuel increased by $56.5 million, or 80%, for the year ended December 31, 2022 compared to the year ended December 31, 2021. $18.0 million of this increase was attributable primarily to the impact of full year of Beacon revenues in 2022 versus only eight months in 2021. Additionally, revenues increased by $3.1 million from methanol pathway credits, $9.0 million increase from brown gas sales and $26.4 million increase from sale of environmental credits.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Station Services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Revenue from Fuel Station Services increased by $18.8 million, or 37%, for the year ended December 31, 2022 compared to the year ended December 31, 2021. This was primarily attributable to an increase of $15.5 million from fuel station construction projects which were completed into 2022, coupled with an incremental $1.6 million from increase in volumes at existing and new service sites and $1.7 million from sale of portable fueling stations.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Revenue from Renewable Power decreased by $5.9 million, or 13%, for the year ended December 31, 2022 compared to the year ended December 31, 2021. This change was attributable primarily to a decrease of $5.1 million due to conversion of one of our electricity generation facilities into an RNG facility and a decrease of $0.8 million due to the closure of one of our electricity generation facilities as our gas rights agreement concluded.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Fuel</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Cost of sales from RNG Fuel increased by $37.9 million, or 92%, for the year ended December 31, 2022 compared to the year ended December 31, 2021. This change was attributable primarily to the inclusion of full year of Beacon’s cost of sales upon consolidation in May 2021 resulting in an increase of $9.2 million, a $3.2 million increase in development costs for building new RNG facilities, $10.3 million increase from new RNG facilities such as Sunoma and New River, $14.7 million increase relating to increased dispensing fees from an increased volume of environmental credits generated and $0.7 million write down charges relating to our brown gas inventory to its net realizable value due to decrease in prices. Additionally, there were savings of $1.2 million from deconsolidation of Pine Bend and Noble Road as of December 31, 2021.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Station Services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Cost of sales from Fuel Station Services increased by $18.7 million, or 44%, for the year ended December 31, 2022 compared to the year ended December 31, 2021. This change was attributable primarily to an increase in costs of $17.1 million for third-party construction projects completed in 2022 and an increase of $1.2 million in service from higher volumes dispensed.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Cost of sales from Renewable Power marginally increased by $0.4 million, or 1%, for the year ended December 31, 2022 compared to the year ended December 31,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Selling, general, and administrative expenses increased by a total of $19.2 million, or 65%, for the year ended December 31, 2022 compared to the year ended December 31, 2021. This change was attributable primarily to higher insurance expense of $5.1 million relating to the insurance policies for Arclight’s former directors and the Company’s current management, higher employee headcount and related compensation and benefit expenses of $6.9 million to support our organic growth year-over-year, a $3.7 million increase in professional fees related to audit, tax, legal and consulting fees, a $2.5 million increase in IT-related expenses, $0.8 million stock-based compensation expense and</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65</w:t>
      </w:r>
    </w:p>
    <w:p>
      <w:pPr>
        <w:sectPr>
          <w:pgSz w:w="12240" w:h="15846" w:orient="portrait"/>
          <w:cols w:equalWidth="0" w:num="1">
            <w:col w:w="9366"/>
          </w:cols>
          <w:pgMar w:left="1440" w:top="947" w:right="1440" w:bottom="348" w:gutter="0" w:footer="0" w:header="0"/>
          <w:type w:val="continuous"/>
        </w:sectPr>
      </w:pPr>
    </w:p>
    <w:bookmarkStart w:id="77" w:name="page78"/>
    <w:bookmarkEnd w:id="77"/>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$0.4 million related to corporate governance expenses for a public company. These costs are related to setting up the administrative, compliance, and governance structure required for operating a public company which do not qualify for capitalization.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amortization, and accretion</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Depreciation, amortization, and accretion increased by a total of $2.5 million, or 23%, for the year ended December 31, 2022 compared to the year ended December 31, 2021. This change was primarily due to $2.0 million increase from two new RNG facilities coming online — Sunoma and New River, $0.4 million increase from amortization of right-of-use assets for finance leases from adoption of ASC 842, $0.6 million increase from downstream dispensing sites becoming operational offset by decrease in depreciation for Renewable Power business by $0.3 million.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and financing expense, net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Interest and financing expenses, net decreased by $0.8 million, or 11%, for the year ended December 31, 2022 compared to the year ended December 31, 2021. The decrease is primarily attributable to $2.9 million decrease in the Convertible Note Payable as a result of the favorable $2.9 million in change in fair market value as well as an increase in interest income of $2.0 million from the Note receivable and short term investments and $3.7 million was capitalized as part of Property, plant and equipment. These savings were offset by $1.0 million higher expense on the Senior Secured Credit Facility, $0.2 million higher interest expense on the OPAL Term Loan, $0.9 million increase in amortization of deferred financing costs, $1.8 million increase in Sunoma Loan as interest on Sunoma Loan was capitalized in 2021.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derivatives, net</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Change in fair value of derivatives, net increased by $33.0 million, or 333%, for the year ended December 31, 2022 compared to the year ended December 31, 2021. This change was attributable primarily to gain of $37.1 million on our earnout liabilities, change in fair value of contingent payment to a non-controlling interest of one our VIEs, change in fair value of interest rate swaps and put option, offset by negative change in fair value of warrant liabilities. These liabilities were recorded in the consolidated balance sheet upon completion of the Business Combination.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Other income increased by $1.9 million, or 100%, for the year ended December 31, 2022 compared to the year ended December 31, 2021. This change is primarily related to a gain recognized on redemption of Note receivable.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warrant exchange</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On December 22, 2022, the Company completed the exchange offer of outstanding Public Warrants and Private Warrants and issued 3,309,296 shares of Class A common stock in exchange for the warrants tendered in the Offer. Pursuant to the Warrant Amendment dated December 21, 2022, the Company exercised its right to exchange the remaining outstanding Warrants and issued 497,080 shares of Class A common stock on December 23, 2022. Following the completion of the exchange, the Public Warrants were suspended from trading on the Nasdaq and delisted. There are no longer any Warrants outstanding. The Company recorded $3,368 as loss on exchange of Warrants.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method investments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Net income attributable to equity method investments increased by $3.5 million, or 155%, for the year ended December 31, 2022 compared to the year ended December 31, 2021. This change was attributable primarily to the increase in net income from Pine Bend, Noble Road and GREP that exceeded income from Beacon during comparable period in 2021. Upon the step acquisition of the 56% of controlling interest in Beacon in May 2021, the results of Beacon were consolidated in the financial statements. Pine Bend and Noble Road were deconsolidated as of December 31, 2021.</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66</w:t>
      </w:r>
    </w:p>
    <w:p>
      <w:pPr>
        <w:sectPr>
          <w:pgSz w:w="12240" w:h="15846" w:orient="portrait"/>
          <w:cols w:equalWidth="0" w:num="1">
            <w:col w:w="9366"/>
          </w:cols>
          <w:pgMar w:left="1440" w:top="954" w:right="1440" w:bottom="348"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t>Gain on acquisition of equity method investment</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gain on acquisition of equity method investment decreased by $19.8 million for the year ended December 31, 2022 compared to the year ended December 31, 2021. This change was attributable primarily to the fair value adjustment resulting from our step acquisition of the remaining interest in Beacon in May 2021.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 on deconsolidation of VIEs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gain on deconsolidation of VIEs decreased by $15.0 million, or 100% for the year ended December 31, 2022. This is primarily due to deconsolidation of Pine Bend and Noble Road as of December 31, 2021, which was not a recurring item in 2022.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attributable to redeemable non-controlling interests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for the year ended December 31, 2022 and 2021 is $22.4 million and $41.4 million, respectively. The net income for the year ended December 31, 2022 reflects the net income belonging to OPAL Fuels equity holders prior to Business Combination for the period January 1, 2022 through July 21, 2022 and portion of net income belonging to OPAL Fuels equity holders from July 21, 2022 through December 31, 2022 based on pro-rata ownership.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attributable to non-redeemable non-controlling interests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Net loss attributable to non-redeemable non-controlling interests for the year ended December 31, 2022 increased by $0.3 million or 43%, compared to the year ended December 31, 2021. This reflects the joint venture partners’ loss in those entities we sold a portion of our membership interests in certain RNG facilities which are consolidated in our financial statements. These entities for the year ended December 31, 2022, were Sunoma, Emerald, Sapphire and Central Valley. The entities accounted for as non-redeemable non-controlling interests for the year ended December 31, 2021 were Sunoma and Central Valley.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Paid-in-kind preferred dividends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spacing w:after="0" w:line="16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Redeemable preferred non-controlling interests carry an interest of 8% dividend payable quarterly either in cash or paid-in-kind for the first eight quarters at the option of the Company. The Company recorded the dividend payable of $7.9 million and $0.2 million for the years ended December 31, 2022 and 2021, respectively as paid-in-kind dividends.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2022, our liquidity consisted of cash and cash equivalents including restricted cash of $77.2 million and $65.0 million of short term investments. Additionally, we entered into the OPAL Term Loan II where we have undrawn availability of $105.0 million. We also drew down on the remaining $10.0 million available under OPAL Term Loan I in March 2023.</w:t>
      </w:r>
    </w:p>
    <w:p>
      <w:pPr>
        <w:spacing w:after="0" w:line="169"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If we were to experience any significant further reduction in levels of gas collection, delays in commencement or completion of construction of our projects, adverse regulatory or price changes that affect the value of our environmental credits, or unplanned</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67</w:t>
      </w:r>
    </w:p>
    <w:p>
      <w:pPr>
        <w:sectPr>
          <w:pgSz w:w="12240" w:h="15846" w:orient="portrait"/>
          <w:cols w:equalWidth="0" w:num="1">
            <w:col w:w="9366"/>
          </w:cols>
          <w:pgMar w:left="1440" w:top="947" w:right="1440" w:bottom="348" w:gutter="0" w:footer="0" w:header="0"/>
          <w:type w:val="continuous"/>
        </w:sectPr>
      </w:pPr>
    </w:p>
    <w:bookmarkStart w:id="79" w:name="page80"/>
    <w:bookmarkEnd w:id="79"/>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outages at our production facilities, it would result in lower cash flows from operations which could impact our ability to make investments or require changes to our growth plan. See “Risk Factors” and “Cautionary Statement Regarding Forward-Looking Statements.”</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2022, we had total indebtedness excluding deferred financing costs of $170.4 million which primarily consists of $22.8 million under the Senior Secured Credit Facility, $28.5 million under the Convertible Note Payable, $96.1 million under the OPAL Term Loan, $0.1 million under the Municipality loan and $23.0 million under Sunoma Loan.</w:t>
      </w:r>
    </w:p>
    <w:p>
      <w:pPr>
        <w:spacing w:after="0" w:line="169"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73"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We intend to make payments under our various debt instruments when due and pursue opportunities for earlier repayment and/or refinancing if and when these opportunities arise.</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See Note 8. </w:t>
      </w:r>
      <w:r>
        <w:rPr>
          <w:rFonts w:ascii="Times New Roman" w:cs="Times New Roman" w:eastAsia="Times New Roman" w:hAnsi="Times New Roman"/>
          <w:sz w:val="20"/>
          <w:szCs w:val="20"/>
          <w:i w:val="1"/>
          <w:iCs w:val="1"/>
          <w:color w:val="auto"/>
        </w:rPr>
        <w:t>Borrowings,</w:t>
      </w:r>
      <w:r>
        <w:rPr>
          <w:rFonts w:ascii="Times New Roman" w:cs="Times New Roman" w:eastAsia="Times New Roman" w:hAnsi="Times New Roman"/>
          <w:sz w:val="20"/>
          <w:szCs w:val="20"/>
          <w:color w:val="auto"/>
        </w:rPr>
        <w:t xml:space="preserve"> to our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70"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20"/>
          <w:szCs w:val="20"/>
          <w:color w:val="auto"/>
        </w:rPr>
        <w:t>The following table presents the Company’s cash flows for the years ended December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09"/>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3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4"/>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w w:val="94"/>
              </w:rPr>
              <w:t>2021</w:t>
            </w:r>
          </w:p>
        </w:tc>
        <w:tc>
          <w:tcPr>
            <w:tcW w:w="60" w:type="dxa"/>
            <w:vAlign w:val="bottom"/>
          </w:tcPr>
          <w:p>
            <w:pPr>
              <w:spacing w:after="0"/>
              <w:rPr>
                <w:sz w:val="18"/>
                <w:szCs w:val="18"/>
                <w:color w:val="auto"/>
              </w:rPr>
            </w:pPr>
          </w:p>
        </w:tc>
      </w:tr>
      <w:tr>
        <w:trPr>
          <w:trHeight w:val="38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provided from operating activities . . . . . . . . . . . . . . . . . . . . .</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(1,355)</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18,856</w:t>
            </w:r>
          </w:p>
        </w:tc>
        <w:tc>
          <w:tcPr>
            <w:tcW w:w="60" w:type="dxa"/>
            <w:vAlign w:val="bottom"/>
          </w:tcPr>
          <w:p>
            <w:pPr>
              <w:spacing w:after="0"/>
              <w:rPr>
                <w:sz w:val="24"/>
                <w:szCs w:val="24"/>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used in investing activities . . . . . . . . . . . . . . . . . . . . . . . . . . . . . . . . . . .</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(184,028)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(117,204)</w:t>
            </w:r>
          </w:p>
        </w:tc>
      </w:tr>
      <w:tr>
        <w:trPr>
          <w:trHeight w:val="26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provided from financing activities . . . . . . . . . . . . . . . . . . . . . . . . . . . . .</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220,550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125,014</w:t>
            </w:r>
          </w:p>
        </w:tc>
        <w:tc>
          <w:tcPr>
            <w:tcW w:w="60" w:type="dxa"/>
            <w:vAlign w:val="bottom"/>
          </w:tcPr>
          <w:p>
            <w:pPr>
              <w:spacing w:after="0"/>
              <w:rPr>
                <w:sz w:val="22"/>
                <w:szCs w:val="22"/>
                <w:color w:val="auto"/>
              </w:rPr>
            </w:pP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increase in cash, restricted cash, and cash equivalents . . . . . . . . . . . . . . . . . .</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35,167</w:t>
            </w:r>
          </w:p>
        </w:tc>
        <w:tc>
          <w:tcPr>
            <w:tcW w:w="12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26,666</w:t>
            </w:r>
          </w:p>
        </w:tc>
        <w:tc>
          <w:tcPr>
            <w:tcW w:w="60" w:type="dxa"/>
            <w:vAlign w:val="bottom"/>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Operating Activities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2022 was $1.4 million, a decrease of $20.2 million compared to net cash provided of $18.9 million for the year ended December 31, 2021. The decrease in cash provided by operating activities was primarily attributable to lower margins reducing our operating income year-over-year and higher transaction costs that were not capitalized associated with becoming a public company and negative working capital changes primarily related to accounts receivable.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Investing Activities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Net cash used in investing activities for the year ended December 31, 2022 was $184.0 million, an increase of $66.8 million compared to the $117.2 million used in investing activities for the year ended December 31, 2021. This was primarily driven by cash invested in short term investments of $65.0 million, payments made for the construction of various RNG generation and dispensing facilities of $131.4 million as compared to $89.6 million in the prior year. These amounts were partially offset by proceeds from repayment of Note receivable of $10.9 million and lower distribution from equity method investment of $1.6 million.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Financing Activities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Net cash provided from financing activities for the year ended December 31, 2022 was $220.6 million, an increase of $95.5 million compared to the $125.0 million provided from financing activities for the year ended December 31, 2021. The current year activity is primarily driven by proceeds received from the consummation</w:t>
      </w:r>
    </w:p>
    <w:p>
      <w:pPr>
        <w:sectPr>
          <w:pgSz w:w="12240" w:h="15846" w:orient="portrait"/>
          <w:cols w:equalWidth="0" w:num="1">
            <w:col w:w="9366"/>
          </w:cols>
          <w:pgMar w:left="1440" w:top="954" w:right="1440" w:bottom="348" w:gutter="0" w:footer="0" w:header="0"/>
        </w:sectPr>
      </w:pPr>
    </w:p>
    <w:p>
      <w:pPr>
        <w:spacing w:after="0" w:line="25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68</w:t>
      </w:r>
    </w:p>
    <w:p>
      <w:pPr>
        <w:sectPr>
          <w:pgSz w:w="12240" w:h="15846" w:orient="portrait"/>
          <w:cols w:equalWidth="0" w:num="1">
            <w:col w:w="9366"/>
          </w:cols>
          <w:pgMar w:left="1440" w:top="954" w:right="1440" w:bottom="348" w:gutter="0" w:footer="0" w:header="0"/>
          <w:type w:val="continuous"/>
        </w:sectPr>
      </w:pPr>
    </w:p>
    <w:bookmarkStart w:id="80" w:name="page81"/>
    <w:bookmarkEnd w:id="80"/>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of Business Combination of $138.9 million, issuance of redeemable preferred non-controlling interests for total proceeds of $100.0 million, proceeds from the OPAL Term Loan of $40.0 million, proceeds from the Sunoma Loan of $4.6 million and a capital contribution from a related party of $23.2 million related to a joint venture. This was offset by debt repayments of $58.6 million and $18.9 million on the Senior Secured Credit Facility and the OPAL Term Loan, respectively, and $8.3 million in financing costs.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 and other cash commitments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require cash to fund our capital expenditures, operating expenses,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to fund other activities or pursuits and for other general corporate purposes.</w:t>
      </w:r>
    </w:p>
    <w:p>
      <w:pPr>
        <w:spacing w:after="0" w:line="171"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2022, we have budgeted for $231.0 million in capital expenditures for the next 12 months, of which $184.7 million is committed under existing contracts. These expenditures represent net capital expenditures to be incurred by the Company after expected contributions from our joint venture and non-controlling interest partners. They primarily relate to our development of new RNG facilities and the purchase of equipment used in our Fueling Station services and Renewable Power operations</w:t>
      </w:r>
      <w:r>
        <w:rPr>
          <w:rFonts w:ascii="Times New Roman" w:cs="Times New Roman" w:eastAsia="Times New Roman" w:hAnsi="Times New Roman"/>
          <w:sz w:val="20"/>
          <w:szCs w:val="20"/>
          <w:b w:val="1"/>
          <w:bCs w:val="1"/>
          <w:color w:val="auto"/>
        </w:rPr>
        <w:t>.</w:t>
      </w:r>
    </w:p>
    <w:p>
      <w:pPr>
        <w:spacing w:after="0" w:line="172"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 xml:space="preserve">In addition to the above, we also have lease commitments on our vehicle fleets and office leases and quarterly amortization payment obligations under various debt facilities. Please see Note 8. </w:t>
      </w:r>
      <w:r>
        <w:rPr>
          <w:rFonts w:ascii="Times New Roman" w:cs="Times New Roman" w:eastAsia="Times New Roman" w:hAnsi="Times New Roman"/>
          <w:sz w:val="20"/>
          <w:szCs w:val="20"/>
          <w:i w:val="1"/>
          <w:iCs w:val="1"/>
          <w:color w:val="auto"/>
        </w:rPr>
        <w:t>Borrowings</w:t>
      </w:r>
      <w:r>
        <w:rPr>
          <w:rFonts w:ascii="Times New Roman" w:cs="Times New Roman" w:eastAsia="Times New Roman" w:hAnsi="Times New Roman"/>
          <w:sz w:val="20"/>
          <w:szCs w:val="20"/>
          <w:color w:val="auto"/>
        </w:rPr>
        <w:t xml:space="preserve"> and Note 9.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to our consolidated financial statements for additional information.</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We plan to fund these expenditures primarily through cash on hand, cash generated from operations and availability under existing debt facilities.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Company is not required to provide the information required by this Item as it is a “smaller reporting company.” However, we note that 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55"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10. </w:t>
      </w:r>
      <w:r>
        <w:rPr>
          <w:rFonts w:ascii="Times New Roman" w:cs="Times New Roman" w:eastAsia="Times New Roman" w:hAnsi="Times New Roman"/>
          <w:sz w:val="19"/>
          <w:szCs w:val="19"/>
          <w:i w:val="1"/>
          <w:iCs w:val="1"/>
          <w:color w:val="auto"/>
        </w:rPr>
        <w:t>Derivative Financial Instruments and Fair Value Measurements,</w:t>
      </w:r>
      <w:r>
        <w:rPr>
          <w:rFonts w:ascii="Times New Roman" w:cs="Times New Roman" w:eastAsia="Times New Roman" w:hAnsi="Times New Roman"/>
          <w:sz w:val="19"/>
          <w:szCs w:val="19"/>
          <w:color w:val="auto"/>
        </w:rPr>
        <w:t xml:space="preserve"> to our consolidated financial statements.</w:t>
      </w:r>
    </w:p>
    <w:p>
      <w:pPr>
        <w:spacing w:after="0" w:line="1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information required by this item is contained in the financial statements set forth in Item 15(a) under the caption “Consolidated Financial Statements” as part of this Annual Report on Form 10-K.</w:t>
      </w:r>
    </w:p>
    <w:p>
      <w:pPr>
        <w:spacing w:after="0" w:line="253" w:lineRule="exact"/>
        <w:rPr>
          <w:sz w:val="20"/>
          <w:szCs w:val="20"/>
          <w:color w:val="auto"/>
        </w:rPr>
      </w:pPr>
    </w:p>
    <w:p>
      <w:pPr>
        <w:jc w:val="both"/>
        <w:ind w:left="960" w:right="2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9.</w:t>
        <w:tab/>
        <w:t>CHANGES IN AND DISAGREEMENTS WITH ACCOUNTANTS ON ACCOUNTING AND FINANCIAL DISCLOSURE</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77" w:lineRule="exact"/>
        <w:rPr>
          <w:sz w:val="20"/>
          <w:szCs w:val="20"/>
          <w:color w:val="auto"/>
        </w:rPr>
      </w:pPr>
    </w:p>
    <w:p>
      <w:pPr>
        <w:jc w:val="both"/>
        <w:ind w:right="20" w:firstLine="480"/>
        <w:spacing w:after="0" w:line="266" w:lineRule="auto"/>
        <w:rPr>
          <w:sz w:val="20"/>
          <w:szCs w:val="20"/>
          <w:color w:val="auto"/>
        </w:rPr>
      </w:pPr>
      <w:r>
        <w:rPr>
          <w:rFonts w:ascii="Times New Roman" w:cs="Times New Roman" w:eastAsia="Times New Roman" w:hAnsi="Times New Roman"/>
          <w:sz w:val="19"/>
          <w:szCs w:val="19"/>
          <w:color w:val="auto"/>
        </w:rPr>
        <w:t>Our management, with the participation of our Co-Chief Executive Officers and our Chief Financial Officer (our co- principal executive officers and principal financial officer, respectively), evaluated, as of the end of the period covered by this Annual Report on Form 10-K, the effectiveness of our disclosure controls and procedures as defined</w:t>
      </w:r>
    </w:p>
    <w:p>
      <w:pPr>
        <w:sectPr>
          <w:pgSz w:w="12240" w:h="15846" w:orient="portrait"/>
          <w:cols w:equalWidth="0" w:num="1">
            <w:col w:w="9380"/>
          </w:cols>
          <w:pgMar w:left="1440" w:top="954" w:right="1426" w:bottom="348" w:gutter="0" w:footer="0" w:header="0"/>
        </w:sect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6" w:orient="portrait"/>
          <w:cols w:equalWidth="0" w:num="1">
            <w:col w:w="9380"/>
          </w:cols>
          <w:pgMar w:left="1440" w:top="954" w:right="1426" w:bottom="348" w:gutter="0" w:footer="0" w:header="0"/>
          <w:type w:val="continuous"/>
        </w:sectPr>
      </w:pPr>
    </w:p>
    <w:bookmarkStart w:id="81" w:name="page82"/>
    <w:bookmarkEnd w:id="81"/>
    <w:p>
      <w:pPr>
        <w:jc w:val="both"/>
        <w:ind w:right="6"/>
        <w:spacing w:after="0" w:line="264" w:lineRule="auto"/>
        <w:rPr>
          <w:sz w:val="20"/>
          <w:szCs w:val="20"/>
          <w:color w:val="auto"/>
        </w:rPr>
      </w:pPr>
      <w:r>
        <w:rPr>
          <w:rFonts w:ascii="Times New Roman" w:cs="Times New Roman" w:eastAsia="Times New Roman" w:hAnsi="Times New Roman"/>
          <w:sz w:val="19"/>
          <w:szCs w:val="19"/>
          <w:color w:val="auto"/>
        </w:rPr>
        <w:t>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6"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Based on that evaluation of our disclosure controls and procedures as of December 31, 2022, our Co-Chief Executive Officers and Chief Financial Officer concluded that, as of such date, our disclosure controls and procedures were ineffective for the period covered by this report based on the material weakness in our internal control over financial reporting described below.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Annual Report on Internal Control over Financial Reporting</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as such term is defined in Exchange Act Rules 13a-15(f) and 15d-15(f). Under the supervision and with the participation of our co-chief executive officers and chief financial officer, we conducted an evaluation of the effectiveness of our internal control over financial reporting. Management has adopted the framework in Internal Control-Integrated Framework (2013) issued by the Committee of Sponsoring Organizations of the Treadway Commission. Based on the results of our evaluation, our management including our co-chief executive officers and chief financial officer concluded that our internal control over financial reporting was ineffective as of December 31, 2022.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Material Weakness in Internal Control Over Financial Reporting</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In connection with the preparation and audit of our consolidated financial statements for each of the years ended December 31, 2022 and 2021,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material weaknesses identified as of December 31, 2022 were as follows:</w:t>
      </w:r>
    </w:p>
    <w:p>
      <w:pPr>
        <w:spacing w:after="0" w:line="177" w:lineRule="exact"/>
        <w:rPr>
          <w:sz w:val="20"/>
          <w:szCs w:val="20"/>
          <w:color w:val="auto"/>
        </w:rPr>
      </w:pPr>
    </w:p>
    <w:p>
      <w:pPr>
        <w:ind w:left="960" w:right="6" w:hanging="480"/>
        <w:spacing w:after="0" w:line="243"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lack of an adequate control environment, including internal communications, to allow for timeliness of reviews for the accounting and disclosures of significant transactions and contracts;</w:t>
      </w:r>
    </w:p>
    <w:p>
      <w:pPr>
        <w:spacing w:after="0" w:line="17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have timely and effective reviews over standard account reconciliations and related accounting analysis which resulted in various audit adjustments that we corrected; and</w:t>
      </w:r>
    </w:p>
    <w:p>
      <w:pPr>
        <w:spacing w:after="0" w:line="174"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controls over application of ASC-606 were not designed and implemented appropriately during the current year.</w:t>
      </w:r>
    </w:p>
    <w:p>
      <w:pPr>
        <w:spacing w:after="0" w:line="174"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We performed additional analysis and procedures with respect to accounts impacted by the material weakness in order to conclude that our consolidated financial statements in this report for the years ended December 31, 2022 and 2021, are fairly presented, in all material respects, in accordance with GAAP.</w:t>
      </w:r>
    </w:p>
    <w:p>
      <w:pPr>
        <w:spacing w:after="0" w:line="173"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Under “Changes in Internal Control over Financial Reporting” below, we describe our remediation plan to address the identified material weaknesses.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70</w:t>
      </w:r>
    </w:p>
    <w:p>
      <w:pPr>
        <w:sectPr>
          <w:pgSz w:w="12240" w:h="15846" w:orient="portrait"/>
          <w:cols w:equalWidth="0" w:num="1">
            <w:col w:w="9366"/>
          </w:cols>
          <w:pgMar w:left="1440" w:top="954" w:right="1440" w:bottom="348"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design and implementation of internal controls over financial reporting subsequent to our Business Combination has required and will continue to require significant time and resources from management and other personnel. The changes to our internal control over financial reporting commenced during the period covered by this report will materially affect, or are reasonably likely to materially affect, our internal control over financial reporting by establishing new controls and procedures appropriate to the operating company we have become as a result of the Business Combination. We continue to implement controls within our internal control environment to not only remediate the material weaknesses but also improve our financial reporting process.</w:t>
      </w:r>
    </w:p>
    <w:p>
      <w:pPr>
        <w:spacing w:after="0" w:line="170"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As outlined below, we are in the process of taking steps to remediate the material weaknesses. We made no other changes in internal control over financial reporting during the fourth quarter of 2022 that materially affected, or are reasonably likely to materially affect, our internal control over financial reporting.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Remediation Plans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We have developed and begun executing on a plan to remediate these material weaknesses. During 2022, we have remediated one material weakness from prior year. We hired additional accounting and financial reporting personnel with appropriate technical accounting knowledge and public company experience in financial reporting; we continue to implement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Additionally, we strengthened our controls around segregation of duties, access controls in our financial reporting system and disabled the functionality for the same employee to prepare and post journal entries. We have implemented controls to ensure that account reconciliations are reviewed by an independent person who has technical knowledge and financial reporting competence.</w:t>
      </w:r>
    </w:p>
    <w:p>
      <w:pPr>
        <w:spacing w:after="0" w:line="15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Incentive Plan</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March 23, 2023, the Board adopted the Company’s Short-Term Incentive Plan (the “STIP”), the purposes of which are to (i) recognize outstanding performers who have contributed significantly to the Company’s success and to the success of such performers’ respective business units; (ii) align corporate goals and strategy to executive compensation strategy; and (iii) provide a compensation environment that will attract, retain and motivate key employees of the Company and its subsidiaries and affiliates.</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STIP shall be managed and administered by the Compensation Committee; provided, that the Compensation Committee may delegate to one or more of its members or to one or more executive officers of the Company, the authority to take any action or exercise any discretion under the STIP with respect to any employee or participant other than the Company’s chief executive officer or any Section 162(m) Covered Employee (as defined in 26 U.S.C. §162(m)(3)). In administering the STIP, the Compensation Committee shall have the authority (i) to interpret and construe the STIP, and to determine all questions that may arise as to eligibility for participation in the STIP; (ii) to adopt rules and regulations for the operation and administration of the STIP; and (iii) to take any other action not inconsistent with the provisions of the STIP that it may deem necessary or appropriate.</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71</w:t>
      </w:r>
    </w:p>
    <w:p>
      <w:pPr>
        <w:sectPr>
          <w:pgSz w:w="12240" w:h="15846" w:orient="portrait"/>
          <w:cols w:equalWidth="0" w:num="1">
            <w:col w:w="9366"/>
          </w:cols>
          <w:pgMar w:left="1440" w:top="947" w:right="1440" w:bottom="348" w:gutter="0" w:footer="0" w:header="0"/>
          <w:type w:val="continuous"/>
        </w:sectPr>
      </w:pPr>
    </w:p>
    <w:bookmarkStart w:id="83" w:name="page84"/>
    <w:bookmarkEnd w:id="83"/>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Beginning in calendar year 2023, for each calendar year (a “Plan Year”), the Compensation Committee will select those employees of the Company (and its subsidiaries and affiliates) that are eligible for participation in the STIP (if any). Unless otherwise specified in an award agreement, a participant must be employed in good standing on the payment date of the applicable award for any Plan Year in order to be eligible to receive payment with respect to such award for such Plan Year. Notwithstanding the foregoing, if a participant terminates employment in connection with and/or within 24 months following the effective date of a Change in Control (as defined in the STIP), such participant shall be eligible to receive a prorated award for the Plan Year in which such Change in Control occurs, and for the full amount of such award if such termination occurs after such Plan Year, but before payment otherwise is due with respect thereto; provided that such termination was not a Discharge for Cause or a voluntary resignation without Good Reason (as such terms are defined in the STIP). If a participant’s termination occurs following the occurrence of a Change in Control, in no event shall the amount of such award prior to proration be less than the amount paid to such participant under the STIP for the preceding Plan Year.</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STIP awards are based on a target award opportunity equal to either (i) a percentage of the participant’s base salary for the applicable Plan Year; or (ii) a specific dollar amount, in each case, which may be earned upon the achievement of certain prescribed performance objectives (the “Corporate Performance Objectives”). Such Corporate Performance Objectives shall be established by the Compensation Committee for the applicable Plan Year during the first ninety (90) days of such Plan Year. The Compensation Committee shall assign a percentage weight to each Corporate Performance Objective, and the aggregate weight assigned to all Corporate Performance Objectives for each Plan Year shall equal one hundred percent (100%); provided, however, that the Compensation Committee may assign different weightings to the Corporate Performance Objectives for each participant or for classes of participants.</w:t>
      </w:r>
    </w:p>
    <w:p>
      <w:pPr>
        <w:spacing w:after="0" w:line="15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While Corporate Performance Objectives shall not be subject to revision or alteration under normal business conditions, under unusual conditions (including, without limitation a Change in Control (as defined in the STIP), the declaration and distribution of stock dividends or stock splits, mergers, consolidation or reorganizations, acquisitions or dispositions of material business units, pandemics or other unforeseeable acts of God, or infrequently occurring or extraordinary gains or losses), the Compensation Committee may reestablish the Corporate Performance Objectives to maintain as closely as possible the previously-established expected level of performance of the participants.</w:t>
      </w:r>
    </w:p>
    <w:p>
      <w:pPr>
        <w:spacing w:after="0" w:line="168"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No later than sixty (60) days following the end of each Plan Year, the Compensation Committee will certify the Company’s performance relative to the Company Performance Objectives for such Plan Year. Each participant’s award shall be determined by multiplying either (i) the participant’s target percentage of base salary for the Plan Year; or (ii) the specific dollar amount established as the participant’s target award by the percentage or ordinal “score” determined by applying the matrix, formula or methodology established by the Compensation Committee, as described above, as adjusted, if applicable to take into account such subjective and objective factors as the Compensation Committee deems appropriate, including, but not limited to, the extent to which the participant’s individual performance met expectations. Individual awards under the STIP shall be paid no later than March 31 of the year immediately following the Plan Year. Unless the Compensation Committee otherwise determines, awards shall be payable in cash.</w:t>
      </w:r>
    </w:p>
    <w:p>
      <w:pPr>
        <w:spacing w:after="0" w:line="15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For all other terminations, unless otherwise provided in the specific terms of an award agreement, or in the provisions of a written employment agreement and/or change in control/retention agreement, the Compensation Committee shall have the authority to determine whether a participant who ceases employment prior to the end of a Plan Year shall be eligible to receive a prorated award for such Plan Year.</w:t>
      </w:r>
    </w:p>
    <w:p>
      <w:pPr>
        <w:spacing w:after="0" w:line="169" w:lineRule="exact"/>
        <w:rPr>
          <w:sz w:val="20"/>
          <w:szCs w:val="20"/>
          <w:color w:val="auto"/>
        </w:rPr>
      </w:pPr>
    </w:p>
    <w:p>
      <w:pPr>
        <w:jc w:val="both"/>
        <w:ind w:right="6" w:firstLine="480"/>
        <w:spacing w:after="0" w:line="239" w:lineRule="auto"/>
        <w:rPr>
          <w:sz w:val="20"/>
          <w:szCs w:val="20"/>
          <w:color w:val="auto"/>
        </w:rPr>
      </w:pPr>
      <w:r>
        <w:rPr>
          <w:rFonts w:ascii="Times New Roman" w:cs="Times New Roman" w:eastAsia="Times New Roman" w:hAnsi="Times New Roman"/>
          <w:sz w:val="20"/>
          <w:szCs w:val="20"/>
          <w:color w:val="auto"/>
        </w:rPr>
        <w:t>Prorated awards for any Plan Year shall be calculated by dividing the applicable annual award by twelve and multiplying the result by the number of months of the participant’s service during the Plan Year, rounded up to the next highest whole month if the Participant continued to provide services on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in the case of February) day of the month of termination. Payment with respect to any such prorated award shall be made at the same time as other awards for such Plan Year are paid.</w:t>
      </w:r>
    </w:p>
    <w:p>
      <w:pPr>
        <w:spacing w:after="0" w:line="181"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Board may amend, revise, suspend or terminate the STIP, in whole or in part, at any time; provided that such amendment, revision, suspension or termination may not have a materially negative effect on any awards with respect to the then-current Plan Year or any prior Plan Year.</w:t>
      </w:r>
    </w:p>
    <w:p>
      <w:pPr>
        <w:spacing w:after="0" w:line="173"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The STIP is intended to be exempt from the regulatory requirements of ERISA. The STIP is governed by the laws of the State of Delaware. Notwithstanding any provisions of the STIP, any award received by a participant pursuant to the STIP (or any other compensation received by such participant) which is subject to recovery under any applicable law, government regulation or stock exchange listing requirement (or any policy adopted by the Company</w:t>
      </w:r>
    </w:p>
    <w:p>
      <w:pPr>
        <w:sectPr>
          <w:pgSz w:w="12240" w:h="15846" w:orient="portrait"/>
          <w:cols w:equalWidth="0" w:num="1">
            <w:col w:w="9366"/>
          </w:cols>
          <w:pgMar w:left="1440" w:top="954" w:right="1440" w:bottom="348" w:gutter="0" w:footer="0" w:header="0"/>
        </w:sectPr>
      </w:pPr>
    </w:p>
    <w:p>
      <w:pPr>
        <w:spacing w:after="0" w:line="3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72</w:t>
      </w:r>
    </w:p>
    <w:p>
      <w:pPr>
        <w:sectPr>
          <w:pgSz w:w="12240" w:h="15846" w:orient="portrait"/>
          <w:cols w:equalWidth="0" w:num="1">
            <w:col w:w="9366"/>
          </w:cols>
          <w:pgMar w:left="1440" w:top="954" w:right="1440" w:bottom="348" w:gutter="0" w:footer="0" w:header="0"/>
          <w:type w:val="continuous"/>
        </w:sectPr>
      </w:pPr>
    </w:p>
    <w:bookmarkStart w:id="84" w:name="page85"/>
    <w:bookmarkEnd w:id="84"/>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pursuant to any such authority), shall be subject to such deductions and clawback as may be required to be made pursuant to such authority or any policy adopted by the Company pursuant to such authority on or following the effective date of the STIP.</w:t>
      </w:r>
    </w:p>
    <w:p>
      <w:pPr>
        <w:spacing w:after="0" w:line="173"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foregoing does not purport to be a complete description of the STIP and is qualified in its entirety by the form of the STIP filed herewith as Exhibit 4.4 and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Form of Stock Option Award Agreement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March 8, 2023, the Compensation Committee approved the Company’s form of stock option award agreement (the “Stock Option Award Agreement”). The Stock Option Award Agreement governs the issuance of stock options (the “Stock Options”) to members of the Board and certain eligible employees and officers of the Company pursuant to the 2022 Plan.</w:t>
      </w:r>
    </w:p>
    <w:p>
      <w:pPr>
        <w:spacing w:after="0" w:line="169"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foregoing does not purport to be a complete description of the Stock Option Award Agreement and is qualified in its entirety by the form of Stock Option Award Agreement filed herewith as Exhibit 4.5 and incorporated herein by reference.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Form of Performance-Based Restricted Stock Unit Agreement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March 8, 2023, the Compensation Committee approved the Company’s form of performance-based restricted stock unit agreement (the “Performance Restricted Stock Unit Agreement”). The Performance Restricted Stock Unit governs the issuance of performance-based restricted stock units (the “PRSUs”) to members of the Board and certain eligible employees and officers of the Company pursuant to the 2022 Plan.</w:t>
      </w:r>
    </w:p>
    <w:p>
      <w:pPr>
        <w:spacing w:after="0" w:line="169"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foregoing does not purport to be a complete description of the Performance Restricted Stock Unit Agreement and is qualified in its entirety by the form of the Performance Restricted Stock Unit Agreement filed herewith as Exhibit 4.6 and incorporated herein by reference.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73</w:t>
      </w:r>
    </w:p>
    <w:p>
      <w:pPr>
        <w:sectPr>
          <w:pgSz w:w="12240" w:h="15846" w:orient="portrait"/>
          <w:cols w:equalWidth="0" w:num="1">
            <w:col w:w="9366"/>
          </w:cols>
          <w:pgMar w:left="1440" w:top="954" w:right="1440" w:bottom="348" w:gutter="0" w:footer="0" w:header="0"/>
          <w:type w:val="continuous"/>
        </w:sectPr>
      </w:pPr>
    </w:p>
    <w:bookmarkStart w:id="85" w:name="page86"/>
    <w:bookmarkEnd w:id="85"/>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of the Registrant</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Our business and affairs are managed by or under the direction of our board, which is comprised of seven directors.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directors of our board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2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Position with OPAL</w:t>
            </w:r>
          </w:p>
        </w:tc>
        <w:tc>
          <w:tcPr>
            <w:tcW w:w="180" w:type="dxa"/>
            <w:vAlign w:val="bottom"/>
          </w:tcPr>
          <w:p>
            <w:pPr>
              <w:spacing w:after="0"/>
              <w:rPr>
                <w:sz w:val="18"/>
                <w:szCs w:val="18"/>
                <w:color w:val="auto"/>
              </w:rPr>
            </w:pPr>
          </w:p>
        </w:tc>
        <w:tc>
          <w:tcPr>
            <w:tcW w:w="29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Age</w:t>
            </w:r>
          </w:p>
        </w:tc>
      </w:tr>
      <w:tr>
        <w:trPr>
          <w:trHeight w:val="247"/>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Mark Comora</w:t>
            </w: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Chairman</w:t>
            </w:r>
          </w:p>
        </w:tc>
        <w:tc>
          <w:tcPr>
            <w:tcW w:w="3120" w:type="dxa"/>
            <w:vAlign w:val="bottom"/>
            <w:gridSpan w:val="2"/>
          </w:tcPr>
          <w:p>
            <w:pPr>
              <w:jc w:val="right"/>
              <w:ind w:right="1250"/>
              <w:spacing w:after="0"/>
              <w:rPr>
                <w:sz w:val="20"/>
                <w:szCs w:val="20"/>
                <w:color w:val="auto"/>
              </w:rPr>
            </w:pPr>
            <w:r>
              <w:rPr>
                <w:rFonts w:ascii="Times New Roman" w:cs="Times New Roman" w:eastAsia="Times New Roman" w:hAnsi="Times New Roman"/>
                <w:sz w:val="20"/>
                <w:szCs w:val="20"/>
                <w:color w:val="auto"/>
              </w:rPr>
              <w:t>81</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Nadeem Nisar</w:t>
            </w: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3120" w:type="dxa"/>
            <w:vAlign w:val="bottom"/>
            <w:gridSpan w:val="2"/>
          </w:tcPr>
          <w:p>
            <w:pPr>
              <w:jc w:val="right"/>
              <w:ind w:right="1250"/>
              <w:spacing w:after="0"/>
              <w:rPr>
                <w:sz w:val="20"/>
                <w:szCs w:val="20"/>
                <w:color w:val="auto"/>
              </w:rPr>
            </w:pPr>
            <w:r>
              <w:rPr>
                <w:rFonts w:ascii="Times New Roman" w:cs="Times New Roman" w:eastAsia="Times New Roman" w:hAnsi="Times New Roman"/>
                <w:sz w:val="20"/>
                <w:szCs w:val="20"/>
                <w:color w:val="auto"/>
              </w:rPr>
              <w:t>50</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Marco F. Gatti</w:t>
            </w: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3120" w:type="dxa"/>
            <w:vAlign w:val="bottom"/>
            <w:gridSpan w:val="2"/>
          </w:tcPr>
          <w:p>
            <w:pPr>
              <w:jc w:val="right"/>
              <w:ind w:right="1250"/>
              <w:spacing w:after="0"/>
              <w:rPr>
                <w:sz w:val="20"/>
                <w:szCs w:val="20"/>
                <w:color w:val="auto"/>
              </w:rPr>
            </w:pPr>
            <w:r>
              <w:rPr>
                <w:rFonts w:ascii="Times New Roman" w:cs="Times New Roman" w:eastAsia="Times New Roman" w:hAnsi="Times New Roman"/>
                <w:sz w:val="20"/>
                <w:szCs w:val="20"/>
                <w:color w:val="auto"/>
              </w:rPr>
              <w:t>39</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Kevin M. Fogarty</w:t>
            </w:r>
          </w:p>
        </w:tc>
        <w:tc>
          <w:tcPr>
            <w:tcW w:w="18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3120" w:type="dxa"/>
            <w:vAlign w:val="bottom"/>
            <w:gridSpan w:val="2"/>
          </w:tcPr>
          <w:p>
            <w:pPr>
              <w:jc w:val="right"/>
              <w:ind w:right="1250"/>
              <w:spacing w:after="0"/>
              <w:rPr>
                <w:sz w:val="20"/>
                <w:szCs w:val="20"/>
                <w:color w:val="auto"/>
              </w:rPr>
            </w:pPr>
            <w:r>
              <w:rPr>
                <w:rFonts w:ascii="Times New Roman" w:cs="Times New Roman" w:eastAsia="Times New Roman" w:hAnsi="Times New Roman"/>
                <w:sz w:val="20"/>
                <w:szCs w:val="20"/>
                <w:color w:val="auto"/>
              </w:rPr>
              <w:t>57</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Betsy L. Battle</w:t>
            </w: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3120" w:type="dxa"/>
            <w:vAlign w:val="bottom"/>
            <w:gridSpan w:val="2"/>
          </w:tcPr>
          <w:p>
            <w:pPr>
              <w:jc w:val="right"/>
              <w:ind w:right="1250"/>
              <w:spacing w:after="0"/>
              <w:rPr>
                <w:sz w:val="20"/>
                <w:szCs w:val="20"/>
                <w:color w:val="auto"/>
              </w:rPr>
            </w:pPr>
            <w:r>
              <w:rPr>
                <w:rFonts w:ascii="Times New Roman" w:cs="Times New Roman" w:eastAsia="Times New Roman" w:hAnsi="Times New Roman"/>
                <w:sz w:val="20"/>
                <w:szCs w:val="20"/>
                <w:color w:val="auto"/>
              </w:rPr>
              <w:t>68</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Scott Dols</w:t>
            </w: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3120" w:type="dxa"/>
            <w:vAlign w:val="bottom"/>
            <w:gridSpan w:val="2"/>
          </w:tcPr>
          <w:p>
            <w:pPr>
              <w:jc w:val="right"/>
              <w:ind w:right="1250"/>
              <w:spacing w:after="0"/>
              <w:rPr>
                <w:sz w:val="20"/>
                <w:szCs w:val="20"/>
                <w:color w:val="auto"/>
              </w:rPr>
            </w:pPr>
            <w:r>
              <w:rPr>
                <w:rFonts w:ascii="Times New Roman" w:cs="Times New Roman" w:eastAsia="Times New Roman" w:hAnsi="Times New Roman"/>
                <w:sz w:val="20"/>
                <w:szCs w:val="20"/>
                <w:color w:val="auto"/>
              </w:rPr>
              <w:t>58</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Ashok Vemuri</w:t>
            </w: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3120" w:type="dxa"/>
            <w:vAlign w:val="bottom"/>
            <w:gridSpan w:val="2"/>
          </w:tcPr>
          <w:p>
            <w:pPr>
              <w:jc w:val="right"/>
              <w:ind w:right="1250"/>
              <w:spacing w:after="0"/>
              <w:rPr>
                <w:sz w:val="20"/>
                <w:szCs w:val="20"/>
                <w:color w:val="auto"/>
              </w:rPr>
            </w:pPr>
            <w:r>
              <w:rPr>
                <w:rFonts w:ascii="Times New Roman" w:cs="Times New Roman" w:eastAsia="Times New Roman" w:hAnsi="Times New Roman"/>
                <w:sz w:val="20"/>
                <w:szCs w:val="20"/>
                <w:color w:val="auto"/>
              </w:rPr>
              <w:t>54</w:t>
            </w:r>
          </w:p>
        </w:tc>
      </w:tr>
    </w:tbl>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is a brief biography of each director of our board.</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 S. Comora </w:t>
      </w:r>
      <w:r>
        <w:rPr>
          <w:rFonts w:ascii="Times New Roman" w:cs="Times New Roman" w:eastAsia="Times New Roman" w:hAnsi="Times New Roman"/>
          <w:sz w:val="20"/>
          <w:szCs w:val="20"/>
          <w:color w:val="auto"/>
        </w:rPr>
        <w:t>has served as a director of the Company since December 2020. Mr. Comora is the Founder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President of Fortistar. Since founding Fortistar in 1993, Mr. Comora has led Fortistar’s growth in the decarbonization of power generation, transportation fuels, and industrial processes. Mr. Comora is the chairman of Fortistar’s management and investment committees. Additionally, Mr. Comora currently serves as a member of the Board of Managers at Braven Environmental, LLC (“</w:t>
      </w:r>
      <w:r>
        <w:rPr>
          <w:rFonts w:ascii="Times New Roman" w:cs="Times New Roman" w:eastAsia="Times New Roman" w:hAnsi="Times New Roman"/>
          <w:sz w:val="20"/>
          <w:szCs w:val="20"/>
          <w:b w:val="1"/>
          <w:bCs w:val="1"/>
          <w:i w:val="1"/>
          <w:iCs w:val="1"/>
          <w:color w:val="auto"/>
        </w:rPr>
        <w:t>Braven Environmental</w:t>
      </w:r>
      <w:r>
        <w:rPr>
          <w:rFonts w:ascii="Times New Roman" w:cs="Times New Roman" w:eastAsia="Times New Roman" w:hAnsi="Times New Roman"/>
          <w:sz w:val="20"/>
          <w:szCs w:val="20"/>
          <w:color w:val="auto"/>
        </w:rPr>
        <w:t>”). Mr. Comora is an Officer and Member of the Board of the American Museum of Fly Fishing, the former Chairman of the Board of Directors of Fortistar Sustainable Solutions Corp.,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 our Co-Chief Executive Officer.</w:t>
      </w:r>
    </w:p>
    <w:p>
      <w:pPr>
        <w:spacing w:after="0" w:line="174"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Nadeem Nisar </w:t>
      </w:r>
      <w:r>
        <w:rPr>
          <w:rFonts w:ascii="Times New Roman" w:cs="Times New Roman" w:eastAsia="Times New Roman" w:hAnsi="Times New Roman"/>
          <w:sz w:val="19"/>
          <w:szCs w:val="19"/>
          <w:color w:val="auto"/>
        </w:rPr>
        <w:t>has served as a director the Company since December 2020. Mr. Nisar has also served as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Managing Director of Fortistar since July 2008, where he serves as Head of Fortistar’s Investment Team. Mr. Nisar is a member of Fortistar’s management and investment committees which oversee the operations of Fortistar’s portfolio companies. Mr. Nisar serves on the board of directors of several of Fortistar’s portfolio companies, including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156"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Marco F. Gatti </w:t>
      </w:r>
      <w:r>
        <w:rPr>
          <w:rFonts w:ascii="Times New Roman" w:cs="Times New Roman" w:eastAsia="Times New Roman" w:hAnsi="Times New Roman"/>
          <w:sz w:val="20"/>
          <w:szCs w:val="20"/>
          <w:color w:val="auto"/>
        </w:rPr>
        <w:t>has served as a director of the Company since July 2022. currently serves as a Managing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 of ArcLight Capital. Mr. Gatti joined ArcLight Capital in 2018 and has 11 years of energy and private equity 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74</w:t>
      </w:r>
    </w:p>
    <w:p>
      <w:pPr>
        <w:sectPr>
          <w:pgSz w:w="12240" w:h="15846" w:orient="portrait"/>
          <w:cols w:equalWidth="0" w:num="1">
            <w:col w:w="9366"/>
          </w:cols>
          <w:pgMar w:left="1440" w:top="947" w:right="1440" w:bottom="348" w:gutter="0" w:footer="0" w:header="0"/>
          <w:type w:val="continuous"/>
        </w:sectPr>
      </w:pPr>
    </w:p>
    <w:bookmarkStart w:id="86" w:name="page87"/>
    <w:bookmarkEnd w:id="86"/>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Kevin M. Fogarty </w:t>
      </w:r>
      <w:r>
        <w:rPr>
          <w:rFonts w:ascii="Times New Roman" w:cs="Times New Roman" w:eastAsia="Times New Roman" w:hAnsi="Times New Roman"/>
          <w:sz w:val="20"/>
          <w:szCs w:val="20"/>
          <w:color w:val="auto"/>
        </w:rPr>
        <w:t>has served as a director of the Company since July 2022. Mr. Fogarty retired from Kraton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Corporation, Inc. (“Kraton”), where since 2008 he served as President, Chief Executive Officer and Director,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joined the Board of Directors at Ecovyst Inc. (NYSE:ECVT), a leading integrated global provider of specialty catalysts and services, in April 2022, currently serving as non-executive Chairperson of the Board, and Chairperson of the Nominating and Corporate Governance Committee. Since 2012, Mr. Fogarty has served on the Board of Directors of Glatfelter Corporation (NYSE:GLT), a leading global supplier of sustainable, cellulosic-based engineered materials, currently serving as non-executive Chairperson of the Board and previously having served as lead independent director from 2018 through 2021. Mr. Fogarty previously served on the Board of Directors of the American Chemistry Council from 2017 through 2022. Mr. Fogarty graduated from Dalhousie University, in Halifax, Nova Scotia with a Bachelor of Engineering in 1990.</w:t>
      </w:r>
    </w:p>
    <w:p>
      <w:pPr>
        <w:spacing w:after="0" w:line="180"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Betsy L. Battle </w:t>
      </w:r>
      <w:r>
        <w:rPr>
          <w:rFonts w:ascii="Times New Roman" w:cs="Times New Roman" w:eastAsia="Times New Roman" w:hAnsi="Times New Roman"/>
          <w:sz w:val="19"/>
          <w:szCs w:val="19"/>
          <w:color w:val="auto"/>
        </w:rPr>
        <w:t>has served as a director of the Company since July 2022. Ms. Battle has served since 2009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Founding Partner and Chief Investment Officer of Lone Peak Partners Management, LP, an investment firm registered with the SEC and NFA. Ms. Battle also serves as a director and member of the audit committee of Williams Rowland Acquisition Corp.Prior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spacing w:after="0" w:line="156"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Scott Dols </w:t>
      </w:r>
      <w:r>
        <w:rPr>
          <w:rFonts w:ascii="Times New Roman" w:cs="Times New Roman" w:eastAsia="Times New Roman" w:hAnsi="Times New Roman"/>
          <w:sz w:val="19"/>
          <w:szCs w:val="19"/>
          <w:color w:val="auto"/>
        </w:rPr>
        <w:t>has served as a director of the Company since July 2022</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Mr. Dols is the CEO of several waste-related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companies. Mr. Dols is the Founder and, since 2002, has 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Ashok Vemuri </w:t>
      </w:r>
      <w:r>
        <w:rPr>
          <w:rFonts w:ascii="Times New Roman" w:cs="Times New Roman" w:eastAsia="Times New Roman" w:hAnsi="Times New Roman"/>
          <w:sz w:val="20"/>
          <w:szCs w:val="20"/>
          <w:color w:val="auto"/>
        </w:rPr>
        <w:t>has served as a director of the Company since July 2022. Mr. Vemuri also serves on the board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directors of Version 1, and served as the Chairman of the board of directors of OSG Billing from July 2020 to September 2022. He also serves on the board of directors of Version 1, and served as the Chairman of the board of directors of OSG Billing from July 2020 to September 2022. He also served as Chief Executive Officer and a Director of Conduent Incorporated, a global digital interactions company, from the company’s 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75</w:t>
      </w:r>
    </w:p>
    <w:p>
      <w:pPr>
        <w:sectPr>
          <w:pgSz w:w="12240" w:h="15846" w:orient="portrait"/>
          <w:cols w:equalWidth="0" w:num="1">
            <w:col w:w="9366"/>
          </w:cols>
          <w:pgMar w:left="1440" w:top="954" w:right="1440" w:bottom="348"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Meetings of the Board of Directors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Board of Directors held six meetings in 2022. Each Director attended at least 75% of the aggregate meetings of the Board of Directors, and meetings held by all committees on which such Director served, during the period for which such Director served. The Board of Directors met in executive session four times during 2022. Directors are invited and expected to attend the Company’s Annual Meeting of Shareholders.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Controlled Company Exemption</w:t>
      </w:r>
    </w:p>
    <w:p>
      <w:pPr>
        <w:spacing w:after="0" w:line="177" w:lineRule="exact"/>
        <w:rPr>
          <w:sz w:val="20"/>
          <w:szCs w:val="20"/>
          <w:color w:val="auto"/>
        </w:rPr>
      </w:pPr>
    </w:p>
    <w:p>
      <w:pPr>
        <w:jc w:val="both"/>
        <w:ind w:right="6" w:firstLine="480"/>
        <w:spacing w:after="0" w:line="263" w:lineRule="auto"/>
        <w:rPr>
          <w:sz w:val="20"/>
          <w:szCs w:val="20"/>
          <w:color w:val="auto"/>
        </w:rPr>
      </w:pPr>
      <w:r>
        <w:rPr>
          <w:rFonts w:ascii="Times New Roman" w:cs="Times New Roman" w:eastAsia="Times New Roman" w:hAnsi="Times New Roman"/>
          <w:sz w:val="19"/>
          <w:szCs w:val="19"/>
          <w:color w:val="auto"/>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w:t>
      </w:r>
    </w:p>
    <w:p>
      <w:pPr>
        <w:spacing w:after="0" w:line="4" w:lineRule="exact"/>
        <w:rPr>
          <w:sz w:val="20"/>
          <w:szCs w:val="20"/>
          <w:color w:val="auto"/>
        </w:rPr>
      </w:pPr>
    </w:p>
    <w:p>
      <w:pPr>
        <w:jc w:val="both"/>
        <w:ind w:right="6"/>
        <w:spacing w:after="0" w:line="249" w:lineRule="auto"/>
        <w:tabs>
          <w:tab w:leader="none" w:pos="29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Terms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Each director was appointed to our board in connection with the closing of the business combination and holds his or her office until the 2023 Annual Meeting of Stockholders or until his or her successor has been duly elected and qualified, or until his or her earlier death, resignation or removal.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of the Board</w:t>
      </w:r>
    </w:p>
    <w:p>
      <w:pPr>
        <w:spacing w:after="0" w:line="177" w:lineRule="exact"/>
        <w:rPr>
          <w:sz w:val="20"/>
          <w:szCs w:val="20"/>
          <w:color w:val="auto"/>
        </w:rPr>
      </w:pPr>
    </w:p>
    <w:p>
      <w:pPr>
        <w:jc w:val="both"/>
        <w:ind w:right="6" w:firstLine="480"/>
        <w:spacing w:after="0" w:line="241" w:lineRule="auto"/>
        <w:rPr>
          <w:sz w:val="20"/>
          <w:szCs w:val="20"/>
          <w:color w:val="auto"/>
        </w:rPr>
      </w:pPr>
      <w:r>
        <w:rPr>
          <w:rFonts w:ascii="Times New Roman" w:cs="Times New Roman" w:eastAsia="Times New Roman" w:hAnsi="Times New Roman"/>
          <w:sz w:val="20"/>
          <w:szCs w:val="20"/>
          <w:color w:val="auto"/>
        </w:rPr>
        <w:t>Our board maintains a standing audit committee (“</w:t>
      </w:r>
      <w:r>
        <w:rPr>
          <w:rFonts w:ascii="Times New Roman" w:cs="Times New Roman" w:eastAsia="Times New Roman" w:hAnsi="Times New Roman"/>
          <w:sz w:val="20"/>
          <w:szCs w:val="20"/>
          <w:b w:val="1"/>
          <w:bCs w:val="1"/>
          <w:i w:val="1"/>
          <w:iCs w:val="1"/>
          <w:color w:val="auto"/>
        </w:rPr>
        <w:t>Audit Committee</w:t>
      </w:r>
      <w:r>
        <w:rPr>
          <w:rFonts w:ascii="Times New Roman" w:cs="Times New Roman" w:eastAsia="Times New Roman" w:hAnsi="Times New Roman"/>
          <w:sz w:val="20"/>
          <w:szCs w:val="20"/>
          <w:color w:val="auto"/>
        </w:rPr>
        <w:t>”) and compensation committee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xml:space="preserve">”). The respective members and functions of the committees are described below. Current charters describing the nature and scope of the responsibilities of each of the Audit Committee and Compensation Committee are posted on our website at </w:t>
      </w:r>
      <w:r>
        <w:rPr>
          <w:rFonts w:ascii="Times New Roman" w:cs="Times New Roman" w:eastAsia="Times New Roman" w:hAnsi="Times New Roman"/>
          <w:sz w:val="20"/>
          <w:szCs w:val="20"/>
          <w:i w:val="1"/>
          <w:iCs w:val="1"/>
          <w:color w:val="auto"/>
        </w:rPr>
        <w:t>www.opalfuels.com</w:t>
      </w:r>
      <w:r>
        <w:rPr>
          <w:rFonts w:ascii="Times New Roman" w:cs="Times New Roman" w:eastAsia="Times New Roman" w:hAnsi="Times New Roman"/>
          <w:sz w:val="20"/>
          <w:szCs w:val="20"/>
          <w:color w:val="auto"/>
        </w:rPr>
        <w:t xml:space="preserve"> under the heading “Corporate Governance” and are available in print upon request to OPAL Fuels Inc., One North Lexington Ave,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floor, White Plains, New York — 10601.</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76</w:t>
      </w:r>
    </w:p>
    <w:p>
      <w:pPr>
        <w:sectPr>
          <w:pgSz w:w="12240" w:h="15846" w:orient="portrait"/>
          <w:cols w:equalWidth="0" w:num="1">
            <w:col w:w="9366"/>
          </w:cols>
          <w:pgMar w:left="1440" w:top="947" w:right="1440" w:bottom="348"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i w:val="1"/>
          <w:iCs w:val="1"/>
          <w:color w:val="auto"/>
        </w:rPr>
        <w:t>Audit Committee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 As directed by its written charter, which was adopted on July 21, 2022, the Audit Committee is responsible for, among other duties, appointing and overseeing the work of, and relationship with, the independent auditors, including reviewing their formal written statement describing the Company’s internal quality-control procedures and any material issues raised by the internal quality-control review or peer review of the Company or any inquiry or investigation by governmental or professional authorities and their formal written statement regarding auditor independence; reading and discussing with management and the independent auditors the annual audited financial statements and quarterly financial statements, and preparing annually a report to be included in the Company’s proxy statement; providing oversight of the Company’s accounting and financial reporting principles, policies, controls, procedures and practices; and discussing with management polices with respect to risk assessment and risk management. In addition, the Board of Directors has tasked the Audit Committee with reviewing transactions with related parties. The Audit Committee held four meetings during fiscal year 2022.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Committee</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Our Compensation Committee consists of Mr. Mark Comora, Mr. Nadeem Nisar, Mr. Ashok Vemuri and Mr. Kevin Fogarty. Mr. Vemuri and Mr.Fogarty qualify as the independent directors under the applicable NASDAQ rules. As directed by its written charter, which was approved on December 1, 2022, the Compensation Committee, among other duties, makes recommendations to the Board of Directors as to the Company’s general compensation strategy; reviews and approves the selection of the Company’s peer companies for executive and Board compensation assessment purposes; reviews and approves the corporate goals and objectives and evaluates the Company’s performance on an annual basis; reviews and recommends to the Board all forms of compensation (including any awards granted under compensatory plans); evaluates and recommends to the Board, the compensation of the Company’s Co-Chief Executive Officers and other executive officers; and reviews and approves employment, severance or change in control agreements. In addition, the Compensation Committee evaluates and recommends, for approval by the Board of Directors, the appropriate level of compensation and fees for Board Committee service by non-employee directors. The Compensation Committee held one meeting during fiscal year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Our Compensation Decisions Are Made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Role of the Board of Directors and Compensation Committee</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Company’s executive compensation is determined by the Company’s Compensation Committee. Historically, the Chairman of our board and the boards of directors of our predecessor companies have been responsible for setting the compensation of our Co-Chief Executive Officers and Chief Financial Officer, and for working with our Co-Chief Executive Officers to set the compensation for the other executive officers.</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Board of Directors is responsible for establishing and administering our executive compensation and equity incentive programs. This duty of the Board of Directors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of Directors, the annual compensation of the non-employee directors and oversees the equity compensation plans.</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77</w:t>
      </w:r>
    </w:p>
    <w:p>
      <w:pPr>
        <w:sectPr>
          <w:pgSz w:w="12240" w:h="15846" w:orient="portrait"/>
          <w:cols w:equalWidth="0" w:num="1">
            <w:col w:w="9366"/>
          </w:cols>
          <w:pgMar w:left="1440" w:top="947" w:right="1440" w:bottom="348"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i w:val="1"/>
          <w:iCs w:val="1"/>
          <w:color w:val="auto"/>
        </w:rPr>
        <w:t>Role of the compensation consultant</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for the Company’s executive leadership team; (iv) reviewed director compensation programs; and (v) provided an overview of U.S. compensation practices and market practices.</w:t>
      </w:r>
    </w:p>
    <w:p>
      <w:pPr>
        <w:spacing w:after="0" w:line="168"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Compensation Committee reviewed the independence of Korn Ferry from management and determined that the compensation consultant was independent.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Role of Management</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Compensation Committee has sole authority to establish annual compensation for the Company’s named executive officers, and none of the named executive officers determines his/her own pay.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Board adopted a Code of Business Conduct and Ethics on July 21, 2022 (the “</w:t>
      </w:r>
      <w:r>
        <w:rPr>
          <w:rFonts w:ascii="Times New Roman" w:cs="Times New Roman" w:eastAsia="Times New Roman" w:hAnsi="Times New Roman"/>
          <w:sz w:val="20"/>
          <w:szCs w:val="20"/>
          <w:b w:val="1"/>
          <w:bCs w:val="1"/>
          <w:i w:val="1"/>
          <w:iCs w:val="1"/>
          <w:color w:val="auto"/>
        </w:rPr>
        <w:t>Code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Conduct</w:t>
      </w:r>
      <w:r>
        <w:rPr>
          <w:rFonts w:ascii="Times New Roman" w:cs="Times New Roman" w:eastAsia="Times New Roman" w:hAnsi="Times New Roman"/>
          <w:sz w:val="20"/>
          <w:szCs w:val="20"/>
          <w:color w:val="auto"/>
        </w:rPr>
        <w:t>”) that applies to all of our directors, officers and employees, including our principal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officers, principal financial officer and principal accounting officer, which is available on our website at </w:t>
      </w:r>
      <w:r>
        <w:rPr>
          <w:rFonts w:ascii="Times New Roman" w:cs="Times New Roman" w:eastAsia="Times New Roman" w:hAnsi="Times New Roman"/>
          <w:sz w:val="20"/>
          <w:szCs w:val="20"/>
          <w:i w:val="1"/>
          <w:iCs w:val="1"/>
          <w:color w:val="auto"/>
        </w:rPr>
        <w:t>https://investors..opalfuels.com/corporate-governance/documents-charters</w:t>
      </w:r>
      <w:r>
        <w:rPr>
          <w:rFonts w:ascii="Times New Roman" w:cs="Times New Roman" w:eastAsia="Times New Roman" w:hAnsi="Times New Roman"/>
          <w:sz w:val="20"/>
          <w:szCs w:val="20"/>
          <w:color w:val="auto"/>
        </w:rPr>
        <w:t>. Our Code of Conduct is a “code of ethics,”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defined in Item 406(b) of Regulation S-K. We will make any legally required disclosures regarding amendments to, or waivers of, provisions of our code of ethics on our website.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Communications with the Board of Directors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Shareholders and other interested parties may communicate with members of the Board of Directors, including reporting any concerns related to governance, corporate conduct, business ethics, financial practices, legal issues and accounting or audit matters in writing addressed to the Board of Directors, or any such individual Directors or group or committee of Directors by either name or title in care of: General Counsel of OPAL Fuels Inc., One North Lexington Ave,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floor, White Plains, New York - 10601.</w:t>
      </w:r>
    </w:p>
    <w:p>
      <w:pPr>
        <w:spacing w:after="0" w:line="131"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All communications received as set forth above will be opened by the office of our General Counsel for the sole purpose of determining whether the contents represent a message to our Directors. Materials that are unrelated to the duties and responsibilities of the Board of Directors, such as solicitations, resumes and other forms of job inquiries, surveys and individual customer complaints, or materials that are unduly hostile, threatening, illegal or similarly unsuitable will not be distributed, but will be made available upon request to the Board of Directors, a committee of the Board of Directors or individual Directors as appropriate, depending on the facts and circumstances outlined in the communication.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Leadership Structure</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We recognize that different Board of Directors leadership structures may be appropriate for the Company during different periods of time and under different circumstances. We believe that our current Board of Directors leadership structure is suitable for us because it allows us to consider a broad range of opinions in the course of our Board of Directors deliberations, including those with knowledge of the Company’s day-to-day operations and business strategy, as well as those with an experienced independent viewpoint.</w:t>
      </w:r>
    </w:p>
    <w:p>
      <w:pPr>
        <w:spacing w:after="0" w:line="172"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Our Board of Directors are led by our chairman who contributes significantly to the development and implementation of our business strategy; facilitating communications among our directors; developing meeting agendas in consultation with the management and provide leadership and guidance to the management.</w:t>
      </w:r>
    </w:p>
    <w:p>
      <w:pPr>
        <w:sectPr>
          <w:pgSz w:w="12240" w:h="15846" w:orient="portrait"/>
          <w:cols w:equalWidth="0" w:num="1">
            <w:col w:w="9380"/>
          </w:cols>
          <w:pgMar w:left="1440" w:top="947" w:right="1426"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6" w:orient="portrait"/>
          <w:cols w:equalWidth="0" w:num="1">
            <w:col w:w="9380"/>
          </w:cols>
          <w:pgMar w:left="1440" w:top="947" w:right="1426" w:bottom="348"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The Role of the Board of Directors in Risk Oversight</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Senior management is responsible for assessing and managing the Company’s various exposures to risk on a day-to-day basis, including the creation of appropriate risk management programs and policies. The Company has developed a consistent, systemic and integrated approach to risk management to help determine how best to identify, manage and mitigate significant risks throughout the Company.</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Board of Directors is responsible for overseeing management in the execution of its responsibilities, including assessing the Company’s approach to risk management. The Board of Directors exercises these responsibilities periodically as part of its meetings and also through two of its committees, each of which examines various components of enterprise risk as part of its responsibilities. The Audit Committee has primary responsibility for addressing risks relating to financial matters, particularly financial reporting, accounting practices and policies, disclosure controls and procedures and internal control over financial reporting. The Compensation Committee has primary responsibility for risks and exposures associated with the Company’s compensation policies, plans and practices, regarding both executive compensation and the compensation structure generally, including whether it provides appropriate incentives that do not encourage excessive risk taking. An overall review of risk is inherent in the Board of Directors’ evaluation of the Company’s long-term strategies and other matters presented to the Board of Directors. The Board of Directors’ role in risk oversight of the Company is consistent with the Company’s leadership structure; the Co-CEOs and other members of senior management are responsible for assessing and managing the Company’s risk exposure, and the Board of Directors and its committees provide oversight in connection with those efforts.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Sessions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Consistent with our corporate governance guidelines, the non-employee directors of the Board of Directors regularly hold executive sessions. The Audit Committee, in accordance with its charter, meets separately with our executives at regular intervals or as otherwise deemed appropriate throughout the year to review our financial affairs, and meets separately in sessions with the independent auditors at such times as the Audit Committee deems appropriate to fulfill its responsibilities under its charter. The independent directors met in executive sessions four times during 2022.</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named executive officers 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 with OPAL</w:t>
            </w:r>
          </w:p>
        </w:tc>
        <w:tc>
          <w:tcPr>
            <w:tcW w:w="180" w:type="dxa"/>
            <w:vAlign w:val="bottom"/>
          </w:tcPr>
          <w:p>
            <w:pPr>
              <w:spacing w:after="0"/>
              <w:rPr>
                <w:sz w:val="18"/>
                <w:szCs w:val="18"/>
                <w:color w:val="auto"/>
              </w:rPr>
            </w:pPr>
          </w:p>
        </w:tc>
        <w:tc>
          <w:tcPr>
            <w:tcW w:w="18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Age</w:t>
            </w:r>
          </w:p>
        </w:tc>
      </w:tr>
      <w:tr>
        <w:trPr>
          <w:trHeight w:val="247"/>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Adam Comora</w:t>
            </w: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Co-Chief Executive Officer</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51</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Jonathan Maurer</w:t>
            </w: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Co-Chief Executive Officer</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63</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Ann Anthony</w:t>
            </w: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Financial Officer</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56</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John Coghlin</w:t>
            </w: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General Counsel</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56</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Scott Edelbach</w:t>
            </w: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Executive Vice President</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52</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Anthony Falbo</w:t>
            </w: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Operating Officer</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56</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David Unger</w:t>
            </w: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Executive Vice President</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53</w:t>
            </w:r>
          </w:p>
        </w:tc>
      </w:tr>
    </w:tbl>
    <w:p>
      <w:pPr>
        <w:spacing w:after="0" w:line="155"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Adam Comora </w:t>
      </w:r>
      <w:r>
        <w:rPr>
          <w:rFonts w:ascii="Times New Roman" w:cs="Times New Roman" w:eastAsia="Times New Roman" w:hAnsi="Times New Roman"/>
          <w:sz w:val="20"/>
          <w:szCs w:val="20"/>
          <w:color w:val="auto"/>
        </w:rPr>
        <w:t>has served as Co-Chief Executive Officer of the Company since it was formed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2020. From February 2011 until January 1, 2022, Mr. Comora was with Fortistar, a privately-owned investment firm that provides capital to build, grow and manage companies that address complex sustainability challenges, where among other positions he served as President and Chief Executive Officer of TruStar Energy (now the dispensing and monetization segment of OPAL Fuels). Prior to joining Fortistar, Mr. Comora was a partner at EnTrust Capital, an asset management firm based in New York City from 1998 to 2011 where he was an integral part of the investment team managing long only equities, a long/short strategy, and a fund of funds. While at EnTrust, assets under management grew from $1 billion to $6 billion. Prior to EnTrust, Mr. Comora was an Analyst and Associate at JP Morgan Investment Bank from 1994 to 1998. Mr. Comora received his Bachelor of Arts in Economics and Government from Cornell University.</w:t>
      </w:r>
    </w:p>
    <w:p>
      <w:pPr>
        <w:spacing w:after="0" w:line="174" w:lineRule="exact"/>
        <w:rPr>
          <w:sz w:val="20"/>
          <w:szCs w:val="20"/>
          <w:color w:val="auto"/>
        </w:rPr>
      </w:pPr>
    </w:p>
    <w:p>
      <w:pPr>
        <w:jc w:val="both"/>
        <w:ind w:right="20" w:firstLine="480"/>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Jonathan Maurer </w:t>
      </w:r>
      <w:r>
        <w:rPr>
          <w:rFonts w:ascii="Times New Roman" w:cs="Times New Roman" w:eastAsia="Times New Roman" w:hAnsi="Times New Roman"/>
          <w:sz w:val="19"/>
          <w:szCs w:val="19"/>
          <w:color w:val="auto"/>
        </w:rPr>
        <w:t>has served as the Co-Chief Executive Officer of the company since it was formed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December 2020. Previously, Mr. Maurer worked for over thirty years at our parent company, Fortistar, a privately-owned investment firm that provides capital to build, grow and manage companies that address complex sustainability</w:t>
      </w:r>
    </w:p>
    <w:p>
      <w:pPr>
        <w:sectPr>
          <w:pgSz w:w="12240" w:h="15846" w:orient="portrait"/>
          <w:cols w:equalWidth="0" w:num="1">
            <w:col w:w="9380"/>
          </w:cols>
          <w:pgMar w:left="1440" w:top="947" w:right="1426" w:bottom="348"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6" w:orient="portrait"/>
          <w:cols w:equalWidth="0" w:num="1">
            <w:col w:w="9380"/>
          </w:cols>
          <w:pgMar w:left="1440" w:top="947" w:right="1426" w:bottom="348" w:gutter="0" w:footer="0" w:header="0"/>
          <w:type w:val="continuous"/>
        </w:sectPr>
      </w:pPr>
    </w:p>
    <w:bookmarkStart w:id="91" w:name="page92"/>
    <w:bookmarkEnd w:id="91"/>
    <w:p>
      <w:pPr>
        <w:jc w:val="both"/>
        <w:ind w:right="6"/>
        <w:spacing w:after="0" w:line="248" w:lineRule="auto"/>
        <w:rPr>
          <w:sz w:val="20"/>
          <w:szCs w:val="20"/>
          <w:color w:val="auto"/>
        </w:rPr>
      </w:pPr>
      <w:r>
        <w:rPr>
          <w:rFonts w:ascii="Times New Roman" w:cs="Times New Roman" w:eastAsia="Times New Roman" w:hAnsi="Times New Roman"/>
          <w:sz w:val="20"/>
          <w:szCs w:val="20"/>
          <w:color w:val="auto"/>
        </w:rPr>
        <w:t>challenges. There he was Managing Director and Co-Head of Fortistar’s Investment Team and led all management and investment activities associated with Fortistar’s renewable natural gas, landfill gas to power, and biomass energy investments. Mr. Maurer also served as a member of Fortistar’s management and investment committees. Prior to Fortistar, Mr. Maurer was a commercial banker with JP Morgan Chase &amp; Co. Mr. Maurer has an MBA from Columbia Business School and a Bachelor of Arts from St. Lawrence University.</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Ann Anthony </w:t>
      </w:r>
      <w:r>
        <w:rPr>
          <w:rFonts w:ascii="Times New Roman" w:cs="Times New Roman" w:eastAsia="Times New Roman" w:hAnsi="Times New Roman"/>
          <w:sz w:val="20"/>
          <w:szCs w:val="20"/>
          <w:color w:val="auto"/>
        </w:rPr>
        <w:t>has served as Chief Financial Officer of the Company since April 2021. Prior to joining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from November 2019 to April 2021, Ms. Anthony was the Chief Financial Officer and Secretary of Key Capture Energy, LLC, a start-up private equity funded battery storage company where she was responsible for managing all financial and human resource processes for the start-up company. Before joining Key Capture Energy, LLC, Ms. Anthony served from 2008 to 2019 in various capacities with South Jersey Industries, Inc, then public energy services holding company, most recently leading finance, and accounting as the Principal Financial Officer of SJI Utilities and Vice President and Treasurer of South Jersey Industries, Inc, then public registrant. Ms. Anthony received her Master of Business Administration and her Bachelor of Science in Finance from St. Joseph’s University.</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John Coghlin </w:t>
      </w:r>
      <w:r>
        <w:rPr>
          <w:rFonts w:ascii="Times New Roman" w:cs="Times New Roman" w:eastAsia="Times New Roman" w:hAnsi="Times New Roman"/>
          <w:sz w:val="20"/>
          <w:szCs w:val="20"/>
          <w:color w:val="auto"/>
        </w:rPr>
        <w:t>has served as General Counsel of the Company since June 2021. From 2014 until May 2021,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Mr. Coghlin served as Senior Vice President and General Counsel of Colt Defense LLC, a manufacturing firm based in West Hartford, Connecticut. From 2007 to 2014, he served as the Chief Operating Officer and General Counsel at Healthcor Group, a global registered investment advisor. Prior to Healthcor, Mr. Coghlin served as Senior Vice President and General Counsel of the Operations Division of Citizens Financial Group. He began his career as an associate with the law firm of Rogers &amp; Wells. Mr. Coghlin received his Juris Doctorate from Boston College School of Law and his Bachelor of Arts from Tufts University.</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Scott Edelbach </w:t>
      </w:r>
      <w:r>
        <w:rPr>
          <w:rFonts w:ascii="Times New Roman" w:cs="Times New Roman" w:eastAsia="Times New Roman" w:hAnsi="Times New Roman"/>
          <w:sz w:val="20"/>
          <w:szCs w:val="20"/>
          <w:color w:val="auto"/>
        </w:rPr>
        <w:t>has served as Executive Vice President of the Company since December 2020. Mr. Edelbach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was a founder of TruStar Energy which was formed in 2009. Prior to joining TruStar Energy, Mr. Edelbach worked at Oshkosh Truck Corporation for 18 years where his last position was Vice President of the Refuse Division. At Oshkosh Truck Corporation, Mr. Edelbach led the company to become the first major original equipment manufacturer in the U.S. to build and integrate natural gas fuel systems into large class 8 trucks. He was part of the development teams creating heavy duty electric hybrid chassis and utility bodies, such as garbage trucks and concrete mixers, that were to be used for commercial application nationally and in European markets. Mr. Edelbach received his Bachelor’s in Business Management from Southwestern University.</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Anthony Falbo </w:t>
      </w:r>
      <w:r>
        <w:rPr>
          <w:rFonts w:ascii="Times New Roman" w:cs="Times New Roman" w:eastAsia="Times New Roman" w:hAnsi="Times New Roman"/>
          <w:sz w:val="20"/>
          <w:szCs w:val="20"/>
          <w:color w:val="auto"/>
        </w:rPr>
        <w:t>has served as Chief Operating Officer of the Company since April 2021. From 2006 until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April 2021, Mr. Falbo served in a similar capacity as Senior Vice President at Fortistar. He has over 36 years of experience working in the energy sector, both in the management of operating energy facilities as well as in construction management. During his time at Fortistar, Mr. Falbo participated in the acquisition of over 30 landfill gas-to-energy power projects and developed a best-in-class operating team. Prior to joining Fortistar, from 1991 to 2006, he served as an electrical power generation Supervisor for NAES Corporation. From 1985 to 1991, Mr. Falbo worked in the U.S. Navy Nuclear Power Program onboard submarines. Mr. Falbo received his Bachelor of Science from State University of New York Empire State College, where he continues his Master level coursework.</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David Unger </w:t>
      </w:r>
      <w:r>
        <w:rPr>
          <w:rFonts w:ascii="Times New Roman" w:cs="Times New Roman" w:eastAsia="Times New Roman" w:hAnsi="Times New Roman"/>
          <w:sz w:val="20"/>
          <w:szCs w:val="20"/>
          <w:color w:val="auto"/>
        </w:rPr>
        <w:t>has served as Executive Vice President of the Company since December 2020. Mr. Unger served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Fortistar from February 2018 until January 1, 2022, where he served as a Senior Vice President. Mr. Unger previously worked for Waste Management, Inc. for 23 years and developed their renewable natural gas (RNG) and compressed natural gas (CNG) monetization lines of business. Mr. Unger has developed over 70 renewable energy facilities, including RNG, landfill gas (LFG) to electricity, and solar. Mr. Unger managed Waste Management’s California CNG truck assets, monetizing both internally produced RNG and third-party sourced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174"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Our executive officers are elected annually and serve at the discretion of the Board of Directors. Except as described elsewhere in this annual report on Form 10-K, there are no family relationships among any of our executive officers and directors. There have been no material proceedings to which any director, executive officer or affiliate of the Company, any owner of record or beneficially of more than five percent of any class of voting securities of the</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80</w:t>
      </w:r>
    </w:p>
    <w:p>
      <w:pPr>
        <w:sectPr>
          <w:pgSz w:w="12240" w:h="15846" w:orient="portrait"/>
          <w:cols w:equalWidth="0" w:num="1">
            <w:col w:w="9366"/>
          </w:cols>
          <w:pgMar w:left="1440" w:top="954" w:right="1440" w:bottom="348" w:gutter="0" w:footer="0" w:header="0"/>
          <w:type w:val="continuous"/>
        </w:sectPr>
      </w:pPr>
    </w:p>
    <w:bookmarkStart w:id="92" w:name="page93"/>
    <w:bookmarkEnd w:id="92"/>
    <w:p>
      <w:pPr>
        <w:jc w:val="both"/>
        <w:ind w:left="320" w:right="220"/>
        <w:spacing w:after="0" w:line="249" w:lineRule="auto"/>
        <w:rPr>
          <w:sz w:val="20"/>
          <w:szCs w:val="20"/>
          <w:color w:val="auto"/>
        </w:rPr>
      </w:pPr>
      <w:r>
        <w:rPr>
          <w:rFonts w:ascii="Times New Roman" w:cs="Times New Roman" w:eastAsia="Times New Roman" w:hAnsi="Times New Roman"/>
          <w:sz w:val="20"/>
          <w:szCs w:val="20"/>
          <w:color w:val="auto"/>
        </w:rPr>
        <w:t>Company, or any associate of any such director, executive officer, affiliate of the Company, or security holder is a party adverse to the Company or any of its subsidiaries or has a material interest adverse to the Company or any of its subsidiaries. There are no arrangements or understandings with another person pursuant to which any of our executive officers or directors were selected as an executive officer or director. None of our current directors or executive officers have been, during the past 10 years, involved in any legal proceedings required to be disclosed pursuant to Item 401(f) of Regulation S-K.</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77" w:lineRule="exact"/>
        <w:rPr>
          <w:sz w:val="20"/>
          <w:szCs w:val="20"/>
          <w:color w:val="auto"/>
        </w:rPr>
      </w:pPr>
    </w:p>
    <w:p>
      <w:pPr>
        <w:jc w:val="both"/>
        <w:ind w:left="320" w:right="200" w:firstLine="480"/>
        <w:spacing w:after="0" w:line="248" w:lineRule="auto"/>
        <w:rPr>
          <w:sz w:val="20"/>
          <w:szCs w:val="20"/>
          <w:color w:val="auto"/>
        </w:rPr>
      </w:pPr>
      <w:r>
        <w:rPr>
          <w:rFonts w:ascii="Times New Roman" w:cs="Times New Roman" w:eastAsia="Times New Roman" w:hAnsi="Times New Roman"/>
          <w:sz w:val="20"/>
          <w:szCs w:val="20"/>
          <w:color w:val="auto"/>
        </w:rPr>
        <w:t>The following section describes our compensation program for 2022 and compensation of our Co-Chief Executive Officers and other two most highly compensated executive officers (collectively, the “</w:t>
      </w:r>
      <w:r>
        <w:rPr>
          <w:rFonts w:ascii="Times New Roman" w:cs="Times New Roman" w:eastAsia="Times New Roman" w:hAnsi="Times New Roman"/>
          <w:sz w:val="20"/>
          <w:szCs w:val="20"/>
          <w:b w:val="1"/>
          <w:bCs w:val="1"/>
          <w:i w:val="1"/>
          <w:iCs w:val="1"/>
          <w:color w:val="auto"/>
        </w:rPr>
        <w:t>Named Executive Officers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NEOs</w:t>
      </w:r>
      <w:r>
        <w:rPr>
          <w:rFonts w:ascii="Times New Roman" w:cs="Times New Roman" w:eastAsia="Times New Roman" w:hAnsi="Times New Roman"/>
          <w:sz w:val="20"/>
          <w:szCs w:val="20"/>
          <w:color w:val="auto"/>
        </w:rPr>
        <w:t>”) during 2022. For 2022, the following individuals were our named executive officers (each a “</w:t>
      </w:r>
      <w:r>
        <w:rPr>
          <w:rFonts w:ascii="Times New Roman" w:cs="Times New Roman" w:eastAsia="Times New Roman" w:hAnsi="Times New Roman"/>
          <w:sz w:val="20"/>
          <w:szCs w:val="20"/>
          <w:b w:val="1"/>
          <w:bCs w:val="1"/>
          <w:i w:val="1"/>
          <w:iCs w:val="1"/>
          <w:color w:val="auto"/>
        </w:rPr>
        <w:t>Named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NEO</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1280" w:hanging="480"/>
        <w:spacing w:after="0"/>
        <w:tabs>
          <w:tab w:leader="none" w:pos="12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Adam Comora, Co-Chief Executive Officer</w:t>
      </w:r>
    </w:p>
    <w:p>
      <w:pPr>
        <w:spacing w:after="0" w:line="170" w:lineRule="exact"/>
        <w:rPr>
          <w:rFonts w:ascii="Times New Roman" w:cs="Times New Roman" w:eastAsia="Times New Roman" w:hAnsi="Times New Roman"/>
          <w:sz w:val="20"/>
          <w:szCs w:val="20"/>
          <w:color w:val="auto"/>
        </w:rPr>
      </w:pPr>
    </w:p>
    <w:p>
      <w:pPr>
        <w:ind w:left="1280" w:hanging="480"/>
        <w:spacing w:after="0"/>
        <w:tabs>
          <w:tab w:leader="none" w:pos="12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Jonathan Maurer, Co-Chief Executive Officer</w:t>
      </w:r>
    </w:p>
    <w:p>
      <w:pPr>
        <w:spacing w:after="0" w:line="170" w:lineRule="exact"/>
        <w:rPr>
          <w:rFonts w:ascii="Times New Roman" w:cs="Times New Roman" w:eastAsia="Times New Roman" w:hAnsi="Times New Roman"/>
          <w:sz w:val="20"/>
          <w:szCs w:val="20"/>
          <w:color w:val="auto"/>
        </w:rPr>
      </w:pPr>
    </w:p>
    <w:p>
      <w:pPr>
        <w:ind w:left="1280" w:hanging="480"/>
        <w:spacing w:after="0"/>
        <w:tabs>
          <w:tab w:leader="none" w:pos="12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Coghlin, General Counsel</w:t>
      </w:r>
    </w:p>
    <w:p>
      <w:pPr>
        <w:spacing w:after="0" w:line="170" w:lineRule="exact"/>
        <w:rPr>
          <w:rFonts w:ascii="Times New Roman" w:cs="Times New Roman" w:eastAsia="Times New Roman" w:hAnsi="Times New Roman"/>
          <w:sz w:val="20"/>
          <w:szCs w:val="20"/>
          <w:color w:val="auto"/>
        </w:rPr>
      </w:pPr>
    </w:p>
    <w:p>
      <w:pPr>
        <w:ind w:left="1280" w:hanging="480"/>
        <w:spacing w:after="0"/>
        <w:tabs>
          <w:tab w:leader="none" w:pos="12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Scott Edelbach, Executive Vice President</w:t>
      </w:r>
    </w:p>
    <w:p>
      <w:pPr>
        <w:spacing w:after="0" w:line="177" w:lineRule="exact"/>
        <w:rPr>
          <w:sz w:val="20"/>
          <w:szCs w:val="20"/>
          <w:color w:val="auto"/>
        </w:rPr>
      </w:pPr>
    </w:p>
    <w:p>
      <w:pPr>
        <w:ind w:left="320" w:right="220" w:firstLine="480"/>
        <w:spacing w:after="0" w:line="243" w:lineRule="auto"/>
        <w:rPr>
          <w:sz w:val="20"/>
          <w:szCs w:val="20"/>
          <w:color w:val="auto"/>
        </w:rPr>
      </w:pPr>
      <w:r>
        <w:rPr>
          <w:rFonts w:ascii="Times New Roman" w:cs="Times New Roman" w:eastAsia="Times New Roman" w:hAnsi="Times New Roman"/>
          <w:sz w:val="20"/>
          <w:szCs w:val="20"/>
          <w:color w:val="auto"/>
        </w:rPr>
        <w:t>Detailed information on the compensation for our NEOs is presented in the following tables and accompanying narrative.</w:t>
      </w: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0"/>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7"/>
                <w:szCs w:val="17"/>
                <w:color w:val="auto"/>
              </w:rPr>
            </w:pPr>
          </w:p>
        </w:tc>
        <w:tc>
          <w:tcPr>
            <w:tcW w:w="10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incentive</w:t>
            </w:r>
          </w:p>
        </w:tc>
        <w:tc>
          <w:tcPr>
            <w:tcW w:w="180" w:type="dxa"/>
            <w:vAlign w:val="bottom"/>
          </w:tcPr>
          <w:p>
            <w:pPr>
              <w:spacing w:after="0"/>
              <w:rPr>
                <w:sz w:val="17"/>
                <w:szCs w:val="17"/>
                <w:color w:val="auto"/>
              </w:rPr>
            </w:pPr>
          </w:p>
        </w:tc>
        <w:tc>
          <w:tcPr>
            <w:tcW w:w="10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90"/>
              <w:spacing w:after="0" w:line="200" w:lineRule="exact"/>
              <w:rPr>
                <w:sz w:val="20"/>
                <w:szCs w:val="20"/>
                <w:color w:val="auto"/>
              </w:rPr>
            </w:pPr>
            <w:r>
              <w:rPr>
                <w:rFonts w:ascii="Times New Roman" w:cs="Times New Roman" w:eastAsia="Times New Roman" w:hAnsi="Times New Roman"/>
                <w:sz w:val="18"/>
                <w:szCs w:val="18"/>
                <w:b w:val="1"/>
                <w:bCs w:val="1"/>
                <w:color w:val="auto"/>
              </w:rPr>
              <w:t>Salary</w:t>
            </w:r>
          </w:p>
        </w:tc>
        <w:tc>
          <w:tcPr>
            <w:tcW w:w="180" w:type="dxa"/>
            <w:vAlign w:val="bottom"/>
          </w:tcPr>
          <w:p>
            <w:pPr>
              <w:spacing w:after="0"/>
              <w:rPr>
                <w:sz w:val="17"/>
                <w:szCs w:val="17"/>
                <w:color w:val="auto"/>
              </w:rPr>
            </w:pPr>
          </w:p>
        </w:tc>
        <w:tc>
          <w:tcPr>
            <w:tcW w:w="860" w:type="dxa"/>
            <w:vAlign w:val="bottom"/>
          </w:tcPr>
          <w:p>
            <w:pPr>
              <w:ind w:left="180"/>
              <w:spacing w:after="0" w:line="200" w:lineRule="exact"/>
              <w:rPr>
                <w:sz w:val="20"/>
                <w:szCs w:val="20"/>
                <w:color w:val="auto"/>
              </w:rPr>
            </w:pPr>
            <w:r>
              <w:rPr>
                <w:rFonts w:ascii="Times New Roman" w:cs="Times New Roman" w:eastAsia="Times New Roman" w:hAnsi="Times New Roman"/>
                <w:sz w:val="18"/>
                <w:szCs w:val="18"/>
                <w:b w:val="1"/>
                <w:bCs w:val="1"/>
                <w:color w:val="auto"/>
              </w:rPr>
              <w:t>Bonus</w:t>
            </w:r>
          </w:p>
        </w:tc>
        <w:tc>
          <w:tcPr>
            <w:tcW w:w="180" w:type="dxa"/>
            <w:vAlign w:val="bottom"/>
          </w:tcPr>
          <w:p>
            <w:pPr>
              <w:spacing w:after="0"/>
              <w:rPr>
                <w:sz w:val="17"/>
                <w:szCs w:val="17"/>
                <w:color w:val="auto"/>
              </w:rPr>
            </w:pPr>
          </w:p>
        </w:tc>
        <w:tc>
          <w:tcPr>
            <w:tcW w:w="8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3"/>
              </w:rPr>
              <w:t>Awards</w:t>
            </w:r>
          </w:p>
        </w:tc>
        <w:tc>
          <w:tcPr>
            <w:tcW w:w="180" w:type="dxa"/>
            <w:vAlign w:val="bottom"/>
          </w:tcPr>
          <w:p>
            <w:pPr>
              <w:spacing w:after="0"/>
              <w:rPr>
                <w:sz w:val="17"/>
                <w:szCs w:val="17"/>
                <w:color w:val="auto"/>
              </w:rPr>
            </w:pPr>
          </w:p>
        </w:tc>
        <w:tc>
          <w:tcPr>
            <w:tcW w:w="10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17"/>
                <w:szCs w:val="17"/>
                <w:color w:val="auto"/>
              </w:rPr>
            </w:pPr>
          </w:p>
        </w:tc>
        <w:tc>
          <w:tcPr>
            <w:tcW w:w="10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17"/>
                <w:szCs w:val="17"/>
                <w:color w:val="auto"/>
              </w:rPr>
            </w:pPr>
          </w:p>
        </w:tc>
        <w:tc>
          <w:tcPr>
            <w:tcW w:w="820" w:type="dxa"/>
            <w:vAlign w:val="bottom"/>
          </w:tcPr>
          <w:p>
            <w:pPr>
              <w:jc w:val="right"/>
              <w:ind w:right="130"/>
              <w:spacing w:after="0" w:line="200"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199"/>
        </w:trPr>
        <w:tc>
          <w:tcPr>
            <w:tcW w:w="242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17"/>
                <w:szCs w:val="17"/>
                <w:color w:val="auto"/>
              </w:rPr>
            </w:pPr>
          </w:p>
        </w:tc>
        <w:tc>
          <w:tcPr>
            <w:tcW w:w="700" w:type="dxa"/>
            <w:vAlign w:val="bottom"/>
            <w:tcBorders>
              <w:bottom w:val="single" w:sz="8" w:color="auto"/>
            </w:tcBorders>
          </w:tcPr>
          <w:p>
            <w:pPr>
              <w:ind w:left="160"/>
              <w:spacing w:after="0" w:line="200" w:lineRule="exact"/>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7"/>
                <w:szCs w:val="17"/>
                <w:color w:val="auto"/>
              </w:rPr>
            </w:pPr>
          </w:p>
        </w:tc>
        <w:tc>
          <w:tcPr>
            <w:tcW w:w="860" w:type="dxa"/>
            <w:vAlign w:val="bottom"/>
            <w:tcBorders>
              <w:bottom w:val="single" w:sz="8" w:color="auto"/>
            </w:tcBorders>
          </w:tcPr>
          <w:p>
            <w:pPr>
              <w:jc w:val="right"/>
              <w:ind w:right="250"/>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860" w:type="dxa"/>
            <w:vAlign w:val="bottom"/>
            <w:tcBorders>
              <w:bottom w:val="single" w:sz="8" w:color="auto"/>
            </w:tcBorders>
          </w:tcPr>
          <w:p>
            <w:pPr>
              <w:jc w:val="right"/>
              <w:ind w:right="213"/>
              <w:spacing w:after="0" w:line="199"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7"/>
                <w:szCs w:val="17"/>
                <w:color w:val="auto"/>
              </w:rPr>
            </w:pPr>
          </w:p>
        </w:tc>
        <w:tc>
          <w:tcPr>
            <w:tcW w:w="82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0"/>
                <w:szCs w:val="20"/>
                <w:b w:val="1"/>
                <w:bCs w:val="1"/>
                <w:color w:val="auto"/>
                <w:w w:val="92"/>
                <w:vertAlign w:val="superscript"/>
              </w:rPr>
              <w:t>(3)</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0"/>
                <w:szCs w:val="20"/>
                <w:b w:val="1"/>
                <w:bCs w:val="1"/>
                <w:color w:val="auto"/>
                <w:w w:val="92"/>
                <w:vertAlign w:val="superscript"/>
              </w:rPr>
              <w:t>(4)</w:t>
            </w:r>
          </w:p>
        </w:tc>
        <w:tc>
          <w:tcPr>
            <w:tcW w:w="180" w:type="dxa"/>
            <w:vAlign w:val="bottom"/>
          </w:tcPr>
          <w:p>
            <w:pPr>
              <w:spacing w:after="0"/>
              <w:rPr>
                <w:sz w:val="17"/>
                <w:szCs w:val="17"/>
                <w:color w:val="auto"/>
              </w:rPr>
            </w:pPr>
          </w:p>
        </w:tc>
        <w:tc>
          <w:tcPr>
            <w:tcW w:w="820" w:type="dxa"/>
            <w:vAlign w:val="bottom"/>
            <w:tcBorders>
              <w:bottom w:val="single" w:sz="8" w:color="auto"/>
            </w:tcBorders>
          </w:tcPr>
          <w:p>
            <w:pPr>
              <w:jc w:val="right"/>
              <w:ind w:right="230"/>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Adam Comora,</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506,731</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w w:val="98"/>
              </w:rPr>
              <w:t>650,000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595,500</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1,752,231</w:t>
            </w:r>
          </w:p>
        </w:tc>
      </w:tr>
      <w:tr>
        <w:trPr>
          <w:trHeight w:val="260"/>
        </w:trPr>
        <w:tc>
          <w:tcPr>
            <w:tcW w:w="24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Co-Chief Executive Officer</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396,366</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w w:val="98"/>
              </w:rPr>
              <w:t>750,000</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1,165,866</w:t>
            </w:r>
          </w:p>
        </w:tc>
      </w:tr>
      <w:tr>
        <w:trPr>
          <w:trHeight w:val="40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Jonathan Maurer,</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w w:val="98"/>
              </w:rPr>
              <w:t>650,000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595,500</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25,596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1,771,096</w:t>
            </w:r>
          </w:p>
        </w:tc>
      </w:tr>
      <w:tr>
        <w:trPr>
          <w:trHeight w:val="260"/>
        </w:trPr>
        <w:tc>
          <w:tcPr>
            <w:tcW w:w="24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Co-Chief Executive Officer</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380,519</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w w:val="98"/>
              </w:rPr>
              <w:t>750,000</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1,156,519</w:t>
            </w:r>
          </w:p>
        </w:tc>
      </w:tr>
      <w:tr>
        <w:trPr>
          <w:trHeight w:val="40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Scott Edelbach,</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304,756</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w w:val="98"/>
              </w:rPr>
              <w:t>185,000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79,400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1,309,174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1,888,269</w:t>
            </w:r>
          </w:p>
        </w:tc>
      </w:tr>
      <w:tr>
        <w:trPr>
          <w:trHeight w:val="260"/>
        </w:trPr>
        <w:tc>
          <w:tcPr>
            <w:tcW w:w="2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Vice President</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293,623</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w w:val="98"/>
              </w:rPr>
              <w:t>202,366</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507,582</w:t>
            </w:r>
          </w:p>
        </w:tc>
      </w:tr>
      <w:tr>
        <w:trPr>
          <w:trHeight w:val="400"/>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John Coghlin,</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360,769</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w w:val="98"/>
              </w:rPr>
              <w:t>200,000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198,500</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769,430</w:t>
            </w:r>
          </w:p>
        </w:tc>
      </w:tr>
      <w:tr>
        <w:trPr>
          <w:trHeight w:val="260"/>
        </w:trPr>
        <w:tc>
          <w:tcPr>
            <w:tcW w:w="2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Counsel</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181,731</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w w:val="98"/>
              </w:rPr>
              <w:t>131,250</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315,135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203200</wp:posOffset>
                </wp:positionH>
                <wp:positionV relativeFrom="paragraph">
                  <wp:posOffset>67945</wp:posOffset>
                </wp:positionV>
                <wp:extent cx="5588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pt,5.35pt" to="60pt,5.35pt" o:allowincell="f" strokecolor="#000000" strokeweight="0.5pt"/>
            </w:pict>
          </mc:Fallback>
        </mc:AlternateContent>
      </w:r>
    </w:p>
    <w:p>
      <w:pPr>
        <w:spacing w:after="0" w:line="175" w:lineRule="exact"/>
        <w:rPr>
          <w:sz w:val="20"/>
          <w:szCs w:val="20"/>
          <w:color w:val="auto"/>
        </w:rPr>
      </w:pPr>
    </w:p>
    <w:p>
      <w:pPr>
        <w:ind w:left="800" w:right="220" w:hanging="480"/>
        <w:spacing w:after="0" w:line="245"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discretionary bonuses paid to NEOs for 2022 and 2021. Please see additional information below in the section “Annual Incentives”.</w:t>
      </w:r>
    </w:p>
    <w:p>
      <w:pPr>
        <w:spacing w:after="0" w:line="17" w:lineRule="exact"/>
        <w:rPr>
          <w:rFonts w:ascii="Times New Roman" w:cs="Times New Roman" w:eastAsia="Times New Roman" w:hAnsi="Times New Roman"/>
          <w:sz w:val="18"/>
          <w:szCs w:val="18"/>
          <w:color w:val="auto"/>
        </w:rPr>
      </w:pPr>
    </w:p>
    <w:p>
      <w:pPr>
        <w:jc w:val="both"/>
        <w:ind w:left="800" w:right="220" w:hanging="480"/>
        <w:spacing w:after="0" w:line="251"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4, 2022,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xml:space="preserve"> to the Company’s consolidated financial statements, set forth elsewhere in this report.</w:t>
      </w:r>
    </w:p>
    <w:p>
      <w:pPr>
        <w:spacing w:after="0" w:line="13" w:lineRule="exact"/>
        <w:rPr>
          <w:rFonts w:ascii="Times New Roman" w:cs="Times New Roman" w:eastAsia="Times New Roman" w:hAnsi="Times New Roman"/>
          <w:sz w:val="18"/>
          <w:szCs w:val="18"/>
          <w:color w:val="auto"/>
        </w:rPr>
      </w:pPr>
    </w:p>
    <w:p>
      <w:pPr>
        <w:jc w:val="both"/>
        <w:ind w:left="800" w:right="220" w:hanging="480"/>
        <w:spacing w:after="0" w:line="250"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incentive compensation earned by Mr.Edelbach based on meeting certain performance metrics for the period from January 1, 2020 to December 31, 2022, as further described below in the “Long-Term Incentives” section.</w:t>
      </w:r>
    </w:p>
    <w:p>
      <w:pPr>
        <w:spacing w:after="0" w:line="13" w:lineRule="exact"/>
        <w:rPr>
          <w:rFonts w:ascii="Times New Roman" w:cs="Times New Roman" w:eastAsia="Times New Roman" w:hAnsi="Times New Roman"/>
          <w:sz w:val="18"/>
          <w:szCs w:val="18"/>
          <w:color w:val="auto"/>
        </w:rPr>
      </w:pPr>
    </w:p>
    <w:p>
      <w:pPr>
        <w:ind w:left="800" w:right="220" w:hanging="480"/>
        <w:spacing w:after="0" w:line="245"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matching contributions under the terms of our 401(k) plan paid by us on behalf of each NEO.</w:t>
      </w:r>
    </w:p>
    <w:p>
      <w:pPr>
        <w:sectPr>
          <w:pgSz w:w="12240" w:h="15846" w:orient="portrait"/>
          <w:cols w:equalWidth="0" w:num="1">
            <w:col w:w="9900"/>
          </w:cols>
          <w:pgMar w:left="1120" w:top="954" w:right="1226"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81</w:t>
      </w:r>
    </w:p>
    <w:p>
      <w:pPr>
        <w:sectPr>
          <w:pgSz w:w="12240" w:h="15846" w:orient="portrait"/>
          <w:cols w:equalWidth="0" w:num="1">
            <w:col w:w="9900"/>
          </w:cols>
          <w:pgMar w:left="1120" w:top="954" w:right="1226" w:bottom="348"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Narrative Disclosure to the Summary Compensation Table</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For the 2022 fiscal year, our compensation program consisted primarily of the following elements: base salary, short-term annual incentive awards, long-term equity incentives and benefit and perquisite programs.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Base Salary</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Incentives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compensation program for NEOs and other executive officers includes eligibility for annual cash bonuses. Annual bonuses were determined in the sole discretion of our Compensation Committee and Board of Directors, based upon the Company meeting its business and financial objectives generally and its annual financial performance targets in particular, as well as each NEO’s individual performance. Based on the review of the NEOs’ performance by our Compensation Committee, our Board awarded the NEOs annual bonuses in the amounts set forth in the Summary Compensation Table above.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Incentives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2022 Omnibus Equity Incentive Plan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spacing w:after="0" w:line="171"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In addition, pursuant to the Long-Term Incentive Plan Award Agreement between Mr. Edelbach and OPAL Fuel Station Service LLC, a Delaware limited liability company and subsidiary of the Company, Mr. Edelbach is eligible to receive a base cash award in 2023 for the performance period lasting from January 1, 2020 through December 31, 2022 with a target value of $1,250,000 and a maximum value of $2,250,000. The actual incentive compensation is based on meeting certain performance metrics such as signing certain construction contracts with one major customer, new fuel purchase agreements, new dispensing contracts for RNG, environmental credits, new service and maintenance contracts as well as a discretionary amount as approved by the Compensation Committee.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Awards</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In October 2022, the Company awarded Restricted Stock Units as celebratory awards to all of its employees including its NEOs upon the occasion of the Company successfully completing the Business Combination and becoming a public company. All the Restricted Stock Units vest 100% on the first anniversary date.</w:t>
      </w:r>
    </w:p>
    <w:p>
      <w:pPr>
        <w:spacing w:after="0" w:line="173"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Historically, prior to the Business Combination, Fortistar granted units intended to be treated as “profits interests” for U.S. federal income tax purposes to certain of the Company’s executives through one of its feeder entities with such profits interests awards tracking the performance of the applicable predecessor companies of the Company (such awards, the “</w:t>
      </w:r>
      <w:r>
        <w:rPr>
          <w:rFonts w:ascii="Times New Roman" w:cs="Times New Roman" w:eastAsia="Times New Roman" w:hAnsi="Times New Roman"/>
          <w:sz w:val="19"/>
          <w:szCs w:val="19"/>
          <w:b w:val="1"/>
          <w:bCs w:val="1"/>
          <w:i w:val="1"/>
          <w:iCs w:val="1"/>
          <w:color w:val="auto"/>
        </w:rPr>
        <w:t>Parent Equity Awards</w:t>
      </w:r>
      <w:r>
        <w:rPr>
          <w:rFonts w:ascii="Times New Roman" w:cs="Times New Roman" w:eastAsia="Times New Roman" w:hAnsi="Times New Roman"/>
          <w:sz w:val="19"/>
          <w:szCs w:val="19"/>
          <w:color w:val="auto"/>
        </w:rPr>
        <w:t xml:space="preserve">”). Participants were entitled to participate in </w:t>
      </w:r>
      <w:r>
        <w:rPr>
          <w:rFonts w:ascii="Times New Roman" w:cs="Times New Roman" w:eastAsia="Times New Roman" w:hAnsi="Times New Roman"/>
          <w:sz w:val="19"/>
          <w:szCs w:val="19"/>
          <w:i w:val="1"/>
          <w:iCs w:val="1"/>
          <w:color w:val="auto"/>
        </w:rPr>
        <w:t>pro-rata</w:t>
      </w:r>
      <w:r>
        <w:rPr>
          <w:rFonts w:ascii="Times New Roman" w:cs="Times New Roman" w:eastAsia="Times New Roman" w:hAnsi="Times New Roman"/>
          <w:sz w:val="19"/>
          <w:szCs w:val="19"/>
          <w:color w:val="auto"/>
        </w:rPr>
        <w:t xml:space="preserve"> distributions from such predecessors of Opco during their employment. Effective as of December 31, 2020, the Parent Equity Awards</w:t>
      </w:r>
    </w:p>
    <w:p>
      <w:pPr>
        <w:sectPr>
          <w:pgSz w:w="12240" w:h="15846" w:orient="portrait"/>
          <w:cols w:equalWidth="0" w:num="1">
            <w:col w:w="9380"/>
          </w:cols>
          <w:pgMar w:left="1440" w:top="947" w:right="1426"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6" w:orient="portrait"/>
          <w:cols w:equalWidth="0" w:num="1">
            <w:col w:w="9380"/>
          </w:cols>
          <w:pgMar w:left="1440" w:top="947" w:right="1426" w:bottom="348" w:gutter="0" w:footer="0" w:header="0"/>
          <w:type w:val="continuous"/>
        </w:sectPr>
      </w:pPr>
    </w:p>
    <w:bookmarkStart w:id="94" w:name="page95"/>
    <w:bookmarkEnd w:id="94"/>
    <w:p>
      <w:pPr>
        <w:jc w:val="both"/>
        <w:ind w:right="6"/>
        <w:spacing w:after="0" w:line="248" w:lineRule="auto"/>
        <w:rPr>
          <w:sz w:val="20"/>
          <w:szCs w:val="20"/>
          <w:color w:val="auto"/>
        </w:rPr>
      </w:pPr>
      <w:r>
        <w:rPr>
          <w:rFonts w:ascii="Times New Roman" w:cs="Times New Roman" w:eastAsia="Times New Roman" w:hAnsi="Times New Roman"/>
          <w:sz w:val="20"/>
          <w:szCs w:val="20"/>
          <w:color w:val="auto"/>
        </w:rPr>
        <w:t>were restructured to track the performance of the Company.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2022 Fiscal Year.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Benefits.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401(k) Savings Plan</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We provide all qualifying full-time employees with the opportunity to participate in our tax-qualified 401(k) savings plan. Our named executive officers participate in this plan on the same basis as our other full-time employees.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Agreements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No NEO of the Company is a party to an employment agreement, Further, no NEOs are entitled to compensation upon a change in control or termination, provided, however, that upon a change in control of Opco, each NEO shall be entitled to payment with respect to such NEO’s Parent Equity Awards in the amounts set forth in the table entitled “Outstanding Equity Awards at Fiscal Year End” (assuming such change in control occurred on December 31, 2022, and other conditions described in footnote 9 to such table are met).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00"/>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00"/>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Shares or</w:t>
            </w: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Restricted</w:t>
            </w:r>
          </w:p>
        </w:tc>
      </w:tr>
      <w:tr>
        <w:trPr>
          <w:trHeight w:val="200"/>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Stock Units</w:t>
            </w:r>
          </w:p>
        </w:tc>
      </w:tr>
      <w:tr>
        <w:trPr>
          <w:trHeight w:val="200"/>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That Have</w:t>
            </w: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That have</w:t>
            </w:r>
          </w:p>
        </w:tc>
      </w:tr>
      <w:tr>
        <w:trPr>
          <w:trHeight w:val="200"/>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5"/>
              </w:rPr>
              <w:t>not Vested</w:t>
            </w:r>
          </w:p>
        </w:tc>
        <w:tc>
          <w:tcPr>
            <w:tcW w:w="18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5"/>
              </w:rPr>
              <w:t>not Vested</w:t>
            </w:r>
          </w:p>
        </w:tc>
      </w:tr>
      <w:tr>
        <w:trPr>
          <w:trHeight w:val="219"/>
        </w:trPr>
        <w:tc>
          <w:tcPr>
            <w:tcW w:w="60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19"/>
                <w:szCs w:val="19"/>
                <w:color w:val="auto"/>
              </w:rPr>
            </w:pPr>
          </w:p>
        </w:tc>
        <w:tc>
          <w:tcPr>
            <w:tcW w:w="14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2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(9)(10)</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Adam Comora, Co-Chief Executive Officer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546,000</w:t>
            </w:r>
          </w:p>
        </w:tc>
        <w:tc>
          <w:tcPr>
            <w:tcW w:w="0" w:type="dxa"/>
            <w:vAlign w:val="bottom"/>
          </w:tcPr>
          <w:p>
            <w:pPr>
              <w:spacing w:after="0"/>
              <w:rPr>
                <w:sz w:val="1"/>
                <w:szCs w:val="1"/>
                <w:color w:val="auto"/>
              </w:rPr>
            </w:pPr>
          </w:p>
        </w:tc>
      </w:tr>
      <w:tr>
        <w:trPr>
          <w:trHeight w:val="109"/>
        </w:trPr>
        <w:tc>
          <w:tcPr>
            <w:tcW w:w="622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(2)(3)</w:t>
            </w:r>
          </w:p>
        </w:tc>
        <w:tc>
          <w:tcPr>
            <w:tcW w:w="1600" w:type="dxa"/>
            <w:vAlign w:val="bottom"/>
            <w:gridSpan w:val="2"/>
            <w:vMerge w:val="restart"/>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0.43%</w:t>
            </w:r>
          </w:p>
        </w:tc>
        <w:tc>
          <w:tcPr>
            <w:tcW w:w="1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0"/>
                <w:szCs w:val="20"/>
                <w:color w:val="auto"/>
              </w:rPr>
              <w:t>5,032,841</w:t>
            </w:r>
          </w:p>
        </w:tc>
        <w:tc>
          <w:tcPr>
            <w:tcW w:w="0" w:type="dxa"/>
            <w:vAlign w:val="bottom"/>
          </w:tcPr>
          <w:p>
            <w:pPr>
              <w:spacing w:after="0"/>
              <w:rPr>
                <w:sz w:val="1"/>
                <w:szCs w:val="1"/>
                <w:color w:val="auto"/>
              </w:rPr>
            </w:pPr>
          </w:p>
        </w:tc>
      </w:tr>
      <w:tr>
        <w:trPr>
          <w:trHeight w:val="151"/>
        </w:trPr>
        <w:tc>
          <w:tcPr>
            <w:tcW w:w="6220" w:type="dxa"/>
            <w:vAlign w:val="bottom"/>
          </w:tcPr>
          <w:p>
            <w:pPr>
              <w:ind w:left="360"/>
              <w:spacing w:after="0" w:line="151" w:lineRule="exact"/>
              <w:rPr>
                <w:sz w:val="20"/>
                <w:szCs w:val="20"/>
                <w:color w:val="auto"/>
              </w:rPr>
            </w:pPr>
            <w:r>
              <w:rPr>
                <w:rFonts w:ascii="Times New Roman" w:cs="Times New Roman" w:eastAsia="Times New Roman" w:hAnsi="Times New Roman"/>
                <w:sz w:val="17"/>
                <w:szCs w:val="17"/>
                <w:color w:val="auto"/>
              </w:rPr>
              <w:t>. . . . . . . . . . . . . . . . . . . . . . . . . . . . . . . . . . . . . . . . . . . . . . . . . . . . . . . . . .</w:t>
            </w:r>
          </w:p>
        </w:tc>
        <w:tc>
          <w:tcPr>
            <w:tcW w:w="160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2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(2)(4)</w:t>
            </w:r>
          </w:p>
        </w:tc>
        <w:tc>
          <w:tcPr>
            <w:tcW w:w="1600" w:type="dxa"/>
            <w:vAlign w:val="bottom"/>
            <w:gridSpan w:val="2"/>
            <w:vMerge w:val="restart"/>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0.14%</w:t>
            </w:r>
          </w:p>
        </w:tc>
        <w:tc>
          <w:tcPr>
            <w:tcW w:w="1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0"/>
                <w:szCs w:val="20"/>
                <w:color w:val="auto"/>
              </w:rPr>
              <w:t>1,675,849</w:t>
            </w:r>
          </w:p>
        </w:tc>
        <w:tc>
          <w:tcPr>
            <w:tcW w:w="0" w:type="dxa"/>
            <w:vAlign w:val="bottom"/>
          </w:tcPr>
          <w:p>
            <w:pPr>
              <w:spacing w:after="0"/>
              <w:rPr>
                <w:sz w:val="1"/>
                <w:szCs w:val="1"/>
                <w:color w:val="auto"/>
              </w:rPr>
            </w:pPr>
          </w:p>
        </w:tc>
      </w:tr>
      <w:tr>
        <w:trPr>
          <w:trHeight w:val="151"/>
        </w:trPr>
        <w:tc>
          <w:tcPr>
            <w:tcW w:w="6220" w:type="dxa"/>
            <w:vAlign w:val="bottom"/>
          </w:tcPr>
          <w:p>
            <w:pPr>
              <w:ind w:left="360"/>
              <w:spacing w:after="0" w:line="151" w:lineRule="exact"/>
              <w:rPr>
                <w:sz w:val="20"/>
                <w:szCs w:val="20"/>
                <w:color w:val="auto"/>
              </w:rPr>
            </w:pPr>
            <w:r>
              <w:rPr>
                <w:rFonts w:ascii="Times New Roman" w:cs="Times New Roman" w:eastAsia="Times New Roman" w:hAnsi="Times New Roman"/>
                <w:sz w:val="17"/>
                <w:szCs w:val="17"/>
                <w:color w:val="auto"/>
              </w:rPr>
              <w:t>. . . . . . . . . . . . . . . . . . . . . . . . . . . . . . . . . . . . . . . . . . . . . . . . . . . . . . . . . .</w:t>
            </w:r>
          </w:p>
        </w:tc>
        <w:tc>
          <w:tcPr>
            <w:tcW w:w="160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2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(2)(5)</w:t>
            </w:r>
          </w:p>
        </w:tc>
        <w:tc>
          <w:tcPr>
            <w:tcW w:w="1600" w:type="dxa"/>
            <w:vAlign w:val="bottom"/>
            <w:gridSpan w:val="2"/>
            <w:vMerge w:val="restart"/>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0.16%</w:t>
            </w:r>
          </w:p>
        </w:tc>
        <w:tc>
          <w:tcPr>
            <w:tcW w:w="1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0"/>
                <w:szCs w:val="20"/>
                <w:color w:val="auto"/>
              </w:rPr>
              <w:t>1,917,846</w:t>
            </w:r>
          </w:p>
        </w:tc>
        <w:tc>
          <w:tcPr>
            <w:tcW w:w="0" w:type="dxa"/>
            <w:vAlign w:val="bottom"/>
          </w:tcPr>
          <w:p>
            <w:pPr>
              <w:spacing w:after="0"/>
              <w:rPr>
                <w:sz w:val="1"/>
                <w:szCs w:val="1"/>
                <w:color w:val="auto"/>
              </w:rPr>
            </w:pPr>
          </w:p>
        </w:tc>
      </w:tr>
      <w:tr>
        <w:trPr>
          <w:trHeight w:val="156"/>
        </w:trPr>
        <w:tc>
          <w:tcPr>
            <w:tcW w:w="6220" w:type="dxa"/>
            <w:vAlign w:val="bottom"/>
          </w:tcPr>
          <w:p>
            <w:pPr>
              <w:ind w:left="360"/>
              <w:spacing w:after="0" w:line="157" w:lineRule="exact"/>
              <w:rPr>
                <w:sz w:val="20"/>
                <w:szCs w:val="20"/>
                <w:color w:val="auto"/>
              </w:rPr>
            </w:pPr>
            <w:r>
              <w:rPr>
                <w:rFonts w:ascii="Times New Roman" w:cs="Times New Roman" w:eastAsia="Times New Roman" w:hAnsi="Times New Roman"/>
                <w:sz w:val="18"/>
                <w:szCs w:val="18"/>
                <w:color w:val="auto"/>
              </w:rPr>
              <w:t>. . . . . . . . . . . . . . . . . . . . . . . . . . . . . . . . . . . . . . . . . . . . . . . . . . . . . . . . . .</w:t>
            </w:r>
          </w:p>
        </w:tc>
        <w:tc>
          <w:tcPr>
            <w:tcW w:w="160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2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(2)(6)</w:t>
            </w:r>
          </w:p>
        </w:tc>
        <w:tc>
          <w:tcPr>
            <w:tcW w:w="1600" w:type="dxa"/>
            <w:vAlign w:val="bottom"/>
            <w:gridSpan w:val="2"/>
            <w:vMerge w:val="restart"/>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0.16%</w:t>
            </w:r>
          </w:p>
        </w:tc>
        <w:tc>
          <w:tcPr>
            <w:tcW w:w="1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0"/>
                <w:szCs w:val="20"/>
                <w:color w:val="auto"/>
              </w:rPr>
              <w:t>1,917,846</w:t>
            </w:r>
          </w:p>
        </w:tc>
        <w:tc>
          <w:tcPr>
            <w:tcW w:w="0" w:type="dxa"/>
            <w:vAlign w:val="bottom"/>
          </w:tcPr>
          <w:p>
            <w:pPr>
              <w:spacing w:after="0"/>
              <w:rPr>
                <w:sz w:val="1"/>
                <w:szCs w:val="1"/>
                <w:color w:val="auto"/>
              </w:rPr>
            </w:pPr>
          </w:p>
        </w:tc>
      </w:tr>
      <w:tr>
        <w:trPr>
          <w:trHeight w:val="117"/>
        </w:trPr>
        <w:tc>
          <w:tcPr>
            <w:tcW w:w="6220" w:type="dxa"/>
            <w:vAlign w:val="bottom"/>
          </w:tcPr>
          <w:p>
            <w:pPr>
              <w:ind w:left="360"/>
              <w:spacing w:after="0" w:line="117" w:lineRule="exact"/>
              <w:rPr>
                <w:sz w:val="20"/>
                <w:szCs w:val="20"/>
                <w:color w:val="auto"/>
              </w:rPr>
            </w:pPr>
            <w:r>
              <w:rPr>
                <w:rFonts w:ascii="Times New Roman" w:cs="Times New Roman" w:eastAsia="Times New Roman" w:hAnsi="Times New Roman"/>
                <w:sz w:val="13"/>
                <w:szCs w:val="13"/>
                <w:color w:val="auto"/>
              </w:rPr>
              <w:t>. . . . . . . . . . . . . . . . . . . . . . . . . . . . . . . . . . . . . . . . . . . . . . . . . . . . . . . . . .</w:t>
            </w:r>
          </w:p>
        </w:tc>
        <w:tc>
          <w:tcPr>
            <w:tcW w:w="160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Jonathan Maurer, Co-Chief Executive Officer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280" w:type="dxa"/>
            <w:vAlign w:val="bottom"/>
          </w:tcPr>
          <w:p>
            <w:pPr>
              <w:spacing w:after="0"/>
              <w:rPr>
                <w:sz w:val="23"/>
                <w:szCs w:val="23"/>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546,000</w:t>
            </w:r>
          </w:p>
        </w:tc>
        <w:tc>
          <w:tcPr>
            <w:tcW w:w="0" w:type="dxa"/>
            <w:vAlign w:val="bottom"/>
          </w:tcPr>
          <w:p>
            <w:pPr>
              <w:spacing w:after="0"/>
              <w:rPr>
                <w:sz w:val="1"/>
                <w:szCs w:val="1"/>
                <w:color w:val="auto"/>
              </w:rPr>
            </w:pPr>
          </w:p>
        </w:tc>
      </w:tr>
      <w:tr>
        <w:trPr>
          <w:trHeight w:val="109"/>
        </w:trPr>
        <w:tc>
          <w:tcPr>
            <w:tcW w:w="622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(2)(3)</w:t>
            </w:r>
          </w:p>
        </w:tc>
        <w:tc>
          <w:tcPr>
            <w:tcW w:w="1600" w:type="dxa"/>
            <w:vAlign w:val="bottom"/>
            <w:gridSpan w:val="2"/>
            <w:vMerge w:val="restart"/>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0.29%</w:t>
            </w:r>
          </w:p>
        </w:tc>
        <w:tc>
          <w:tcPr>
            <w:tcW w:w="1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0"/>
                <w:szCs w:val="20"/>
                <w:color w:val="auto"/>
              </w:rPr>
              <w:t>3,355,325</w:t>
            </w:r>
          </w:p>
        </w:tc>
        <w:tc>
          <w:tcPr>
            <w:tcW w:w="0" w:type="dxa"/>
            <w:vAlign w:val="bottom"/>
          </w:tcPr>
          <w:p>
            <w:pPr>
              <w:spacing w:after="0"/>
              <w:rPr>
                <w:sz w:val="1"/>
                <w:szCs w:val="1"/>
                <w:color w:val="auto"/>
              </w:rPr>
            </w:pPr>
          </w:p>
        </w:tc>
      </w:tr>
      <w:tr>
        <w:trPr>
          <w:trHeight w:val="151"/>
        </w:trPr>
        <w:tc>
          <w:tcPr>
            <w:tcW w:w="6220" w:type="dxa"/>
            <w:vAlign w:val="bottom"/>
          </w:tcPr>
          <w:p>
            <w:pPr>
              <w:ind w:left="360"/>
              <w:spacing w:after="0" w:line="151" w:lineRule="exact"/>
              <w:rPr>
                <w:sz w:val="20"/>
                <w:szCs w:val="20"/>
                <w:color w:val="auto"/>
              </w:rPr>
            </w:pPr>
            <w:r>
              <w:rPr>
                <w:rFonts w:ascii="Times New Roman" w:cs="Times New Roman" w:eastAsia="Times New Roman" w:hAnsi="Times New Roman"/>
                <w:sz w:val="17"/>
                <w:szCs w:val="17"/>
                <w:color w:val="auto"/>
              </w:rPr>
              <w:t>. . . . . . . . . . . . . . . . . . . . . . . . . . . . . . . . . . . . . . . . . . . . . . . . . . . . . . . . . .</w:t>
            </w:r>
          </w:p>
        </w:tc>
        <w:tc>
          <w:tcPr>
            <w:tcW w:w="160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2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(2)(4)</w:t>
            </w:r>
          </w:p>
        </w:tc>
        <w:tc>
          <w:tcPr>
            <w:tcW w:w="1600" w:type="dxa"/>
            <w:vAlign w:val="bottom"/>
            <w:gridSpan w:val="2"/>
            <w:vMerge w:val="restart"/>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0.10%</w:t>
            </w:r>
          </w:p>
        </w:tc>
        <w:tc>
          <w:tcPr>
            <w:tcW w:w="1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0"/>
                <w:szCs w:val="20"/>
                <w:color w:val="auto"/>
              </w:rPr>
              <w:t>1,117,265</w:t>
            </w:r>
          </w:p>
        </w:tc>
        <w:tc>
          <w:tcPr>
            <w:tcW w:w="0" w:type="dxa"/>
            <w:vAlign w:val="bottom"/>
          </w:tcPr>
          <w:p>
            <w:pPr>
              <w:spacing w:after="0"/>
              <w:rPr>
                <w:sz w:val="1"/>
                <w:szCs w:val="1"/>
                <w:color w:val="auto"/>
              </w:rPr>
            </w:pPr>
          </w:p>
        </w:tc>
      </w:tr>
      <w:tr>
        <w:trPr>
          <w:trHeight w:val="151"/>
        </w:trPr>
        <w:tc>
          <w:tcPr>
            <w:tcW w:w="6220" w:type="dxa"/>
            <w:vAlign w:val="bottom"/>
          </w:tcPr>
          <w:p>
            <w:pPr>
              <w:ind w:left="360"/>
              <w:spacing w:after="0" w:line="151" w:lineRule="exact"/>
              <w:rPr>
                <w:sz w:val="20"/>
                <w:szCs w:val="20"/>
                <w:color w:val="auto"/>
              </w:rPr>
            </w:pPr>
            <w:r>
              <w:rPr>
                <w:rFonts w:ascii="Times New Roman" w:cs="Times New Roman" w:eastAsia="Times New Roman" w:hAnsi="Times New Roman"/>
                <w:sz w:val="17"/>
                <w:szCs w:val="17"/>
                <w:color w:val="auto"/>
              </w:rPr>
              <w:t>. . . . . . . . . . . . . . . . . . . . . . . . . . . . . . . . . . . . . . . . . . . . . . . . . . . . . . . . . .</w:t>
            </w:r>
          </w:p>
        </w:tc>
        <w:tc>
          <w:tcPr>
            <w:tcW w:w="160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2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(2)(5)</w:t>
            </w:r>
          </w:p>
        </w:tc>
        <w:tc>
          <w:tcPr>
            <w:tcW w:w="1600" w:type="dxa"/>
            <w:vAlign w:val="bottom"/>
            <w:gridSpan w:val="2"/>
            <w:vMerge w:val="restart"/>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0.11%</w:t>
            </w:r>
          </w:p>
        </w:tc>
        <w:tc>
          <w:tcPr>
            <w:tcW w:w="1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0"/>
                <w:szCs w:val="20"/>
                <w:color w:val="auto"/>
              </w:rPr>
              <w:t>1,278,809</w:t>
            </w:r>
          </w:p>
        </w:tc>
        <w:tc>
          <w:tcPr>
            <w:tcW w:w="0" w:type="dxa"/>
            <w:vAlign w:val="bottom"/>
          </w:tcPr>
          <w:p>
            <w:pPr>
              <w:spacing w:after="0"/>
              <w:rPr>
                <w:sz w:val="1"/>
                <w:szCs w:val="1"/>
                <w:color w:val="auto"/>
              </w:rPr>
            </w:pPr>
          </w:p>
        </w:tc>
      </w:tr>
      <w:tr>
        <w:trPr>
          <w:trHeight w:val="151"/>
        </w:trPr>
        <w:tc>
          <w:tcPr>
            <w:tcW w:w="6220" w:type="dxa"/>
            <w:vAlign w:val="bottom"/>
          </w:tcPr>
          <w:p>
            <w:pPr>
              <w:ind w:left="360"/>
              <w:spacing w:after="0" w:line="151" w:lineRule="exact"/>
              <w:rPr>
                <w:sz w:val="20"/>
                <w:szCs w:val="20"/>
                <w:color w:val="auto"/>
              </w:rPr>
            </w:pPr>
            <w:r>
              <w:rPr>
                <w:rFonts w:ascii="Times New Roman" w:cs="Times New Roman" w:eastAsia="Times New Roman" w:hAnsi="Times New Roman"/>
                <w:sz w:val="17"/>
                <w:szCs w:val="17"/>
                <w:color w:val="auto"/>
              </w:rPr>
              <w:t>. . . . . . . . . . . . . . . . . . . . . . . . . . . . . . . . . . . . . . . . . . . . . . . . . . . . . . . . . .</w:t>
            </w:r>
          </w:p>
        </w:tc>
        <w:tc>
          <w:tcPr>
            <w:tcW w:w="160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2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(2)(6)</w:t>
            </w:r>
          </w:p>
        </w:tc>
        <w:tc>
          <w:tcPr>
            <w:tcW w:w="1600" w:type="dxa"/>
            <w:vAlign w:val="bottom"/>
            <w:gridSpan w:val="2"/>
            <w:vMerge w:val="restart"/>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0.11%</w:t>
            </w:r>
          </w:p>
        </w:tc>
        <w:tc>
          <w:tcPr>
            <w:tcW w:w="1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0"/>
                <w:szCs w:val="20"/>
                <w:color w:val="auto"/>
              </w:rPr>
              <w:t>1,278,809</w:t>
            </w:r>
          </w:p>
        </w:tc>
        <w:tc>
          <w:tcPr>
            <w:tcW w:w="0" w:type="dxa"/>
            <w:vAlign w:val="bottom"/>
          </w:tcPr>
          <w:p>
            <w:pPr>
              <w:spacing w:after="0"/>
              <w:rPr>
                <w:sz w:val="1"/>
                <w:szCs w:val="1"/>
                <w:color w:val="auto"/>
              </w:rPr>
            </w:pPr>
          </w:p>
        </w:tc>
      </w:tr>
      <w:tr>
        <w:trPr>
          <w:trHeight w:val="117"/>
        </w:trPr>
        <w:tc>
          <w:tcPr>
            <w:tcW w:w="6220" w:type="dxa"/>
            <w:vAlign w:val="bottom"/>
          </w:tcPr>
          <w:p>
            <w:pPr>
              <w:ind w:left="360"/>
              <w:spacing w:after="0" w:line="117" w:lineRule="exact"/>
              <w:rPr>
                <w:sz w:val="20"/>
                <w:szCs w:val="20"/>
                <w:color w:val="auto"/>
              </w:rPr>
            </w:pPr>
            <w:r>
              <w:rPr>
                <w:rFonts w:ascii="Times New Roman" w:cs="Times New Roman" w:eastAsia="Times New Roman" w:hAnsi="Times New Roman"/>
                <w:sz w:val="13"/>
                <w:szCs w:val="13"/>
                <w:color w:val="auto"/>
              </w:rPr>
              <w:t>. . . . . . . . . . . . . . . . . . . . . . . . . . . . . . . . . . . . . . . . . . . . . . . . . . . . . . . . . .</w:t>
            </w:r>
          </w:p>
        </w:tc>
        <w:tc>
          <w:tcPr>
            <w:tcW w:w="160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John Coghlin, General Counsel</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20"/>
                <w:szCs w:val="20"/>
                <w:color w:val="auto"/>
              </w:rPr>
              <w:t>. . . . . . . . . . . . . . . . . . . . . . . . . . . . . . . . . . .</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280" w:type="dxa"/>
            <w:vAlign w:val="bottom"/>
          </w:tcPr>
          <w:p>
            <w:pPr>
              <w:spacing w:after="0"/>
              <w:rPr>
                <w:sz w:val="23"/>
                <w:szCs w:val="23"/>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182,000</w:t>
            </w:r>
          </w:p>
        </w:tc>
        <w:tc>
          <w:tcPr>
            <w:tcW w:w="0" w:type="dxa"/>
            <w:vAlign w:val="bottom"/>
          </w:tcPr>
          <w:p>
            <w:pPr>
              <w:spacing w:after="0"/>
              <w:rPr>
                <w:sz w:val="1"/>
                <w:szCs w:val="1"/>
                <w:color w:val="auto"/>
              </w:rPr>
            </w:pPr>
          </w:p>
        </w:tc>
      </w:tr>
      <w:tr>
        <w:trPr>
          <w:trHeight w:val="262"/>
        </w:trPr>
        <w:tc>
          <w:tcPr>
            <w:tcW w:w="6220" w:type="dxa"/>
            <w:vAlign w:val="bottom"/>
          </w:tcPr>
          <w:p>
            <w:pPr>
              <w:spacing w:after="0" w:line="262" w:lineRule="exact"/>
              <w:rPr>
                <w:sz w:val="20"/>
                <w:szCs w:val="20"/>
                <w:color w:val="auto"/>
              </w:rPr>
            </w:pPr>
            <w:r>
              <w:rPr>
                <w:rFonts w:ascii="Times New Roman" w:cs="Times New Roman" w:eastAsia="Times New Roman" w:hAnsi="Times New Roman"/>
                <w:sz w:val="20"/>
                <w:szCs w:val="20"/>
                <w:color w:val="auto"/>
                <w:w w:val="99"/>
              </w:rPr>
              <w:t>Scott Edelbach, Executive Vice President</w:t>
            </w:r>
            <w:r>
              <w:rPr>
                <w:rFonts w:ascii="Times New Roman" w:cs="Times New Roman" w:eastAsia="Times New Roman" w:hAnsi="Times New Roman"/>
                <w:sz w:val="23"/>
                <w:szCs w:val="23"/>
                <w:color w:val="auto"/>
                <w:w w:val="99"/>
                <w:vertAlign w:val="superscript"/>
              </w:rPr>
              <w:t>(8)</w:t>
            </w:r>
            <w:r>
              <w:rPr>
                <w:rFonts w:ascii="Times New Roman" w:cs="Times New Roman" w:eastAsia="Times New Roman" w:hAnsi="Times New Roman"/>
                <w:sz w:val="20"/>
                <w:szCs w:val="20"/>
                <w:color w:val="auto"/>
                <w:w w:val="99"/>
              </w:rPr>
              <w:t xml:space="preserve"> . . . . . . . . . . . . . . . . . . . . . . . . . . .</w:t>
            </w:r>
          </w:p>
        </w:tc>
        <w:tc>
          <w:tcPr>
            <w:tcW w:w="1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10,000</w:t>
            </w:r>
          </w:p>
        </w:tc>
        <w:tc>
          <w:tcPr>
            <w:tcW w:w="280" w:type="dxa"/>
            <w:vAlign w:val="bottom"/>
          </w:tcPr>
          <w:p>
            <w:pPr>
              <w:spacing w:after="0"/>
              <w:rPr>
                <w:sz w:val="22"/>
                <w:szCs w:val="22"/>
                <w:color w:val="auto"/>
              </w:rPr>
            </w:pPr>
          </w:p>
        </w:tc>
        <w:tc>
          <w:tcPr>
            <w:tcW w:w="14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72,800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ind w:left="480" w:right="6" w:hanging="480"/>
        <w:spacing w:after="0" w:line="245"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4, 2022, the Company granted 75,000 Restricted Stock Units to the recipient, which vest 100% on October 3, 2023, subject to continued employment with the Company on applicable vesting date.</w:t>
      </w:r>
    </w:p>
    <w:p>
      <w:pPr>
        <w:spacing w:after="0" w:line="17" w:lineRule="exact"/>
        <w:rPr>
          <w:rFonts w:ascii="Times New Roman" w:cs="Times New Roman" w:eastAsia="Times New Roman" w:hAnsi="Times New Roman"/>
          <w:sz w:val="18"/>
          <w:szCs w:val="18"/>
          <w:color w:val="auto"/>
        </w:rPr>
      </w:pPr>
    </w:p>
    <w:p>
      <w:pPr>
        <w:jc w:val="both"/>
        <w:ind w:left="480" w:right="6" w:hanging="480"/>
        <w:spacing w:after="0" w:line="251"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Equity Awards entitle recipients to indirectly receive a percentage of the profits (“Profits Portion”) received by Fortistar from investment in OPAL Fuels LLC, after the repayment of the capital contributed to OPAL Fuels LLC by Fortistar. This column represents, as of December 31, 2022, a percentage of OPAL Fuels LLC which is approximately equal to such Profits Portion.</w:t>
      </w:r>
    </w:p>
    <w:p>
      <w:pPr>
        <w:spacing w:after="0" w:line="13"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Parent Equity Award represents a grant to the applicable recipient on February 25, 2019, and which vests ratably on each of the first five (5) anniversaries of the date of grant.</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83</w:t>
      </w:r>
    </w:p>
    <w:p>
      <w:pPr>
        <w:sectPr>
          <w:pgSz w:w="12240" w:h="15846" w:orient="portrait"/>
          <w:cols w:equalWidth="0" w:num="1">
            <w:col w:w="9366"/>
          </w:cols>
          <w:pgMar w:left="1440" w:top="954" w:right="1440" w:bottom="348" w:gutter="0" w:footer="0" w:header="0"/>
          <w:type w:val="continuous"/>
        </w:sectPr>
      </w:pPr>
    </w:p>
    <w:bookmarkStart w:id="95" w:name="page96"/>
    <w:bookmarkEnd w:id="95"/>
    <w:p>
      <w:pPr>
        <w:ind w:left="480" w:right="6" w:hanging="480"/>
        <w:spacing w:after="0" w:line="245"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Parent Equity Award represents a grant made to the applicable recipient on May 15, 2019, and which vests ratably on each of the first five (5) anniversaries of the date of grant.</w:t>
      </w:r>
    </w:p>
    <w:p>
      <w:pPr>
        <w:spacing w:after="0" w:line="17"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Parent Equity Award represents a grant made to the applicable recipient on July 24, 2020, and which vests ratably on each of the first five (5) anniversaries of the date of grant.</w:t>
      </w:r>
    </w:p>
    <w:p>
      <w:pPr>
        <w:spacing w:after="0" w:line="17"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Parent Equity Award represents a grant made to the applicable recipient on August 4, 2020, and which vests ratably on each of the first five (5) anniversaries of the date of grant.</w:t>
      </w:r>
    </w:p>
    <w:p>
      <w:pPr>
        <w:spacing w:after="0" w:line="17"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4, 2022, the Company granted 25,000 Restricted Stock Units to the recipient, which vest 100% on October 3, 2023, subject to continued employment with the Company on applicable vesting date.</w:t>
      </w:r>
    </w:p>
    <w:p>
      <w:pPr>
        <w:spacing w:after="0" w:line="17"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4, 2022, the Company granted 10,000 Restricted Stock Units to the recipient, which vest 100% on October 3, 2023, subject to continued employment with the Company on applicable vesting date.</w:t>
      </w:r>
    </w:p>
    <w:p>
      <w:pPr>
        <w:spacing w:after="0" w:line="17" w:lineRule="exact"/>
        <w:rPr>
          <w:rFonts w:ascii="Times New Roman" w:cs="Times New Roman" w:eastAsia="Times New Roman" w:hAnsi="Times New Roman"/>
          <w:sz w:val="18"/>
          <w:szCs w:val="18"/>
          <w:color w:val="auto"/>
        </w:rPr>
      </w:pPr>
    </w:p>
    <w:p>
      <w:pPr>
        <w:jc w:val="both"/>
        <w:ind w:left="480" w:right="6" w:hanging="480"/>
        <w:spacing w:after="0" w:line="250"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unvested restricted stock units was calculated by multiplying the number of shares underlying such awards outstanding as of December 31, 2022 by the closing price of Class A Common Stock as of December 31, 2022, which was $7.28 per share (the “</w:t>
      </w:r>
      <w:r>
        <w:rPr>
          <w:rFonts w:ascii="Times New Roman" w:cs="Times New Roman" w:eastAsia="Times New Roman" w:hAnsi="Times New Roman"/>
          <w:sz w:val="18"/>
          <w:szCs w:val="18"/>
          <w:b w:val="1"/>
          <w:bCs w:val="1"/>
          <w:i w:val="1"/>
          <w:iCs w:val="1"/>
          <w:color w:val="auto"/>
        </w:rPr>
        <w:t>Closing Price</w:t>
      </w:r>
      <w:r>
        <w:rPr>
          <w:rFonts w:ascii="Times New Roman" w:cs="Times New Roman" w:eastAsia="Times New Roman" w:hAnsi="Times New Roman"/>
          <w:sz w:val="18"/>
          <w:szCs w:val="18"/>
          <w:color w:val="auto"/>
        </w:rPr>
        <w:t>”).</w:t>
      </w:r>
    </w:p>
    <w:p>
      <w:pPr>
        <w:spacing w:after="0" w:line="13" w:lineRule="exact"/>
        <w:rPr>
          <w:rFonts w:ascii="Times New Roman" w:cs="Times New Roman" w:eastAsia="Times New Roman" w:hAnsi="Times New Roman"/>
          <w:sz w:val="18"/>
          <w:szCs w:val="18"/>
          <w:color w:val="auto"/>
        </w:rPr>
      </w:pPr>
    </w:p>
    <w:p>
      <w:pPr>
        <w:jc w:val="both"/>
        <w:ind w:left="480" w:right="6" w:hanging="480"/>
        <w:spacing w:after="0" w:line="251"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Market Value of Parent Equity Awards represents the value of the Profits Portion assuming that (i) all of the equity or assets or OPAL Fuels LLC was sold for fair market value on December 31, 2022, (ii) the proceeds of such sale were </w:t>
      </w:r>
      <w:r>
        <w:rPr>
          <w:rFonts w:ascii="Times New Roman" w:cs="Times New Roman" w:eastAsia="Times New Roman" w:hAnsi="Times New Roman"/>
          <w:sz w:val="20"/>
          <w:szCs w:val="20"/>
          <w:color w:val="auto"/>
        </w:rPr>
        <w:t>distributed to the equity holders of OPAL Fuels LLC (which, in turn distributed such amounts to their owners), and (iii) Fortistar received full repayment of its capital contributed to OPAL Fuels LLC.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 Table</w:t>
      </w:r>
    </w:p>
    <w:p>
      <w:pPr>
        <w:spacing w:after="0" w:line="17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Director Compensation Table sets forth the compensation of our Directors for the fiscal year ending 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earned or</w:t>
            </w: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0"/>
        </w:trPr>
        <w:tc>
          <w:tcPr>
            <w:tcW w:w="8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4920" w:type="dxa"/>
            <w:vAlign w:val="bottom"/>
            <w:tcBorders>
              <w:bottom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(2)</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ind w:right="205"/>
              <w:spacing w:after="0" w:line="201" w:lineRule="exact"/>
              <w:rPr>
                <w:sz w:val="20"/>
                <w:szCs w:val="20"/>
                <w:color w:val="auto"/>
              </w:rPr>
            </w:pPr>
            <w:r>
              <w:rPr>
                <w:rFonts w:ascii="Times New Roman" w:cs="Times New Roman" w:eastAsia="Times New Roman" w:hAnsi="Times New Roman"/>
                <w:sz w:val="18"/>
                <w:szCs w:val="18"/>
                <w:b w:val="1"/>
                <w:bCs w:val="1"/>
                <w:color w:val="auto"/>
              </w:rPr>
              <w:t>Total ($)</w:t>
            </w:r>
          </w:p>
        </w:tc>
      </w:t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Mark Comora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30,326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80,393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110,719</w:t>
            </w:r>
          </w:p>
        </w:tc>
      </w:tr>
      <w:tr>
        <w:trPr>
          <w:trHeight w:val="26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Nadeem Nisar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80,393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109,469</w:t>
            </w:r>
          </w:p>
        </w:tc>
      </w:tr>
      <w:tr>
        <w:trPr>
          <w:trHeight w:val="26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Scott Dols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26,576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80,393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106,969</w:t>
            </w:r>
          </w:p>
        </w:tc>
      </w:tr>
      <w:tr>
        <w:trPr>
          <w:trHeight w:val="26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Betsy Battle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26,576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80,393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106,969</w:t>
            </w:r>
          </w:p>
        </w:tc>
      </w:tr>
      <w:tr>
        <w:trPr>
          <w:trHeight w:val="26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Marco F Gatti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33,220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80,393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113,613</w:t>
            </w:r>
          </w:p>
        </w:tc>
      </w:tr>
      <w:tr>
        <w:trPr>
          <w:trHeight w:val="26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Kevin Fogarty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35,720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80,393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116,113</w:t>
            </w:r>
          </w:p>
        </w:tc>
      </w:tr>
      <w:tr>
        <w:trPr>
          <w:trHeight w:val="26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Ashok Vemuri . . . . . . . . . . . . . . . . . . . . . . . . . . . . . . . . . . . . . .</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37,935</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80,393</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118,328</w:t>
            </w:r>
          </w:p>
        </w:tc>
      </w:tr>
      <w:tr>
        <w:trPr>
          <w:trHeight w:val="241"/>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 . . . . . . . . . . . . . . . . . . . . . . . . . . . . . . . . . . . . . . .</w:t>
            </w:r>
            <w:r>
              <w:rPr>
                <w:rFonts w:ascii="Times New Roman" w:cs="Times New Roman" w:eastAsia="Times New Roman" w:hAnsi="Times New Roman"/>
                <w:sz w:val="20"/>
                <w:szCs w:val="20"/>
                <w:b w:val="1"/>
                <w:bCs w:val="1"/>
                <w:color w:val="auto"/>
              </w:rPr>
              <w:t>Total</w:t>
            </w:r>
            <w:r>
              <w:rPr>
                <w:rFonts w:ascii="Times New Roman" w:cs="Times New Roman" w:eastAsia="Times New Roman" w:hAnsi="Times New Roman"/>
                <w:sz w:val="20"/>
                <w:szCs w:val="20"/>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219,429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562,751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782,180</w:t>
            </w:r>
          </w:p>
        </w:tc>
      </w:tr>
      <w:tr>
        <w:trPr>
          <w:trHeight w:val="20"/>
        </w:trPr>
        <w:tc>
          <w:tcPr>
            <w:tcW w:w="8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4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are prorated for the fees earned from July 21, 2022 when the Company went public.</w:t>
      </w:r>
    </w:p>
    <w:p>
      <w:pPr>
        <w:spacing w:after="0" w:line="21" w:lineRule="exact"/>
        <w:rPr>
          <w:rFonts w:ascii="Times New Roman" w:cs="Times New Roman" w:eastAsia="Times New Roman" w:hAnsi="Times New Roman"/>
          <w:sz w:val="18"/>
          <w:szCs w:val="18"/>
          <w:color w:val="auto"/>
        </w:rPr>
      </w:pPr>
    </w:p>
    <w:p>
      <w:pPr>
        <w:jc w:val="both"/>
        <w:ind w:left="480" w:right="6" w:hanging="480"/>
        <w:spacing w:after="0" w:line="252" w:lineRule="auto"/>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4, 2022, the Company granted 10,125 time-based restricted stock units convertible into Class A common stock to each of the non-employee directors. The amounts shown above reflect the aggregate grant date fair value of such awards computed in accordance with the FASB›s ASC Topic 718. The assumptions used in calculating these amounts are incorporated herein by reference to Note 17.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xml:space="preserve"> to the Company’s consolidated financial statements, set forth elsewhere in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Narrative to Director Compensation Table</w:t>
      </w:r>
    </w:p>
    <w:p>
      <w:pPr>
        <w:spacing w:after="0" w:line="15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Prior to the closing of the Business Combination, none of the members of our board received any compensation for services as a director. As directors on our board post-Business Combination, all non-employee directors are paid as members of our board, and, if applicable, as members of any committee of our board, certain annual retainers as determined by our board.</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non-employee director compensation program has been approved for the fiscal year 2022:</w:t>
      </w:r>
    </w:p>
    <w:p>
      <w:pPr>
        <w:spacing w:after="0" w:line="15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sectPr>
          <w:pgSz w:w="12240" w:h="15846" w:orient="portrait"/>
          <w:cols w:equalWidth="0" w:num="1">
            <w:col w:w="9366"/>
          </w:cols>
          <w:pgMar w:left="1440" w:top="95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84</w:t>
      </w:r>
    </w:p>
    <w:p>
      <w:pPr>
        <w:sectPr>
          <w:pgSz w:w="12240" w:h="15846" w:orient="portrait"/>
          <w:cols w:equalWidth="0" w:num="1">
            <w:col w:w="9366"/>
          </w:cols>
          <w:pgMar w:left="1440" w:top="958" w:right="1440" w:bottom="348" w:gutter="0" w:footer="0" w:header="0"/>
          <w:type w:val="continuous"/>
        </w:sectPr>
      </w:pPr>
    </w:p>
    <w:bookmarkStart w:id="96" w:name="page97"/>
    <w:bookmarkEnd w:id="96"/>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an annual basis, each non-employee director shall be entitled to receive an equity award in the form of restricted stock units of OPAL Fuels. The number of shares subject to such awards shall be determined by dividing $135,000 by the Fair Market Value (as defined in our 2022 Omnibus Equity Incentive Plan (or its successor plan)) of our common stock on the date of grant of such award.</w:t>
      </w:r>
    </w:p>
    <w:p>
      <w:pPr>
        <w:spacing w:after="0" w:line="169"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Each non-employee director will also be reimbursed for reasonable travel and other business expenses incurred in connection with attending meetings of our board and its committees.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Our Compensation Committee consists of Mark Comora, Nadeem Nisar, Kevin M.Fogarty and Ashok Vemuri, none of whom were at any time during the year ended December 31, 2022 an officer or employee of the Company or any of our subsidiaries.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250" w:lineRule="exact"/>
        <w:rPr>
          <w:sz w:val="20"/>
          <w:szCs w:val="20"/>
          <w:color w:val="auto"/>
        </w:rPr>
      </w:pPr>
    </w:p>
    <w:p>
      <w:pPr>
        <w:jc w:val="both"/>
        <w:ind w:left="960" w:right="6" w:hanging="959"/>
        <w:spacing w:after="0" w:line="244"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have one active equity compensation plan, our Equity Incentive Plan. The Equity Incentive Plan provides for the grant of stock options (incentive and non-qualified), stock awards (including RSUs), stock appreciation rights and cash awards. We have reserved an aggregate 19,811,726 shares of common stock for issuance under our Equity Incentive Plan, plus an annual increase on the first day of each calendar year during the 10-year term of the Equity Incentive Plan, equal to the lesser of (i) five percent (5%) of the shares of our Class A common stock, Class B common stock, Class C common stock and Class D common stock outstanding (on an as-converted basis) on the final day of the immediately preceding calendar year and (ii) such lesser number of shares as determined by our Board, subject to adjustment for stock dividends, reorganizations, or other changes in our capital structure. Shares underlying any portion of an award that is cancelled, terminates, expires, or lapses for any reason are generally returned to the available pool under the Equity Incentive Plan. Shares attributable to (a) shares of common stock upon the exercise of incentive stock options that are subsequently forfeited or repurchased, or (b) awards transferred under any award transfer program, shall not again be available for grant under the Equity Incentive Plan.</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sets forth the number of shares of common stock subject to outstanding options, RSUs, warrants and other convertible securities into share rights, the weighted-average exercise price of outstanding options, and the number of shares remaining available for future award grants as of December 31,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Number of</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 remaining</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(A) 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for future issuance</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securities to be issued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upon exercise of</w:t>
            </w:r>
          </w:p>
        </w:tc>
        <w:tc>
          <w:tcPr>
            <w:tcW w:w="180" w:type="dxa"/>
            <w:vAlign w:val="bottom"/>
          </w:tcPr>
          <w:p>
            <w:pPr>
              <w:spacing w:after="0"/>
              <w:rPr>
                <w:sz w:val="17"/>
                <w:szCs w:val="17"/>
                <w:color w:val="auto"/>
              </w:rPr>
            </w:pPr>
          </w:p>
        </w:tc>
        <w:tc>
          <w:tcPr>
            <w:tcW w:w="17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(B) Weighted-average</w:t>
            </w: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outstanding restricted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ind w:right="5"/>
              <w:spacing w:after="0" w:line="200" w:lineRule="exact"/>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stock units, options,</w:t>
            </w:r>
          </w:p>
        </w:tc>
        <w:tc>
          <w:tcPr>
            <w:tcW w:w="180" w:type="dxa"/>
            <w:vAlign w:val="bottom"/>
          </w:tcPr>
          <w:p>
            <w:pPr>
              <w:spacing w:after="0"/>
              <w:rPr>
                <w:sz w:val="17"/>
                <w:szCs w:val="17"/>
                <w:color w:val="auto"/>
              </w:rPr>
            </w:pPr>
          </w:p>
        </w:tc>
        <w:tc>
          <w:tcPr>
            <w:tcW w:w="17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80" w:type="dxa"/>
            <w:vAlign w:val="bottom"/>
          </w:tcPr>
          <w:p>
            <w:pPr>
              <w:spacing w:after="0"/>
              <w:rPr>
                <w:sz w:val="17"/>
                <w:szCs w:val="17"/>
                <w:color w:val="auto"/>
              </w:rPr>
            </w:pPr>
          </w:p>
        </w:tc>
        <w:tc>
          <w:tcPr>
            <w:tcW w:w="17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19"/>
        </w:trPr>
        <w:tc>
          <w:tcPr>
            <w:tcW w:w="34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Pr>
          <w:p>
            <w:pPr>
              <w:spacing w:after="0"/>
              <w:rPr>
                <w:sz w:val="19"/>
                <w:szCs w:val="19"/>
                <w:color w:val="auto"/>
              </w:rPr>
            </w:pPr>
          </w:p>
        </w:tc>
        <w:tc>
          <w:tcPr>
            <w:tcW w:w="174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8"/>
                <w:szCs w:val="18"/>
                <w:b w:val="1"/>
                <w:bCs w:val="1"/>
                <w:color w:val="auto"/>
                <w:w w:val="98"/>
              </w:rPr>
              <w:t>warrants and rights</w:t>
            </w:r>
            <w:r>
              <w:rPr>
                <w:rFonts w:ascii="Times New Roman" w:cs="Times New Roman" w:eastAsia="Times New Roman" w:hAnsi="Times New Roman"/>
                <w:sz w:val="20"/>
                <w:szCs w:val="20"/>
                <w:b w:val="1"/>
                <w:bCs w:val="1"/>
                <w:color w:val="auto"/>
                <w:w w:val="98"/>
                <w:vertAlign w:val="superscript"/>
              </w:rPr>
              <w:t>(1)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5"/>
              <w:spacing w:after="0" w:line="201" w:lineRule="exact"/>
              <w:rPr>
                <w:sz w:val="20"/>
                <w:szCs w:val="20"/>
                <w:color w:val="auto"/>
              </w:rPr>
            </w:pPr>
            <w:r>
              <w:rPr>
                <w:rFonts w:ascii="Times New Roman" w:cs="Times New Roman" w:eastAsia="Times New Roman" w:hAnsi="Times New Roman"/>
                <w:sz w:val="18"/>
                <w:szCs w:val="18"/>
                <w:b w:val="1"/>
                <w:bCs w:val="1"/>
                <w:color w:val="auto"/>
              </w:rPr>
              <w:t>warrants and rights</w:t>
            </w:r>
          </w:p>
        </w:tc>
        <w:tc>
          <w:tcPr>
            <w:tcW w:w="180" w:type="dxa"/>
            <w:vAlign w:val="bottom"/>
          </w:tcPr>
          <w:p>
            <w:pPr>
              <w:spacing w:after="0"/>
              <w:rPr>
                <w:sz w:val="19"/>
                <w:szCs w:val="19"/>
                <w:color w:val="auto"/>
              </w:rPr>
            </w:pPr>
          </w:p>
        </w:tc>
        <w:tc>
          <w:tcPr>
            <w:tcW w:w="17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Column (A) )</w:t>
            </w:r>
          </w:p>
        </w:tc>
      </w:tr>
      <w:tr>
        <w:trPr>
          <w:trHeight w:val="235"/>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 approved by</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23"/>
        </w:trPr>
        <w:tc>
          <w:tcPr>
            <w:tcW w:w="366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stock holders . . . . . . . . . . . . . . . . . . . . . .</w:t>
            </w:r>
          </w:p>
        </w:tc>
        <w:tc>
          <w:tcPr>
            <w:tcW w:w="1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422,349</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ind w:left="144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19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19,389,377</w:t>
            </w:r>
          </w:p>
        </w:tc>
      </w:tr>
      <w:tr>
        <w:trPr>
          <w:trHeight w:val="257"/>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not approved by</w:t>
            </w:r>
          </w:p>
        </w:tc>
        <w:tc>
          <w:tcPr>
            <w:tcW w:w="1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23"/>
        </w:trPr>
        <w:tc>
          <w:tcPr>
            <w:tcW w:w="366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stockholders . . . . . . . . . . . . . . . . . . . . . .</w:t>
            </w:r>
          </w:p>
        </w:tc>
        <w:tc>
          <w:tcPr>
            <w:tcW w:w="1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ind w:left="144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75" w:lineRule="exact"/>
        <w:rPr>
          <w:sz w:val="20"/>
          <w:szCs w:val="20"/>
          <w:color w:val="auto"/>
        </w:rPr>
      </w:pPr>
    </w:p>
    <w:p>
      <w:pPr>
        <w:ind w:left="480" w:right="6" w:hanging="480"/>
        <w:spacing w:after="0" w:line="245"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422,349 shares subject to outstanding RSUs under the Equity Incentive Plan. The weighted average exercise price in column (B) does not take these RSUs into account.</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85</w:t>
      </w:r>
    </w:p>
    <w:p>
      <w:pPr>
        <w:sectPr>
          <w:pgSz w:w="12240" w:h="15846" w:orient="portrait"/>
          <w:cols w:equalWidth="0" w:num="1">
            <w:col w:w="9366"/>
          </w:cols>
          <w:pgMar w:left="1440" w:top="954" w:right="1440" w:bottom="348" w:gutter="0" w:footer="0" w:header="0"/>
          <w:type w:val="continuous"/>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sets forth information known to the Company regarding the beneficial ownership of our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A common stock and Class D common stock by:</w:t>
      </w:r>
    </w:p>
    <w:p>
      <w:pPr>
        <w:spacing w:after="0" w:line="137" w:lineRule="exact"/>
        <w:rPr>
          <w:sz w:val="20"/>
          <w:szCs w:val="20"/>
          <w:color w:val="auto"/>
        </w:rPr>
      </w:pPr>
    </w:p>
    <w:p>
      <w:pPr>
        <w:ind w:left="960" w:right="2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who is the beneficial owner of more than 5% of the outstanding shares of our Class A common stock or our Class D common stock;</w:t>
      </w:r>
    </w:p>
    <w:p>
      <w:pPr>
        <w:spacing w:after="0" w:line="12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Company’s named executive officers and directors; and</w:t>
      </w:r>
    </w:p>
    <w:p>
      <w:pPr>
        <w:spacing w:after="0" w:line="13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Company’s executive officers and directors as a group.</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annual report.</w:t>
      </w:r>
    </w:p>
    <w:p>
      <w:pPr>
        <w:spacing w:after="0" w:line="172" w:lineRule="exact"/>
        <w:rPr>
          <w:sz w:val="20"/>
          <w:szCs w:val="20"/>
          <w:color w:val="auto"/>
        </w:rPr>
      </w:pPr>
    </w:p>
    <w:p>
      <w:pPr>
        <w:jc w:val="both"/>
        <w:ind w:right="20" w:firstLine="480"/>
        <w:spacing w:after="0" w:line="268" w:lineRule="auto"/>
        <w:rPr>
          <w:sz w:val="20"/>
          <w:szCs w:val="20"/>
          <w:color w:val="auto"/>
        </w:rPr>
      </w:pPr>
      <w:r>
        <w:rPr>
          <w:rFonts w:ascii="Times New Roman" w:cs="Times New Roman" w:eastAsia="Times New Roman" w:hAnsi="Times New Roman"/>
          <w:sz w:val="19"/>
          <w:szCs w:val="19"/>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52"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The beneficial ownership of Class A common stock is based on 27,644,699 shares of our Class A common stock issued and outstanding and 144,399,037 shares of our Class D common stock issued and outstanding as of March 27, 2023. When computing the number of shares of common stock beneficially owned and the percentage ownership of a person, we include shares of common stock underlying securities held by that person that are convertible or exercisable or will become convertible or exercisable within 60 days of March 27, 2023, but we do not include those shares of common stock underlying such securities when computing the percentage ownership of any other person.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0"/>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rPr>
              <w:t>Class A</w:t>
            </w:r>
          </w:p>
        </w:tc>
        <w:tc>
          <w:tcPr>
            <w:tcW w:w="1140" w:type="dxa"/>
            <w:vAlign w:val="bottom"/>
            <w:gridSpan w:val="4"/>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1260" w:type="dxa"/>
            <w:vAlign w:val="bottom"/>
            <w:gridSpan w:val="2"/>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w w:val="99"/>
              </w:rPr>
              <w:t>Class D</w:t>
            </w:r>
          </w:p>
        </w:tc>
        <w:tc>
          <w:tcPr>
            <w:tcW w:w="1120" w:type="dxa"/>
            <w:vAlign w:val="bottom"/>
            <w:gridSpan w:val="4"/>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rPr>
              <w:t>Class 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common</w:t>
            </w:r>
          </w:p>
        </w:tc>
        <w:tc>
          <w:tcPr>
            <w:tcW w:w="1140" w:type="dxa"/>
            <w:vAlign w:val="bottom"/>
            <w:gridSpan w:val="4"/>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w w:val="99"/>
              </w:rPr>
              <w:t>common</w:t>
            </w:r>
          </w:p>
        </w:tc>
        <w:tc>
          <w:tcPr>
            <w:tcW w:w="1260" w:type="dxa"/>
            <w:vAlign w:val="bottom"/>
            <w:gridSpan w:val="2"/>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w w:val="99"/>
              </w:rPr>
              <w:t>common</w:t>
            </w:r>
          </w:p>
        </w:tc>
        <w:tc>
          <w:tcPr>
            <w:tcW w:w="1120" w:type="dxa"/>
            <w:vAlign w:val="bottom"/>
            <w:gridSpan w:val="4"/>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common</w:t>
            </w:r>
          </w:p>
        </w:tc>
        <w:tc>
          <w:tcPr>
            <w:tcW w:w="7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w w:val="99"/>
              </w:rPr>
              <w:t>stock</w:t>
            </w:r>
          </w:p>
        </w:tc>
        <w:tc>
          <w:tcPr>
            <w:tcW w:w="1140" w:type="dxa"/>
            <w:vAlign w:val="bottom"/>
            <w:gridSpan w:val="4"/>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stock</w:t>
            </w:r>
          </w:p>
        </w:tc>
        <w:tc>
          <w:tcPr>
            <w:tcW w:w="126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stock</w:t>
            </w:r>
          </w:p>
        </w:tc>
        <w:tc>
          <w:tcPr>
            <w:tcW w:w="1120" w:type="dxa"/>
            <w:vAlign w:val="bottom"/>
            <w:gridSpan w:val="4"/>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w w:val="99"/>
              </w:rPr>
              <w:t>stock</w:t>
            </w:r>
          </w:p>
        </w:tc>
        <w:tc>
          <w:tcPr>
            <w:tcW w:w="940" w:type="dxa"/>
            <w:vAlign w:val="bottom"/>
            <w:gridSpan w:val="4"/>
          </w:tcPr>
          <w:p>
            <w:pPr>
              <w:jc w:val="center"/>
              <w:ind w:right="140"/>
              <w:spacing w:after="0" w:line="200" w:lineRule="exact"/>
              <w:rPr>
                <w:sz w:val="20"/>
                <w:szCs w:val="20"/>
                <w:color w:val="auto"/>
              </w:rPr>
            </w:pPr>
            <w:r>
              <w:rPr>
                <w:rFonts w:ascii="Times New Roman" w:cs="Times New Roman" w:eastAsia="Times New Roman" w:hAnsi="Times New Roman"/>
                <w:sz w:val="18"/>
                <w:szCs w:val="18"/>
                <w:b w:val="1"/>
                <w:bCs w:val="1"/>
                <w:color w:val="auto"/>
                <w:w w:val="92"/>
              </w:rPr>
              <w:t>of Total</w:t>
            </w:r>
          </w:p>
        </w:tc>
      </w:tr>
      <w:tr>
        <w:trPr>
          <w:trHeight w:val="200"/>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beneficially</w:t>
            </w:r>
          </w:p>
        </w:tc>
        <w:tc>
          <w:tcPr>
            <w:tcW w:w="1140" w:type="dxa"/>
            <w:vAlign w:val="bottom"/>
            <w:gridSpan w:val="4"/>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rPr>
              <w:t>beneficially</w:t>
            </w:r>
          </w:p>
        </w:tc>
        <w:tc>
          <w:tcPr>
            <w:tcW w:w="1260" w:type="dxa"/>
            <w:vAlign w:val="bottom"/>
            <w:gridSpan w:val="2"/>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rPr>
              <w:t>beneficially</w:t>
            </w:r>
          </w:p>
        </w:tc>
        <w:tc>
          <w:tcPr>
            <w:tcW w:w="1120" w:type="dxa"/>
            <w:vAlign w:val="bottom"/>
            <w:gridSpan w:val="4"/>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beneficially</w:t>
            </w:r>
          </w:p>
        </w:tc>
        <w:tc>
          <w:tcPr>
            <w:tcW w:w="940" w:type="dxa"/>
            <w:vAlign w:val="bottom"/>
            <w:gridSpan w:val="4"/>
          </w:tcPr>
          <w:p>
            <w:pPr>
              <w:jc w:val="center"/>
              <w:ind w:right="140"/>
              <w:spacing w:after="0" w:line="200" w:lineRule="exact"/>
              <w:rPr>
                <w:sz w:val="20"/>
                <w:szCs w:val="20"/>
                <w:color w:val="auto"/>
              </w:rPr>
            </w:pPr>
            <w:r>
              <w:rPr>
                <w:rFonts w:ascii="Times New Roman" w:cs="Times New Roman" w:eastAsia="Times New Roman" w:hAnsi="Times New Roman"/>
                <w:sz w:val="18"/>
                <w:szCs w:val="18"/>
                <w:b w:val="1"/>
                <w:bCs w:val="1"/>
                <w:color w:val="auto"/>
                <w:w w:val="92"/>
              </w:rPr>
              <w:t>Voting</w:t>
            </w:r>
          </w:p>
        </w:tc>
      </w:tr>
      <w:tr>
        <w:trPr>
          <w:trHeight w:val="219"/>
        </w:trPr>
        <w:tc>
          <w:tcPr>
            <w:tcW w:w="362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18"/>
                <w:szCs w:val="18"/>
                <w:b w:val="1"/>
                <w:bCs w:val="1"/>
                <w:color w:val="auto"/>
              </w:rPr>
              <w:t>Name and Address of Beneficial Owners</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9"/>
                <w:szCs w:val="19"/>
                <w:color w:val="auto"/>
              </w:rPr>
            </w:pPr>
          </w:p>
        </w:tc>
        <w:tc>
          <w:tcPr>
            <w:tcW w:w="9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5"/>
              </w:rPr>
              <w:t>owned</w:t>
            </w:r>
          </w:p>
        </w:tc>
        <w:tc>
          <w:tcPr>
            <w:tcW w:w="180" w:type="dxa"/>
            <w:vAlign w:val="bottom"/>
          </w:tcPr>
          <w:p>
            <w:pPr>
              <w:spacing w:after="0"/>
              <w:rPr>
                <w:sz w:val="19"/>
                <w:szCs w:val="19"/>
                <w:color w:val="auto"/>
              </w:rPr>
            </w:pPr>
          </w:p>
        </w:tc>
        <w:tc>
          <w:tcPr>
            <w:tcW w:w="960" w:type="dxa"/>
            <w:vAlign w:val="bottom"/>
            <w:tcBorders>
              <w:bottom w:val="single" w:sz="8" w:color="auto"/>
            </w:tcBorders>
            <w:gridSpan w:val="2"/>
          </w:tcPr>
          <w:p>
            <w:pPr>
              <w:jc w:val="center"/>
              <w:ind w:right="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owned</w:t>
            </w:r>
          </w:p>
        </w:tc>
        <w:tc>
          <w:tcPr>
            <w:tcW w:w="180" w:type="dxa"/>
            <w:vAlign w:val="bottom"/>
            <w:gridSpan w:val="2"/>
          </w:tcPr>
          <w:p>
            <w:pPr>
              <w:spacing w:after="0"/>
              <w:rPr>
                <w:sz w:val="19"/>
                <w:szCs w:val="19"/>
                <w:color w:val="auto"/>
              </w:rPr>
            </w:pPr>
          </w:p>
        </w:tc>
        <w:tc>
          <w:tcPr>
            <w:tcW w:w="10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owned</w:t>
            </w:r>
          </w:p>
        </w:tc>
        <w:tc>
          <w:tcPr>
            <w:tcW w:w="180" w:type="dxa"/>
            <w:vAlign w:val="bottom"/>
          </w:tcPr>
          <w:p>
            <w:pPr>
              <w:spacing w:after="0"/>
              <w:rPr>
                <w:sz w:val="19"/>
                <w:szCs w:val="19"/>
                <w:color w:val="auto"/>
              </w:rPr>
            </w:pPr>
          </w:p>
        </w:tc>
        <w:tc>
          <w:tcPr>
            <w:tcW w:w="940" w:type="dxa"/>
            <w:vAlign w:val="bottom"/>
            <w:tcBorders>
              <w:bottom w:val="single" w:sz="8" w:color="auto"/>
            </w:tcBorders>
            <w:gridSpan w:val="3"/>
          </w:tcPr>
          <w:p>
            <w:pPr>
              <w:jc w:val="center"/>
              <w:ind w:right="20"/>
              <w:spacing w:after="0" w:line="201" w:lineRule="exact"/>
              <w:rPr>
                <w:sz w:val="20"/>
                <w:szCs w:val="20"/>
                <w:color w:val="auto"/>
              </w:rPr>
            </w:pPr>
            <w:r>
              <w:rPr>
                <w:rFonts w:ascii="Times New Roman" w:cs="Times New Roman" w:eastAsia="Times New Roman" w:hAnsi="Times New Roman"/>
                <w:sz w:val="18"/>
                <w:szCs w:val="18"/>
                <w:b w:val="1"/>
                <w:bCs w:val="1"/>
                <w:color w:val="auto"/>
                <w:w w:val="95"/>
              </w:rPr>
              <w:t>owned</w:t>
            </w:r>
          </w:p>
        </w:tc>
        <w:tc>
          <w:tcPr>
            <w:tcW w:w="180" w:type="dxa"/>
            <w:vAlign w:val="bottom"/>
          </w:tcPr>
          <w:p>
            <w:pPr>
              <w:spacing w:after="0"/>
              <w:rPr>
                <w:sz w:val="19"/>
                <w:szCs w:val="19"/>
                <w:color w:val="auto"/>
              </w:rPr>
            </w:pPr>
          </w:p>
        </w:tc>
        <w:tc>
          <w:tcPr>
            <w:tcW w:w="820" w:type="dxa"/>
            <w:vAlign w:val="bottom"/>
            <w:tcBorders>
              <w:bottom w:val="single" w:sz="8" w:color="auto"/>
            </w:tcBorders>
            <w:gridSpan w:val="3"/>
          </w:tcPr>
          <w:p>
            <w:pPr>
              <w:jc w:val="center"/>
              <w:ind w:right="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Power</w:t>
            </w:r>
          </w:p>
        </w:tc>
        <w:tc>
          <w:tcPr>
            <w:tcW w:w="120" w:type="dxa"/>
            <w:vAlign w:val="bottom"/>
          </w:tcPr>
          <w:p>
            <w:pPr>
              <w:spacing w:after="0"/>
              <w:rPr>
                <w:sz w:val="19"/>
                <w:szCs w:val="19"/>
                <w:color w:val="auto"/>
              </w:rPr>
            </w:pPr>
          </w:p>
        </w:tc>
      </w:tr>
      <w:tr>
        <w:trPr>
          <w:trHeight w:val="215"/>
        </w:trPr>
        <w:tc>
          <w:tcPr>
            <w:tcW w:w="380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i w:val="1"/>
                <w:iCs w:val="1"/>
                <w:color w:val="auto"/>
              </w:rPr>
              <w:t>Directors and officers: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Adam Comora . . . . . . . . . . . . . . . . . . . . . . . . .</w:t>
            </w:r>
          </w:p>
        </w:tc>
        <w:tc>
          <w:tcPr>
            <w:tcW w:w="112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Jonathan Maurer . . . . . . . . . . . . .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15,000</w:t>
            </w:r>
          </w:p>
        </w:tc>
        <w:tc>
          <w:tcPr>
            <w:tcW w:w="18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Scott Edelbach . . . . . . . . . . . . . . . . . . . . . . . .</w:t>
            </w:r>
          </w:p>
        </w:tc>
        <w:tc>
          <w:tcPr>
            <w:tcW w:w="112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John Coghlin . . . . . . . . . . . . . . . . . . . . . . . . . .</w:t>
            </w:r>
          </w:p>
        </w:tc>
        <w:tc>
          <w:tcPr>
            <w:tcW w:w="112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Marco F.Gatti . . . . . . . . . . . . . . . . . . . . . . . . .</w:t>
            </w:r>
          </w:p>
        </w:tc>
        <w:tc>
          <w:tcPr>
            <w:tcW w:w="112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Kevin M. Fogarty</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50,000</w:t>
            </w:r>
          </w:p>
        </w:tc>
        <w:tc>
          <w:tcPr>
            <w:tcW w:w="18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Betsy Battle . . . . . . . . . . . . . . . . . . . . . . . . . . .</w:t>
            </w:r>
          </w:p>
        </w:tc>
        <w:tc>
          <w:tcPr>
            <w:tcW w:w="112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Scott Dols . . . . . . . . . . . . . . . . . . . . . . . . . . . .</w:t>
            </w:r>
          </w:p>
        </w:tc>
        <w:tc>
          <w:tcPr>
            <w:tcW w:w="112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Mark Comora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880,600</w:t>
            </w:r>
          </w:p>
        </w:tc>
        <w:tc>
          <w:tcPr>
            <w:tcW w:w="180" w:type="dxa"/>
            <w:vAlign w:val="bottom"/>
          </w:tcPr>
          <w:p>
            <w:pPr>
              <w:spacing w:after="0"/>
              <w:rPr>
                <w:sz w:val="19"/>
                <w:szCs w:val="19"/>
                <w:color w:val="auto"/>
              </w:rPr>
            </w:pPr>
          </w:p>
        </w:tc>
        <w:tc>
          <w:tcPr>
            <w:tcW w:w="114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3.19%</w:t>
            </w:r>
          </w:p>
        </w:tc>
        <w:tc>
          <w:tcPr>
            <w:tcW w:w="10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144,399,037</w:t>
            </w:r>
          </w:p>
        </w:tc>
        <w:tc>
          <w:tcPr>
            <w:tcW w:w="180" w:type="dxa"/>
            <w:vAlign w:val="bottom"/>
          </w:tcPr>
          <w:p>
            <w:pPr>
              <w:spacing w:after="0"/>
              <w:rPr>
                <w:sz w:val="19"/>
                <w:szCs w:val="19"/>
                <w:color w:val="auto"/>
              </w:rPr>
            </w:pPr>
          </w:p>
        </w:tc>
        <w:tc>
          <w:tcPr>
            <w:tcW w:w="112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94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auto"/>
              </w:rPr>
              <w:t>96.43%</w:t>
            </w: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Nadeem Nisar . . . . . . . . . . . . . . .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10,000</w:t>
            </w:r>
          </w:p>
        </w:tc>
        <w:tc>
          <w:tcPr>
            <w:tcW w:w="18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80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Ashok Vemuri . . . . . . . . . . . . . . . . . . . . . . . . .</w:t>
            </w:r>
          </w:p>
        </w:tc>
        <w:tc>
          <w:tcPr>
            <w:tcW w:w="112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4"/>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197"/>
        </w:trPr>
        <w:tc>
          <w:tcPr>
            <w:tcW w:w="3800" w:type="dxa"/>
            <w:vAlign w:val="bottom"/>
            <w:gridSpan w:val="2"/>
          </w:tcPr>
          <w:p>
            <w:pPr>
              <w:spacing w:after="0" w:line="197" w:lineRule="exact"/>
              <w:rPr>
                <w:sz w:val="20"/>
                <w:szCs w:val="20"/>
                <w:color w:val="auto"/>
              </w:rPr>
            </w:pPr>
            <w:r>
              <w:rPr>
                <w:rFonts w:ascii="Times New Roman" w:cs="Times New Roman" w:eastAsia="Times New Roman" w:hAnsi="Times New Roman"/>
                <w:sz w:val="20"/>
                <w:szCs w:val="20"/>
                <w:color w:val="auto"/>
              </w:rPr>
              <w:t>All directors and officers as a group</w:t>
            </w:r>
          </w:p>
        </w:tc>
        <w:tc>
          <w:tcPr>
            <w:tcW w:w="9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3800" w:type="dxa"/>
            <w:vAlign w:val="bottom"/>
            <w:gridSpan w:val="2"/>
          </w:tcPr>
          <w:p>
            <w:pPr>
              <w:ind w:left="200"/>
              <w:spacing w:after="0" w:line="225" w:lineRule="exact"/>
              <w:rPr>
                <w:sz w:val="20"/>
                <w:szCs w:val="20"/>
                <w:color w:val="auto"/>
              </w:rPr>
            </w:pPr>
            <w:r>
              <w:rPr>
                <w:rFonts w:ascii="Times New Roman" w:cs="Times New Roman" w:eastAsia="Times New Roman" w:hAnsi="Times New Roman"/>
                <w:sz w:val="20"/>
                <w:szCs w:val="20"/>
                <w:color w:val="auto"/>
              </w:rPr>
              <w:t>(15 persons)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961,923</w:t>
            </w:r>
          </w:p>
        </w:tc>
        <w:tc>
          <w:tcPr>
            <w:tcW w:w="180" w:type="dxa"/>
            <w:vAlign w:val="bottom"/>
          </w:tcPr>
          <w:p>
            <w:pPr>
              <w:spacing w:after="0"/>
              <w:rPr>
                <w:sz w:val="19"/>
                <w:szCs w:val="19"/>
                <w:color w:val="auto"/>
              </w:rPr>
            </w:pPr>
          </w:p>
        </w:tc>
        <w:tc>
          <w:tcPr>
            <w:tcW w:w="10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3.48%</w:t>
            </w:r>
          </w:p>
        </w:tc>
        <w:tc>
          <w:tcPr>
            <w:tcW w:w="120" w:type="dxa"/>
            <w:vAlign w:val="bottom"/>
          </w:tcPr>
          <w:p>
            <w:pPr>
              <w:spacing w:after="0"/>
              <w:rPr>
                <w:sz w:val="19"/>
                <w:szCs w:val="19"/>
                <w:color w:val="auto"/>
              </w:rPr>
            </w:pP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144,399,037</w:t>
            </w:r>
          </w:p>
        </w:tc>
        <w:tc>
          <w:tcPr>
            <w:tcW w:w="180" w:type="dxa"/>
            <w:vAlign w:val="bottom"/>
          </w:tcPr>
          <w:p>
            <w:pPr>
              <w:spacing w:after="0"/>
              <w:rPr>
                <w:sz w:val="19"/>
                <w:szCs w:val="19"/>
                <w:color w:val="auto"/>
              </w:rPr>
            </w:pPr>
          </w:p>
        </w:tc>
        <w:tc>
          <w:tcPr>
            <w:tcW w:w="1120" w:type="dxa"/>
            <w:vAlign w:val="bottom"/>
            <w:gridSpan w:val="4"/>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94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rPr>
              <w:t>96.44%</w:t>
            </w:r>
          </w:p>
        </w:tc>
      </w:tr>
      <w:tr>
        <w:trPr>
          <w:trHeight w:val="195"/>
        </w:trPr>
        <w:tc>
          <w:tcPr>
            <w:tcW w:w="3800" w:type="dxa"/>
            <w:vAlign w:val="bottom"/>
            <w:gridSpan w:val="2"/>
          </w:tcPr>
          <w:p>
            <w:pPr>
              <w:spacing w:after="0" w:line="195" w:lineRule="exact"/>
              <w:rPr>
                <w:sz w:val="20"/>
                <w:szCs w:val="20"/>
                <w:color w:val="auto"/>
              </w:rPr>
            </w:pPr>
            <w:r>
              <w:rPr>
                <w:rFonts w:ascii="Times New Roman" w:cs="Times New Roman" w:eastAsia="Times New Roman" w:hAnsi="Times New Roman"/>
                <w:sz w:val="20"/>
                <w:szCs w:val="20"/>
                <w:i w:val="1"/>
                <w:iCs w:val="1"/>
                <w:color w:val="auto"/>
              </w:rPr>
              <w:t>Five Percent Holders:</w:t>
            </w: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Entities affiliated with Mark Comora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880,600</w:t>
            </w:r>
          </w:p>
        </w:tc>
        <w:tc>
          <w:tcPr>
            <w:tcW w:w="180" w:type="dxa"/>
            <w:vAlign w:val="bottom"/>
          </w:tcPr>
          <w:p>
            <w:pPr>
              <w:spacing w:after="0"/>
              <w:rPr>
                <w:sz w:val="19"/>
                <w:szCs w:val="19"/>
                <w:color w:val="auto"/>
              </w:rPr>
            </w:pPr>
          </w:p>
        </w:tc>
        <w:tc>
          <w:tcPr>
            <w:tcW w:w="114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3.19%</w:t>
            </w:r>
          </w:p>
        </w:tc>
        <w:tc>
          <w:tcPr>
            <w:tcW w:w="10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144,399,037</w:t>
            </w:r>
          </w:p>
        </w:tc>
        <w:tc>
          <w:tcPr>
            <w:tcW w:w="180" w:type="dxa"/>
            <w:vAlign w:val="bottom"/>
          </w:tcPr>
          <w:p>
            <w:pPr>
              <w:spacing w:after="0"/>
              <w:rPr>
                <w:sz w:val="19"/>
                <w:szCs w:val="19"/>
                <w:color w:val="auto"/>
              </w:rPr>
            </w:pPr>
          </w:p>
        </w:tc>
        <w:tc>
          <w:tcPr>
            <w:tcW w:w="112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100%</w:t>
            </w:r>
          </w:p>
        </w:tc>
        <w:tc>
          <w:tcPr>
            <w:tcW w:w="94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auto"/>
              </w:rPr>
              <w:t>96.43%</w:t>
            </w: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ArcLight CTC Holdings II, L.P.</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20"/>
                <w:szCs w:val="20"/>
                <w:color w:val="auto"/>
              </w:rPr>
              <w:t xml:space="preserve">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8,251,324</w:t>
            </w:r>
          </w:p>
        </w:tc>
        <w:tc>
          <w:tcPr>
            <w:tcW w:w="180" w:type="dxa"/>
            <w:vAlign w:val="bottom"/>
          </w:tcPr>
          <w:p>
            <w:pPr>
              <w:spacing w:after="0"/>
              <w:rPr>
                <w:sz w:val="19"/>
                <w:szCs w:val="19"/>
                <w:color w:val="auto"/>
              </w:rPr>
            </w:pPr>
          </w:p>
        </w:tc>
        <w:tc>
          <w:tcPr>
            <w:tcW w:w="114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29.85%</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ARCC Beacon LLC</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0"/>
                <w:szCs w:val="20"/>
                <w:color w:val="auto"/>
              </w:rPr>
              <w:t xml:space="preserve"> . . . . . . . . .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3,059,533</w:t>
            </w:r>
          </w:p>
        </w:tc>
        <w:tc>
          <w:tcPr>
            <w:tcW w:w="180" w:type="dxa"/>
            <w:vAlign w:val="bottom"/>
          </w:tcPr>
          <w:p>
            <w:pPr>
              <w:spacing w:after="0"/>
              <w:rPr>
                <w:sz w:val="19"/>
                <w:szCs w:val="19"/>
                <w:color w:val="auto"/>
              </w:rPr>
            </w:pPr>
          </w:p>
        </w:tc>
        <w:tc>
          <w:tcPr>
            <w:tcW w:w="114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11.07%</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Mendocino Capital LLC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20"/>
                <w:szCs w:val="20"/>
                <w:color w:val="auto"/>
              </w:rPr>
              <w:t xml:space="preserve">  . . . . .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2,500,000</w:t>
            </w:r>
          </w:p>
        </w:tc>
        <w:tc>
          <w:tcPr>
            <w:tcW w:w="180" w:type="dxa"/>
            <w:vAlign w:val="bottom"/>
          </w:tcPr>
          <w:p>
            <w:pPr>
              <w:spacing w:after="0"/>
              <w:rPr>
                <w:sz w:val="19"/>
                <w:szCs w:val="19"/>
                <w:color w:val="auto"/>
              </w:rPr>
            </w:pPr>
          </w:p>
        </w:tc>
        <w:tc>
          <w:tcPr>
            <w:tcW w:w="114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9.04%</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Entities affiliated with Electron</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20"/>
                <w:szCs w:val="20"/>
                <w:color w:val="auto"/>
              </w:rPr>
              <w:t xml:space="preserve">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1,800,000</w:t>
            </w:r>
          </w:p>
        </w:tc>
        <w:tc>
          <w:tcPr>
            <w:tcW w:w="180" w:type="dxa"/>
            <w:vAlign w:val="bottom"/>
          </w:tcPr>
          <w:p>
            <w:pPr>
              <w:spacing w:after="0"/>
              <w:rPr>
                <w:sz w:val="19"/>
                <w:szCs w:val="19"/>
                <w:color w:val="auto"/>
              </w:rPr>
            </w:pPr>
          </w:p>
        </w:tc>
        <w:tc>
          <w:tcPr>
            <w:tcW w:w="114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6.51%</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Nyera II Limited</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20"/>
                <w:szCs w:val="20"/>
                <w:color w:val="auto"/>
              </w:rPr>
              <w:t xml:space="preserve"> . . . . . . . . . . . .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1,500,000</w:t>
            </w:r>
          </w:p>
        </w:tc>
        <w:tc>
          <w:tcPr>
            <w:tcW w:w="180" w:type="dxa"/>
            <w:vAlign w:val="bottom"/>
          </w:tcPr>
          <w:p>
            <w:pPr>
              <w:spacing w:after="0"/>
              <w:rPr>
                <w:sz w:val="19"/>
                <w:szCs w:val="19"/>
                <w:color w:val="auto"/>
              </w:rPr>
            </w:pPr>
          </w:p>
        </w:tc>
        <w:tc>
          <w:tcPr>
            <w:tcW w:w="114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5.43%</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Entities affiliated with Encompass Capital</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380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Advisors</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20"/>
                <w:szCs w:val="20"/>
                <w:color w:val="auto"/>
              </w:rPr>
              <w:t xml:space="preserve">  . . . . . . . . . . . . . . . . . . . . . . . . .</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2,983,139</w:t>
            </w:r>
          </w:p>
        </w:tc>
        <w:tc>
          <w:tcPr>
            <w:tcW w:w="180" w:type="dxa"/>
            <w:vAlign w:val="bottom"/>
          </w:tcPr>
          <w:p>
            <w:pPr>
              <w:spacing w:after="0"/>
              <w:rPr>
                <w:sz w:val="19"/>
                <w:szCs w:val="19"/>
                <w:color w:val="auto"/>
              </w:rPr>
            </w:pPr>
          </w:p>
        </w:tc>
        <w:tc>
          <w:tcPr>
            <w:tcW w:w="114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10.79%</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38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Zimmer Partners, LP</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20"/>
                <w:szCs w:val="20"/>
                <w:color w:val="auto"/>
              </w:rPr>
              <w:t xml:space="preserve"> . . . . . . . . . . . . . . . . . .</w:t>
            </w:r>
          </w:p>
        </w:tc>
        <w:tc>
          <w:tcPr>
            <w:tcW w:w="112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2,054,183</w:t>
            </w:r>
          </w:p>
        </w:tc>
        <w:tc>
          <w:tcPr>
            <w:tcW w:w="114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7.43%</w:t>
            </w:r>
          </w:p>
        </w:tc>
        <w:tc>
          <w:tcPr>
            <w:tcW w:w="12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2"/>
        </w:trPr>
        <w:tc>
          <w:tcPr>
            <w:tcW w:w="380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rPr>
              <w:t>Barclays PLC</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20"/>
                <w:szCs w:val="20"/>
                <w:color w:val="auto"/>
              </w:rPr>
              <w:t xml:space="preserve">  . . . . . . . . . . . . . . . . . . . . . . .</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4,085,122</w:t>
            </w:r>
          </w:p>
        </w:tc>
        <w:tc>
          <w:tcPr>
            <w:tcW w:w="180" w:type="dxa"/>
            <w:vAlign w:val="bottom"/>
          </w:tcPr>
          <w:p>
            <w:pPr>
              <w:spacing w:after="0"/>
              <w:rPr>
                <w:sz w:val="22"/>
                <w:szCs w:val="22"/>
                <w:color w:val="auto"/>
              </w:rPr>
            </w:pPr>
          </w:p>
        </w:tc>
        <w:tc>
          <w:tcPr>
            <w:tcW w:w="1140" w:type="dxa"/>
            <w:vAlign w:val="bottom"/>
            <w:gridSpan w:val="4"/>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14.78%</w:t>
            </w:r>
          </w:p>
        </w:tc>
        <w:tc>
          <w:tcPr>
            <w:tcW w:w="12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5588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44pt,2.4pt" o:allowincell="f" strokecolor="#000000" strokeweight="0.5pt"/>
            </w:pict>
          </mc:Fallback>
        </mc:AlternateContent>
      </w:r>
    </w:p>
    <w:p>
      <w:pPr>
        <w:spacing w:after="0" w:line="108" w:lineRule="exact"/>
        <w:rPr>
          <w:sz w:val="20"/>
          <w:szCs w:val="20"/>
          <w:color w:val="auto"/>
        </w:rPr>
      </w:pPr>
    </w:p>
    <w:p>
      <w:pPr>
        <w:ind w:left="480" w:hanging="48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1" w:lineRule="exact"/>
        <w:rPr>
          <w:sz w:val="20"/>
          <w:szCs w:val="20"/>
          <w:color w:val="auto"/>
        </w:rPr>
      </w:pPr>
    </w:p>
    <w:p>
      <w:pPr>
        <w:ind w:left="480" w:right="20" w:hanging="480"/>
        <w:spacing w:after="0" w:line="230" w:lineRule="auto"/>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directors and officers is One North Lexington Avenue, 14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White Plains, New York 10601.</w:t>
      </w:r>
    </w:p>
    <w:p>
      <w:pPr>
        <w:sectPr>
          <w:pgSz w:w="12240" w:h="15846" w:orient="portrait"/>
          <w:cols w:equalWidth="0" w:num="1">
            <w:col w:w="9380"/>
          </w:cols>
          <w:pgMar w:left="1440" w:top="947" w:right="1426" w:bottom="348" w:gutter="0" w:footer="0" w:header="0"/>
        </w:sect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6" w:orient="portrait"/>
          <w:cols w:equalWidth="0" w:num="1">
            <w:col w:w="9380"/>
          </w:cols>
          <w:pgMar w:left="1440" w:top="947" w:right="1426" w:bottom="348" w:gutter="0" w:footer="0" w:header="0"/>
          <w:type w:val="continuous"/>
        </w:sectPr>
      </w:pPr>
    </w:p>
    <w:bookmarkStart w:id="98" w:name="page99"/>
    <w:bookmarkEnd w:id="98"/>
    <w:p>
      <w:pPr>
        <w:ind w:left="480" w:hanging="48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held by GBBH Family Limited Partnership.</w:t>
      </w:r>
    </w:p>
    <w:p>
      <w:pPr>
        <w:spacing w:after="0" w:line="21" w:lineRule="exact"/>
        <w:rPr>
          <w:rFonts w:ascii="Times New Roman" w:cs="Times New Roman" w:eastAsia="Times New Roman" w:hAnsi="Times New Roman"/>
          <w:sz w:val="18"/>
          <w:szCs w:val="18"/>
          <w:color w:val="auto"/>
        </w:rPr>
      </w:pPr>
    </w:p>
    <w:p>
      <w:pPr>
        <w:jc w:val="both"/>
        <w:ind w:left="480" w:right="6" w:hanging="480"/>
        <w:spacing w:after="0" w:line="254" w:lineRule="auto"/>
        <w:tabs>
          <w:tab w:leader="none" w:pos="4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142,377,450 shares of Class D common stock owned of record by OPAL HoldCo, (ii) 2,021,587 shares of Class D common stock owned of record by Hillman and (iii) 880,600 shares of Class A common stock owned by Fortistar LLC (“</w:t>
      </w:r>
      <w:r>
        <w:rPr>
          <w:rFonts w:ascii="Times New Roman" w:cs="Times New Roman" w:eastAsia="Times New Roman" w:hAnsi="Times New Roman"/>
          <w:sz w:val="18"/>
          <w:szCs w:val="18"/>
          <w:b w:val="1"/>
          <w:bCs w:val="1"/>
          <w:i w:val="1"/>
          <w:iCs w:val="1"/>
          <w:color w:val="auto"/>
        </w:rPr>
        <w:t>Fortistar</w:t>
      </w:r>
      <w:r>
        <w:rPr>
          <w:rFonts w:ascii="Times New Roman" w:cs="Times New Roman" w:eastAsia="Times New Roman" w:hAnsi="Times New Roman"/>
          <w:sz w:val="18"/>
          <w:szCs w:val="18"/>
          <w:color w:val="auto"/>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 — Hillman Restructuring</w:t>
      </w:r>
      <w:r>
        <w:rPr>
          <w:rFonts w:ascii="Times New Roman" w:cs="Times New Roman" w:eastAsia="Times New Roman" w:hAnsi="Times New Roman"/>
          <w:sz w:val="18"/>
          <w:szCs w:val="18"/>
          <w:color w:val="auto"/>
        </w:rPr>
        <w:t>”. Shares of Class D common stock may be converted into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as further discussed in “Description of Securities — Common Stock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Class D common stock.” The</w:t>
      </w:r>
    </w:p>
    <w:p>
      <w:pPr>
        <w:spacing w:after="0" w:line="10" w:lineRule="exact"/>
        <w:rPr>
          <w:rFonts w:ascii="Times New Roman" w:cs="Times New Roman" w:eastAsia="Times New Roman" w:hAnsi="Times New Roman"/>
          <w:sz w:val="18"/>
          <w:szCs w:val="18"/>
          <w:color w:val="auto"/>
        </w:rPr>
      </w:pPr>
    </w:p>
    <w:p>
      <w:pPr>
        <w:ind w:left="480" w:right="6"/>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address of each of Mr. Comora, OPAL Holdco, Hillman and Fortistar is One North Lexington Avenue, 14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White Plains, New York 10601.</w:t>
      </w:r>
    </w:p>
    <w:p>
      <w:pPr>
        <w:spacing w:after="0" w:line="13"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302,187 restricted stock units issued to these individuals on October 3, 2022.</w:t>
      </w:r>
    </w:p>
    <w:p>
      <w:pPr>
        <w:spacing w:after="0" w:line="21" w:lineRule="exact"/>
        <w:rPr>
          <w:rFonts w:ascii="Times New Roman" w:cs="Times New Roman" w:eastAsia="Times New Roman" w:hAnsi="Times New Roman"/>
          <w:sz w:val="18"/>
          <w:szCs w:val="18"/>
          <w:color w:val="auto"/>
        </w:rPr>
      </w:pPr>
    </w:p>
    <w:p>
      <w:pPr>
        <w:jc w:val="both"/>
        <w:ind w:left="480" w:right="6" w:hanging="480"/>
        <w:spacing w:after="0" w:line="270" w:lineRule="auto"/>
        <w:tabs>
          <w:tab w:leader="none" w:pos="48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shares of Class A common stock held directly by ArcLight CTC Holdings II, L.P. (“</w:t>
      </w:r>
      <w:r>
        <w:rPr>
          <w:rFonts w:ascii="Times New Roman" w:cs="Times New Roman" w:eastAsia="Times New Roman" w:hAnsi="Times New Roman"/>
          <w:sz w:val="17"/>
          <w:szCs w:val="17"/>
          <w:b w:val="1"/>
          <w:bCs w:val="1"/>
          <w:i w:val="1"/>
          <w:iCs w:val="1"/>
          <w:color w:val="auto"/>
        </w:rPr>
        <w:t>Sponsor</w:t>
      </w:r>
      <w:r>
        <w:rPr>
          <w:rFonts w:ascii="Times New Roman" w:cs="Times New Roman" w:eastAsia="Times New Roman" w:hAnsi="Times New Roman"/>
          <w:sz w:val="17"/>
          <w:szCs w:val="17"/>
          <w:color w:val="auto"/>
        </w:rPr>
        <w:t>”).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parties hold shared voting and dispositive power over</w:t>
      </w:r>
    </w:p>
    <w:p>
      <w:pPr>
        <w:ind w:left="480" w:right="6"/>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such shares. The business address of Sponsor and Mr. Revers is 200 Clarendon Street, 55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Boston, Massachusetts 02116.</w:t>
      </w:r>
    </w:p>
    <w:p>
      <w:pPr>
        <w:spacing w:after="0" w:line="21"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ARCC Beacon LLC is 245 Park Avenue, 43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New York, New York 10167.</w:t>
      </w:r>
    </w:p>
    <w:p>
      <w:pPr>
        <w:spacing w:after="0" w:line="3" w:lineRule="exact"/>
        <w:rPr>
          <w:rFonts w:ascii="Times New Roman" w:cs="Times New Roman" w:eastAsia="Times New Roman" w:hAnsi="Times New Roman"/>
          <w:sz w:val="18"/>
          <w:szCs w:val="18"/>
          <w:color w:val="auto"/>
        </w:rPr>
      </w:pPr>
    </w:p>
    <w:p>
      <w:pPr>
        <w:ind w:left="480" w:hanging="480"/>
        <w:spacing w:after="0" w:line="214"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Mendocino and NextEra is 700 Universe Boulevard, Juno Beach, Florida 33408.</w:t>
      </w:r>
    </w:p>
    <w:p>
      <w:pPr>
        <w:spacing w:after="0" w:line="21" w:lineRule="exact"/>
        <w:rPr>
          <w:rFonts w:ascii="Times New Roman" w:cs="Times New Roman" w:eastAsia="Times New Roman" w:hAnsi="Times New Roman"/>
          <w:sz w:val="18"/>
          <w:szCs w:val="18"/>
          <w:color w:val="auto"/>
        </w:rPr>
      </w:pPr>
    </w:p>
    <w:p>
      <w:pPr>
        <w:jc w:val="both"/>
        <w:ind w:left="480" w:right="6" w:hanging="480"/>
        <w:spacing w:after="0" w:line="253" w:lineRule="auto"/>
        <w:tabs>
          <w:tab w:leader="none" w:pos="4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1,060,088 shares of Class A common stock held by Electron Global Master Fund LP (“</w:t>
      </w:r>
      <w:r>
        <w:rPr>
          <w:rFonts w:ascii="Times New Roman" w:cs="Times New Roman" w:eastAsia="Times New Roman" w:hAnsi="Times New Roman"/>
          <w:sz w:val="18"/>
          <w:szCs w:val="18"/>
          <w:b w:val="1"/>
          <w:bCs w:val="1"/>
          <w:i w:val="1"/>
          <w:iCs w:val="1"/>
          <w:color w:val="auto"/>
        </w:rPr>
        <w:t>EGMF</w:t>
      </w:r>
      <w:r>
        <w:rPr>
          <w:rFonts w:ascii="Times New Roman" w:cs="Times New Roman" w:eastAsia="Times New Roman" w:hAnsi="Times New Roman"/>
          <w:sz w:val="18"/>
          <w:szCs w:val="18"/>
          <w:color w:val="auto"/>
        </w:rPr>
        <w:t>”), (ii) 695,913 shares of Class A common stock held by Electron Infrastructure Master Fund LP (“</w:t>
      </w:r>
      <w:r>
        <w:rPr>
          <w:rFonts w:ascii="Times New Roman" w:cs="Times New Roman" w:eastAsia="Times New Roman" w:hAnsi="Times New Roman"/>
          <w:sz w:val="18"/>
          <w:szCs w:val="18"/>
          <w:b w:val="1"/>
          <w:bCs w:val="1"/>
          <w:i w:val="1"/>
          <w:iCs w:val="1"/>
          <w:color w:val="auto"/>
        </w:rPr>
        <w:t>EIMF</w:t>
      </w:r>
      <w:r>
        <w:rPr>
          <w:rFonts w:ascii="Times New Roman" w:cs="Times New Roman" w:eastAsia="Times New Roman" w:hAnsi="Times New Roman"/>
          <w:sz w:val="18"/>
          <w:szCs w:val="18"/>
          <w:color w:val="auto"/>
        </w:rPr>
        <w:t>”), (iii) 30,628 shares of Class A common stock held by Boothbay Absolute Return Strategies, LP (“</w:t>
      </w:r>
      <w:r>
        <w:rPr>
          <w:rFonts w:ascii="Times New Roman" w:cs="Times New Roman" w:eastAsia="Times New Roman" w:hAnsi="Times New Roman"/>
          <w:sz w:val="18"/>
          <w:szCs w:val="18"/>
          <w:b w:val="1"/>
          <w:bCs w:val="1"/>
          <w:i w:val="1"/>
          <w:iCs w:val="1"/>
          <w:color w:val="auto"/>
        </w:rPr>
        <w:t>BARS</w:t>
      </w:r>
      <w:r>
        <w:rPr>
          <w:rFonts w:ascii="Times New Roman" w:cs="Times New Roman" w:eastAsia="Times New Roman" w:hAnsi="Times New Roman"/>
          <w:sz w:val="18"/>
          <w:szCs w:val="18"/>
          <w:color w:val="auto"/>
        </w:rPr>
        <w:t>”) and (iv) 13,371 shares of Class A common stock held by AGR Trading SPC-Series Segregated Portfolio (“</w:t>
      </w:r>
      <w:r>
        <w:rPr>
          <w:rFonts w:ascii="Times New Roman" w:cs="Times New Roman" w:eastAsia="Times New Roman" w:hAnsi="Times New Roman"/>
          <w:sz w:val="18"/>
          <w:szCs w:val="18"/>
          <w:b w:val="1"/>
          <w:bCs w:val="1"/>
          <w:i w:val="1"/>
          <w:iCs w:val="1"/>
          <w:color w:val="auto"/>
        </w:rPr>
        <w:t>AGR</w:t>
      </w:r>
      <w:r>
        <w:rPr>
          <w:rFonts w:ascii="Times New Roman" w:cs="Times New Roman" w:eastAsia="Times New Roman" w:hAnsi="Times New Roman"/>
          <w:sz w:val="18"/>
          <w:szCs w:val="18"/>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parties hold shared voting and</w:t>
      </w:r>
    </w:p>
    <w:p>
      <w:pPr>
        <w:spacing w:after="0" w:line="14" w:lineRule="exact"/>
        <w:rPr>
          <w:rFonts w:ascii="Times New Roman" w:cs="Times New Roman" w:eastAsia="Times New Roman" w:hAnsi="Times New Roman"/>
          <w:sz w:val="18"/>
          <w:szCs w:val="18"/>
          <w:color w:val="auto"/>
        </w:rPr>
      </w:pPr>
    </w:p>
    <w:p>
      <w:pPr>
        <w:jc w:val="both"/>
        <w:ind w:left="480" w:right="6"/>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dispositive power over such shares The business address of EGMF, EIMG and Mr. Shaver is 10 East 53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Street, 19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10022. The business address of BARS is 140 East 45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 14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10017. The business address of AGR is 1350 Avenue of the Americas, Suite 2300, New York, New York 10019.</w:t>
      </w:r>
    </w:p>
    <w:p>
      <w:pPr>
        <w:spacing w:after="0" w:line="21" w:lineRule="exact"/>
        <w:rPr>
          <w:rFonts w:ascii="Times New Roman" w:cs="Times New Roman" w:eastAsia="Times New Roman" w:hAnsi="Times New Roman"/>
          <w:sz w:val="18"/>
          <w:szCs w:val="18"/>
          <w:color w:val="auto"/>
        </w:rPr>
      </w:pPr>
    </w:p>
    <w:p>
      <w:pPr>
        <w:jc w:val="both"/>
        <w:ind w:left="480" w:right="6" w:hanging="480"/>
        <w:spacing w:after="0" w:line="253"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1,500,000 shares of Class A common stock. Benjamin Wasem, Pantelitsa Georgiade and Vasiliki Papalli (the “</w:t>
      </w:r>
      <w:r>
        <w:rPr>
          <w:rFonts w:ascii="Times New Roman" w:cs="Times New Roman" w:eastAsia="Times New Roman" w:hAnsi="Times New Roman"/>
          <w:sz w:val="18"/>
          <w:szCs w:val="18"/>
          <w:b w:val="1"/>
          <w:bCs w:val="1"/>
          <w:i w:val="1"/>
          <w:iCs w:val="1"/>
          <w:color w:val="auto"/>
        </w:rPr>
        <w:t>Nyera Principals</w:t>
      </w:r>
      <w:r>
        <w:rPr>
          <w:rFonts w:ascii="Times New Roman" w:cs="Times New Roman" w:eastAsia="Times New Roman" w:hAnsi="Times New Roman"/>
          <w:sz w:val="18"/>
          <w:szCs w:val="18"/>
          <w:color w:val="auto"/>
        </w:rPr>
        <w:t>”) each has voting and investment discretion with respect to the securities held Nyera II Limited (“</w:t>
      </w:r>
      <w:r>
        <w:rPr>
          <w:rFonts w:ascii="Times New Roman" w:cs="Times New Roman" w:eastAsia="Times New Roman" w:hAnsi="Times New Roman"/>
          <w:sz w:val="18"/>
          <w:szCs w:val="18"/>
          <w:b w:val="1"/>
          <w:bCs w:val="1"/>
          <w:i w:val="1"/>
          <w:iCs w:val="1"/>
          <w:color w:val="auto"/>
        </w:rPr>
        <w:t>Nyera</w:t>
      </w:r>
      <w:r>
        <w:rPr>
          <w:rFonts w:ascii="Times New Roman" w:cs="Times New Roman" w:eastAsia="Times New Roman" w:hAnsi="Times New Roman"/>
          <w:sz w:val="18"/>
          <w:szCs w:val="18"/>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0" w:lineRule="exact"/>
        <w:rPr>
          <w:rFonts w:ascii="Times New Roman" w:cs="Times New Roman" w:eastAsia="Times New Roman" w:hAnsi="Times New Roman"/>
          <w:sz w:val="18"/>
          <w:szCs w:val="18"/>
          <w:color w:val="auto"/>
        </w:rPr>
      </w:pPr>
    </w:p>
    <w:p>
      <w:pPr>
        <w:jc w:val="both"/>
        <w:ind w:left="480" w:right="6" w:hanging="479"/>
        <w:spacing w:after="0" w:line="270" w:lineRule="auto"/>
        <w:tabs>
          <w:tab w:leader="none" w:pos="4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1,638,655 shares of Class A common stock which are held by certain fund entities and managed accounts for which Encompass Capital Advisors, LLC (“</w:t>
      </w:r>
      <w:r>
        <w:rPr>
          <w:rFonts w:ascii="Times New Roman" w:cs="Times New Roman" w:eastAsia="Times New Roman" w:hAnsi="Times New Roman"/>
          <w:sz w:val="17"/>
          <w:szCs w:val="17"/>
          <w:b w:val="1"/>
          <w:bCs w:val="1"/>
          <w:i w:val="1"/>
          <w:iCs w:val="1"/>
          <w:color w:val="auto"/>
        </w:rPr>
        <w:t>Encompass Advisors</w:t>
      </w:r>
      <w:r>
        <w:rPr>
          <w:rFonts w:ascii="Times New Roman" w:cs="Times New Roman" w:eastAsia="Times New Roman" w:hAnsi="Times New Roman"/>
          <w:sz w:val="17"/>
          <w:szCs w:val="17"/>
          <w:color w:val="auto"/>
        </w:rPr>
        <w:t>”) exercises investment discretion, and (ii) 1,344,484 shares of Class A common stock which are held by certain fund entities and managed accounts for which Encompass Capital Partners LLC (“</w:t>
      </w:r>
      <w:r>
        <w:rPr>
          <w:rFonts w:ascii="Times New Roman" w:cs="Times New Roman" w:eastAsia="Times New Roman" w:hAnsi="Times New Roman"/>
          <w:sz w:val="17"/>
          <w:szCs w:val="17"/>
          <w:b w:val="1"/>
          <w:bCs w:val="1"/>
          <w:i w:val="1"/>
          <w:iCs w:val="1"/>
          <w:color w:val="auto"/>
        </w:rPr>
        <w:t>Encompass Partners</w:t>
      </w:r>
      <w:r>
        <w:rPr>
          <w:rFonts w:ascii="Times New Roman" w:cs="Times New Roman" w:eastAsia="Times New Roman" w:hAnsi="Times New Roman"/>
          <w:sz w:val="17"/>
          <w:szCs w:val="17"/>
          <w:color w:val="auto"/>
        </w:rPr>
        <w:t>”) exercises investment discretion. Todd Kantor, as the managing member of Encompass Advisors, may also be deemed to beneficially own such securities. The parties hold shared voting and dispositive power over</w:t>
      </w:r>
    </w:p>
    <w:p>
      <w:pPr>
        <w:ind w:left="480" w:right="6"/>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such shares. The business address of Encompass Advisors, Encompass Partners and Mr. Kantor is 200 Park Avenue,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10166.</w:t>
      </w:r>
    </w:p>
    <w:p>
      <w:pPr>
        <w:spacing w:after="0" w:line="21" w:lineRule="exact"/>
        <w:rPr>
          <w:rFonts w:ascii="Times New Roman" w:cs="Times New Roman" w:eastAsia="Times New Roman" w:hAnsi="Times New Roman"/>
          <w:sz w:val="17"/>
          <w:szCs w:val="17"/>
          <w:color w:val="auto"/>
        </w:rPr>
      </w:pPr>
    </w:p>
    <w:p>
      <w:pPr>
        <w:jc w:val="both"/>
        <w:ind w:left="480" w:right="6" w:hanging="479"/>
        <w:spacing w:after="0" w:line="270" w:lineRule="auto"/>
        <w:tabs>
          <w:tab w:leader="none" w:pos="4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According to Schedule 13G, filed on February 9, 2023 by Zimmer Partners, LP, Zimmer Financial Services Group LLC, Zimmer Partners GP, LLC, and Stuart J. Zimmer (the “Zimmer Parties”), the business address of the Zimmer Partners Parties</w:t>
      </w:r>
    </w:p>
    <w:p>
      <w:pPr>
        <w:ind w:left="480" w:right="6"/>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is 9 West 57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33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New York, NY 10019. The Zimmer Parties share voting and dispositive power over 2,054,183 shares of Class A common stock.</w:t>
      </w:r>
    </w:p>
    <w:p>
      <w:pPr>
        <w:spacing w:after="0" w:line="21" w:lineRule="exact"/>
        <w:rPr>
          <w:rFonts w:ascii="Times New Roman" w:cs="Times New Roman" w:eastAsia="Times New Roman" w:hAnsi="Times New Roman"/>
          <w:sz w:val="17"/>
          <w:szCs w:val="17"/>
          <w:color w:val="auto"/>
        </w:rPr>
      </w:pPr>
    </w:p>
    <w:p>
      <w:pPr>
        <w:jc w:val="both"/>
        <w:ind w:left="480" w:right="6" w:hanging="480"/>
        <w:spacing w:after="0" w:line="250"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Schedule 13G, filed on January 30, 2023 by Barclays PLC and Barclays Bank PLC (the “Barclays Parties”), the business address of such parties is 1 Churchill Place, London, E14 5HP, England. The Barclays Parties hold 4,085,122 shares of Class A common stock, with each party holding 2,042,561 shares of Class A common stock.</w:t>
      </w:r>
    </w:p>
    <w:p>
      <w:pPr>
        <w:sectPr>
          <w:pgSz w:w="12240" w:h="15846" w:orient="portrait"/>
          <w:cols w:equalWidth="0" w:num="1">
            <w:col w:w="9366"/>
          </w:cols>
          <w:pgMar w:left="1440" w:top="950"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87</w:t>
      </w:r>
    </w:p>
    <w:p>
      <w:pPr>
        <w:sectPr>
          <w:pgSz w:w="12240" w:h="15846" w:orient="portrait"/>
          <w:cols w:equalWidth="0" w:num="1">
            <w:col w:w="9366"/>
          </w:cols>
          <w:pgMar w:left="1440" w:top="950" w:right="1440" w:bottom="348" w:gutter="0" w:footer="0" w:header="0"/>
          <w:type w:val="continuous"/>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Section 16(a) Beneficial Ownership Reporting Compliance</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Pursuant to Section 16(a) of the Exchange Act and the rules thereunder, the Company’s executive officers and directors and persons who beneficially own more than 10% of a registered class of the Company’s equity securities are required to file with the SEC reports of their ownership of, and transactions in, the Company’s common stock. Based solely on a review of copies of such reports furnished to the Company, and written representations that no reports were required, together with information known to the company, the Company believes that during the fiscal year ended December 31, 2022, these persons timely complied with the applicable Section 16(a) requirements, with the exception of the following: Ashok Vemuri filed one late report covering one transaction.</w:t>
      </w:r>
    </w:p>
    <w:p>
      <w:pPr>
        <w:spacing w:after="0" w:line="248" w:lineRule="exact"/>
        <w:rPr>
          <w:sz w:val="20"/>
          <w:szCs w:val="20"/>
          <w:color w:val="auto"/>
        </w:rPr>
      </w:pPr>
    </w:p>
    <w:p>
      <w:pPr>
        <w:jc w:val="both"/>
        <w:ind w:left="960" w:right="20" w:hanging="959"/>
        <w:spacing w:after="0" w:line="242" w:lineRule="auto"/>
        <w:rPr>
          <w:sz w:val="20"/>
          <w:szCs w:val="20"/>
          <w:color w:val="auto"/>
        </w:rPr>
      </w:pPr>
      <w:r>
        <w:rPr>
          <w:rFonts w:ascii="Times New Roman" w:cs="Times New Roman" w:eastAsia="Times New Roman" w:hAnsi="Times New Roman"/>
          <w:sz w:val="20"/>
          <w:szCs w:val="20"/>
          <w:b w:val="1"/>
          <w:bCs w:val="1"/>
          <w:color w:val="auto"/>
        </w:rPr>
        <w:t>ITEM 13. CERTAIN</w:t>
      </w:r>
      <w:r>
        <w:rPr>
          <w:sz w:val="20"/>
          <w:szCs w:val="20"/>
          <w:color w:val="auto"/>
        </w:rPr>
        <w:t xml:space="preserve"> </w:t>
      </w:r>
      <w:r>
        <w:rPr>
          <w:rFonts w:ascii="Times New Roman" w:cs="Times New Roman" w:eastAsia="Times New Roman" w:hAnsi="Times New Roman"/>
          <w:sz w:val="20"/>
          <w:szCs w:val="20"/>
          <w:b w:val="1"/>
          <w:bCs w:val="1"/>
          <w:color w:val="auto"/>
        </w:rPr>
        <w:t>RELATIONSHIPS AND RELATED TRANSACTIONS AND DIRECTOR INDEPENDENCE</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 Services Agreement</w:t>
      </w:r>
    </w:p>
    <w:p>
      <w:pPr>
        <w:spacing w:after="0" w:line="177" w:lineRule="exact"/>
        <w:rPr>
          <w:sz w:val="20"/>
          <w:szCs w:val="20"/>
          <w:color w:val="auto"/>
        </w:rPr>
      </w:pPr>
    </w:p>
    <w:p>
      <w:pPr>
        <w:jc w:val="both"/>
        <w:ind w:right="20" w:firstLine="480"/>
        <w:spacing w:after="0" w:line="263" w:lineRule="auto"/>
        <w:rPr>
          <w:sz w:val="20"/>
          <w:szCs w:val="20"/>
          <w:color w:val="auto"/>
        </w:rPr>
      </w:pPr>
      <w:r>
        <w:rPr>
          <w:rFonts w:ascii="Times New Roman" w:cs="Times New Roman" w:eastAsia="Times New Roman" w:hAnsi="Times New Roman"/>
          <w:sz w:val="19"/>
          <w:szCs w:val="19"/>
          <w:color w:val="auto"/>
        </w:rPr>
        <w:t>OPAL Fuels LLC (“Opco”), a wholly owned subsidiary of the Company has entered into a Master Services Agreement with CoStar Partners LLC (“</w:t>
      </w:r>
      <w:r>
        <w:rPr>
          <w:rFonts w:ascii="Times New Roman" w:cs="Times New Roman" w:eastAsia="Times New Roman" w:hAnsi="Times New Roman"/>
          <w:sz w:val="19"/>
          <w:szCs w:val="19"/>
          <w:i w:val="1"/>
          <w:iCs w:val="1"/>
          <w:color w:val="auto"/>
        </w:rPr>
        <w:t>CoStar</w:t>
      </w:r>
      <w:r>
        <w:rPr>
          <w:rFonts w:ascii="Times New Roman" w:cs="Times New Roman" w:eastAsia="Times New Roman" w:hAnsi="Times New Roman"/>
          <w:sz w:val="19"/>
          <w:szCs w:val="19"/>
          <w:color w:val="auto"/>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2021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Services Agreement</w:t>
      </w:r>
    </w:p>
    <w:p>
      <w:pPr>
        <w:spacing w:after="0" w:line="17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Opco has entered into an Administrative Services Agreement with Fortistar Services 2 LLC (“</w:t>
      </w:r>
      <w:r>
        <w:rPr>
          <w:rFonts w:ascii="Times New Roman" w:cs="Times New Roman" w:eastAsia="Times New Roman" w:hAnsi="Times New Roman"/>
          <w:sz w:val="19"/>
          <w:szCs w:val="19"/>
          <w:b w:val="1"/>
          <w:bCs w:val="1"/>
          <w:i w:val="1"/>
          <w:iCs w:val="1"/>
          <w:color w:val="auto"/>
        </w:rPr>
        <w:t>FS2</w:t>
      </w:r>
      <w:r>
        <w:rPr>
          <w:rFonts w:ascii="Times New Roman" w:cs="Times New Roman" w:eastAsia="Times New Roman" w:hAnsi="Times New Roman"/>
          <w:sz w:val="19"/>
          <w:szCs w:val="19"/>
          <w:color w:val="auto"/>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w:t>
      </w:r>
    </w:p>
    <w:p>
      <w:pPr>
        <w:sectPr>
          <w:pgSz w:w="12240" w:h="15846" w:orient="portrait"/>
          <w:cols w:equalWidth="0" w:num="1">
            <w:col w:w="9380"/>
          </w:cols>
          <w:pgMar w:left="1440" w:top="947" w:right="1426" w:bottom="348" w:gutter="0" w:footer="0" w:header="0"/>
        </w:sect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6" w:orient="portrait"/>
          <w:cols w:equalWidth="0" w:num="1">
            <w:col w:w="9380"/>
          </w:cols>
          <w:pgMar w:left="1440" w:top="947" w:right="1426" w:bottom="348" w:gutter="0" w:footer="0" w:header="0"/>
          <w:type w:val="continuous"/>
        </w:sectPr>
      </w:pPr>
    </w:p>
    <w:bookmarkStart w:id="100" w:name="page101"/>
    <w:bookmarkEnd w:id="100"/>
    <w:p>
      <w:pPr>
        <w:jc w:val="both"/>
        <w:ind w:right="6"/>
        <w:spacing w:after="0" w:line="249" w:lineRule="auto"/>
        <w:rPr>
          <w:sz w:val="20"/>
          <w:szCs w:val="20"/>
          <w:color w:val="auto"/>
        </w:rPr>
      </w:pPr>
      <w:r>
        <w:rPr>
          <w:rFonts w:ascii="Times New Roman" w:cs="Times New Roman" w:eastAsia="Times New Roman" w:hAnsi="Times New Roman"/>
          <w:sz w:val="20"/>
          <w:szCs w:val="20"/>
          <w:color w:val="auto"/>
        </w:rPr>
        <w:t>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and Hold Harmless Agreement</w:t>
      </w:r>
    </w:p>
    <w:p>
      <w:pPr>
        <w:spacing w:after="0" w:line="177" w:lineRule="exact"/>
        <w:rPr>
          <w:sz w:val="20"/>
          <w:szCs w:val="20"/>
          <w:color w:val="auto"/>
        </w:rPr>
      </w:pPr>
    </w:p>
    <w:p>
      <w:pPr>
        <w:jc w:val="both"/>
        <w:ind w:right="6" w:firstLine="480"/>
        <w:spacing w:after="0" w:line="250" w:lineRule="auto"/>
        <w:rPr>
          <w:sz w:val="20"/>
          <w:szCs w:val="20"/>
          <w:color w:val="auto"/>
        </w:rPr>
      </w:pPr>
      <w:r>
        <w:rPr>
          <w:rFonts w:ascii="Times New Roman" w:cs="Times New Roman" w:eastAsia="Times New Roman" w:hAnsi="Times New Roman"/>
          <w:sz w:val="20"/>
          <w:szCs w:val="20"/>
          <w:color w:val="auto"/>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December 31, 2022, as none of the conditions upon which Fortistar would be required to perform on behalf of Opco under the indemnification and hold harmless agreement existed as of the date hereof.</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Flue Gas Off take and Preferred Partner Agreement</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Opco has entered into an agreement with CarbonFree Chemical Holdings, LLC (“</w:t>
      </w:r>
      <w:r>
        <w:rPr>
          <w:rFonts w:ascii="Times New Roman" w:cs="Times New Roman" w:eastAsia="Times New Roman" w:hAnsi="Times New Roman"/>
          <w:sz w:val="19"/>
          <w:szCs w:val="19"/>
          <w:b w:val="1"/>
          <w:bCs w:val="1"/>
          <w:i w:val="1"/>
          <w:iCs w:val="1"/>
          <w:color w:val="auto"/>
        </w:rPr>
        <w:t>CarbonFree</w:t>
      </w:r>
      <w:r>
        <w:rPr>
          <w:rFonts w:ascii="Times New Roman" w:cs="Times New Roman" w:eastAsia="Times New Roman" w:hAnsi="Times New Roman"/>
          <w:sz w:val="19"/>
          <w:szCs w:val="19"/>
          <w:color w:val="auto"/>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89</w:t>
      </w:r>
    </w:p>
    <w:p>
      <w:pPr>
        <w:sectPr>
          <w:pgSz w:w="12240" w:h="15846" w:orient="portrait"/>
          <w:cols w:equalWidth="0" w:num="1">
            <w:col w:w="9366"/>
          </w:cols>
          <w:pgMar w:left="1440" w:top="954" w:right="1440" w:bottom="348" w:gutter="0" w:footer="0" w:header="0"/>
          <w:type w:val="continuous"/>
        </w:sectPr>
      </w:pPr>
    </w:p>
    <w:bookmarkStart w:id="101" w:name="page102"/>
    <w:bookmarkEnd w:id="101"/>
    <w:p>
      <w:pPr>
        <w:jc w:val="both"/>
        <w:ind w:right="6"/>
        <w:spacing w:after="0" w:line="248" w:lineRule="auto"/>
        <w:rPr>
          <w:sz w:val="20"/>
          <w:szCs w:val="20"/>
          <w:color w:val="auto"/>
        </w:rPr>
      </w:pPr>
      <w:r>
        <w:rPr>
          <w:rFonts w:ascii="Times New Roman" w:cs="Times New Roman" w:eastAsia="Times New Roman" w:hAnsi="Times New Roman"/>
          <w:sz w:val="20"/>
          <w:szCs w:val="20"/>
          <w:color w:val="auto"/>
        </w:rPr>
        <w:t>undertaking their respective responsibilities to implement the project. The parties have agreed that the construction of any such carbon capture plant shall commence by the end of 2022. If constructed, each plant will use CarbonFree’s proprietary technology to capture CO2 from the flue gases produced by the adjacent Opco RNG production facility, transforming it into solid carbonate materials.</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Hillman Restructuring</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December 11, 2020, Hillman, Hillman Power Company LLC (“</w:t>
      </w:r>
      <w:r>
        <w:rPr>
          <w:rFonts w:ascii="Times New Roman" w:cs="Times New Roman" w:eastAsia="Times New Roman" w:hAnsi="Times New Roman"/>
          <w:sz w:val="20"/>
          <w:szCs w:val="20"/>
          <w:b w:val="1"/>
          <w:bCs w:val="1"/>
          <w:i w:val="1"/>
          <w:iCs w:val="1"/>
          <w:color w:val="auto"/>
        </w:rPr>
        <w:t>Hillman Power</w:t>
      </w:r>
      <w:r>
        <w:rPr>
          <w:rFonts w:ascii="Times New Roman" w:cs="Times New Roman" w:eastAsia="Times New Roman" w:hAnsi="Times New Roman"/>
          <w:sz w:val="20"/>
          <w:szCs w:val="20"/>
          <w:color w:val="auto"/>
        </w:rPr>
        <w:t>”), and Customers Bank, among others, entered into a Loan and Guaranty Agreement (the “</w:t>
      </w:r>
      <w:r>
        <w:rPr>
          <w:rFonts w:ascii="Times New Roman" w:cs="Times New Roman" w:eastAsia="Times New Roman" w:hAnsi="Times New Roman"/>
          <w:sz w:val="20"/>
          <w:szCs w:val="20"/>
          <w:b w:val="1"/>
          <w:bCs w:val="1"/>
          <w:i w:val="1"/>
          <w:iCs w:val="1"/>
          <w:color w:val="auto"/>
        </w:rPr>
        <w:t>Customers Loan Agreement</w:t>
      </w:r>
      <w:r>
        <w:rPr>
          <w:rFonts w:ascii="Times New Roman" w:cs="Times New Roman" w:eastAsia="Times New Roman" w:hAnsi="Times New Roman"/>
          <w:sz w:val="20"/>
          <w:szCs w:val="20"/>
          <w:color w:val="auto"/>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spacing w:after="0" w:line="181"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 w:cs="Times New Roman" w:eastAsia="Times New Roman" w:hAnsi="Times New Roman"/>
          <w:sz w:val="19"/>
          <w:szCs w:val="19"/>
          <w:b w:val="1"/>
          <w:bCs w:val="1"/>
          <w:i w:val="1"/>
          <w:iCs w:val="1"/>
          <w:color w:val="auto"/>
        </w:rPr>
        <w:t>Pledged Membership Interests</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November 29, 2021, Opco and Hillman entered into an Exchange Agreement pursuant to which Hillman transferred the Pledged Membership Interests in exchange for the issuance of equity ownership interests in Opco (collectively, the “</w:t>
      </w:r>
      <w:r>
        <w:rPr>
          <w:rFonts w:ascii="Times New Roman" w:cs="Times New Roman" w:eastAsia="Times New Roman" w:hAnsi="Times New Roman"/>
          <w:sz w:val="20"/>
          <w:szCs w:val="20"/>
          <w:b w:val="1"/>
          <w:bCs w:val="1"/>
          <w:i w:val="1"/>
          <w:iCs w:val="1"/>
          <w:color w:val="auto"/>
        </w:rPr>
        <w:t>OPAL Fuels Membership Interests</w:t>
      </w:r>
      <w:r>
        <w:rPr>
          <w:rFonts w:ascii="Times New Roman" w:cs="Times New Roman" w:eastAsia="Times New Roman" w:hAnsi="Times New Roman"/>
          <w:sz w:val="20"/>
          <w:szCs w:val="20"/>
          <w:color w:val="auto"/>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November 29, 2021, Hillman Power, Hillman and Customers Bank entered into a Limited Consent and First Amendment to Loan and Guaranty Agreement (the “</w:t>
      </w:r>
      <w:r>
        <w:rPr>
          <w:rFonts w:ascii="Times New Roman" w:cs="Times New Roman" w:eastAsia="Times New Roman" w:hAnsi="Times New Roman"/>
          <w:sz w:val="20"/>
          <w:szCs w:val="20"/>
          <w:b w:val="1"/>
          <w:bCs w:val="1"/>
          <w:i w:val="1"/>
          <w:iCs w:val="1"/>
          <w:color w:val="auto"/>
        </w:rPr>
        <w:t>Limited Consent</w:t>
      </w:r>
      <w:r>
        <w:rPr>
          <w:rFonts w:ascii="Times New Roman" w:cs="Times New Roman" w:eastAsia="Times New Roman" w:hAnsi="Times New Roman"/>
          <w:sz w:val="20"/>
          <w:szCs w:val="20"/>
          <w:color w:val="auto"/>
        </w:rPr>
        <w:t>”) pursuant to which Customers Bank consented to the Exchange, amended the Customers Loan Agreement and released its security interest in the Pledged Membership Interests (the “</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90</w:t>
      </w:r>
    </w:p>
    <w:p>
      <w:pPr>
        <w:sectPr>
          <w:pgSz w:w="12240" w:h="15846" w:orient="portrait"/>
          <w:cols w:equalWidth="0" w:num="1">
            <w:col w:w="9366"/>
          </w:cols>
          <w:pgMar w:left="1440" w:top="954" w:right="1440" w:bottom="348"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color w:val="auto"/>
        </w:rPr>
        <w:t>Opco Reorganization</w:t>
      </w:r>
    </w:p>
    <w:p>
      <w:pPr>
        <w:spacing w:after="0" w:line="177" w:lineRule="exact"/>
        <w:rPr>
          <w:sz w:val="20"/>
          <w:szCs w:val="20"/>
          <w:color w:val="auto"/>
        </w:rPr>
      </w:pPr>
    </w:p>
    <w:p>
      <w:pPr>
        <w:jc w:val="both"/>
        <w:ind w:right="6" w:firstLine="480"/>
        <w:spacing w:after="0" w:line="279" w:lineRule="auto"/>
        <w:rPr>
          <w:sz w:val="20"/>
          <w:szCs w:val="20"/>
          <w:color w:val="auto"/>
        </w:rPr>
      </w:pPr>
      <w:r>
        <w:rPr>
          <w:rFonts w:ascii="Times New Roman" w:cs="Times New Roman" w:eastAsia="Times New Roman" w:hAnsi="Times New Roman"/>
          <w:sz w:val="18"/>
          <w:szCs w:val="18"/>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 w:cs="Times New Roman" w:eastAsia="Times New Roman" w:hAnsi="Times New Roman"/>
          <w:sz w:val="18"/>
          <w:szCs w:val="18"/>
          <w:b w:val="1"/>
          <w:bCs w:val="1"/>
          <w:i w:val="1"/>
          <w:iCs w:val="1"/>
          <w:color w:val="auto"/>
        </w:rPr>
        <w:t>Opco Reorganized Entities</w:t>
      </w:r>
      <w:r>
        <w:rPr>
          <w:rFonts w:ascii="Times New Roman" w:cs="Times New Roman" w:eastAsia="Times New Roman" w:hAnsi="Times New Roman"/>
          <w:sz w:val="18"/>
          <w:szCs w:val="18"/>
          <w:color w:val="auto"/>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 w:cs="Times New Roman" w:eastAsia="Times New Roman" w:hAnsi="Times New Roman"/>
          <w:sz w:val="18"/>
          <w:szCs w:val="18"/>
          <w:b w:val="1"/>
          <w:bCs w:val="1"/>
          <w:i w:val="1"/>
          <w:iCs w:val="1"/>
          <w:color w:val="auto"/>
        </w:rPr>
        <w:t>Opco Fuels Reorganization</w:t>
      </w:r>
      <w:r>
        <w:rPr>
          <w:rFonts w:ascii="Times New Roman" w:cs="Times New Roman" w:eastAsia="Times New Roman" w:hAnsi="Times New Roman"/>
          <w:sz w:val="18"/>
          <w:szCs w:val="18"/>
          <w:color w:val="auto"/>
        </w:rPr>
        <w:t>”).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Sponsor Letter Agreement</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Concurrently with the execution of the Business Combination Agreement, (i) ArcLight, (ii) Sponsor, (iii) Opco,</w:t>
      </w:r>
    </w:p>
    <w:p>
      <w:pPr>
        <w:spacing w:after="0" w:line="22" w:lineRule="exact"/>
        <w:rPr>
          <w:sz w:val="20"/>
          <w:szCs w:val="20"/>
          <w:color w:val="auto"/>
        </w:rPr>
      </w:pPr>
    </w:p>
    <w:p>
      <w:pPr>
        <w:jc w:val="both"/>
        <w:ind w:right="6"/>
        <w:spacing w:after="0" w:line="249" w:lineRule="auto"/>
        <w:tabs>
          <w:tab w:leader="none" w:pos="34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Transactions with NextEra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Issuance of redeemable preferred non-controlling interests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Redeemable non-controlling interests, Redeemable preferred non-controlling interests and Stockholders’ Equity, 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and sale agreement for environmental attributes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w:t>
      </w:r>
    </w:p>
    <w:p>
      <w:pPr>
        <w:sectPr>
          <w:pgSz w:w="12240" w:h="15846" w:orient="portrait"/>
          <w:cols w:equalWidth="0" w:num="1">
            <w:col w:w="9366"/>
          </w:cols>
          <w:pgMar w:left="1440" w:top="947" w:right="1440" w:bottom="348" w:gutter="0" w:footer="0" w:header="0"/>
        </w:sectPr>
      </w:pPr>
    </w:p>
    <w:p>
      <w:pPr>
        <w:spacing w:after="0" w:line="39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91</w:t>
      </w:r>
    </w:p>
    <w:p>
      <w:pPr>
        <w:sectPr>
          <w:pgSz w:w="12240" w:h="15846" w:orient="portrait"/>
          <w:cols w:equalWidth="0" w:num="1">
            <w:col w:w="9366"/>
          </w:cols>
          <w:pgMar w:left="1440" w:top="947" w:right="1440" w:bottom="348" w:gutter="0" w:footer="0" w:header="0"/>
          <w:type w:val="continuous"/>
        </w:sectPr>
      </w:pPr>
    </w:p>
    <w:bookmarkStart w:id="103" w:name="page104"/>
    <w:bookmarkEnd w:id="103"/>
    <w:p>
      <w:pPr>
        <w:jc w:val="both"/>
        <w:ind w:right="6"/>
        <w:spacing w:after="0" w:line="248" w:lineRule="auto"/>
        <w:rPr>
          <w:sz w:val="20"/>
          <w:szCs w:val="20"/>
          <w:color w:val="auto"/>
        </w:rPr>
      </w:pPr>
      <w:r>
        <w:rPr>
          <w:rFonts w:ascii="Times New Roman" w:cs="Times New Roman" w:eastAsia="Times New Roman" w:hAnsi="Times New Roman"/>
          <w:sz w:val="20"/>
          <w:szCs w:val="20"/>
          <w:color w:val="auto"/>
        </w:rPr>
        <w:t>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Summary of significant accounting policies 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Commodity swap contracts under ISDA</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Derivative instruments and Fair value measurements for additional information. The Company recorded $5,495 and $2,885 as revenues earned under the commodity swap contracts.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Issuance of shares of Class A common stock for PIPE investment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In July 2022, the Company raised $138,850 in cash net of transaction expenses of $9,700 representing cash received from the closing of Business Combination and PIPE Investment. NextEra subscribed to the PIPE investment and was issued 2,500,000 shares of Class A common stock at $10.0 per share. Please see Note 3. Business Combination, 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PIPE Investors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Investor Rights Agreement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At the Closing, Opco, Ares, Hillman and the Class B Shareholders (collectively the “</w:t>
      </w:r>
      <w:r>
        <w:rPr>
          <w:rFonts w:ascii="Times New Roman" w:cs="Times New Roman" w:eastAsia="Times New Roman" w:hAnsi="Times New Roman"/>
          <w:sz w:val="20"/>
          <w:szCs w:val="20"/>
          <w:b w:val="1"/>
          <w:bCs w:val="1"/>
          <w:i w:val="1"/>
          <w:iCs w:val="1"/>
          <w:color w:val="auto"/>
        </w:rPr>
        <w:t>OPAL Holders</w:t>
      </w:r>
      <w:r>
        <w:rPr>
          <w:rFonts w:ascii="Times New Roman" w:cs="Times New Roman" w:eastAsia="Times New Roman" w:hAnsi="Times New Roman"/>
          <w:sz w:val="20"/>
          <w:szCs w:val="20"/>
          <w:color w:val="auto"/>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the Closing Date, we entered into the Tax Receivable Agreement with the TRA Participants, pursuant to which we are required to pay to the Opco Common Equity 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92</w:t>
      </w:r>
    </w:p>
    <w:p>
      <w:pPr>
        <w:sectPr>
          <w:pgSz w:w="12240" w:h="15846" w:orient="portrait"/>
          <w:cols w:equalWidth="0" w:num="1">
            <w:col w:w="9366"/>
          </w:cols>
          <w:pgMar w:left="1440" w:top="954" w:right="1440" w:bottom="348" w:gutter="0" w:footer="0" w:header="0"/>
          <w:type w:val="continuous"/>
        </w:sectPr>
      </w:pPr>
    </w:p>
    <w:bookmarkStart w:id="104" w:name="page105"/>
    <w:bookmarkEnd w:id="104"/>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15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5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be approximately $192.0 million depending on Opco’s rate of recovery of the tax basis increases associated with the deemed exchange of the Opco Common Units (other than those held by us). This estimated TRA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5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It is more likely than not that the deferred tax assets will not be realized in accordance with ASC Topic 740, ‘Income Taxes’ (“</w:t>
      </w:r>
      <w:r>
        <w:rPr>
          <w:rFonts w:ascii="Times New Roman" w:cs="Times New Roman" w:eastAsia="Times New Roman" w:hAnsi="Times New Roman"/>
          <w:sz w:val="20"/>
          <w:szCs w:val="20"/>
          <w:b w:val="1"/>
          <w:bCs w:val="1"/>
          <w:i w:val="1"/>
          <w:iCs w:val="1"/>
          <w:color w:val="auto"/>
        </w:rPr>
        <w:t>ASC 740</w:t>
      </w:r>
      <w:r>
        <w:rPr>
          <w:rFonts w:ascii="Times New Roman" w:cs="Times New Roman" w:eastAsia="Times New Roman" w:hAnsi="Times New Roman"/>
          <w:sz w:val="20"/>
          <w:szCs w:val="20"/>
          <w:color w:val="auto"/>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4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On July 21, 2022, OPAL entered into certain Indemnification Agreements (“</w:t>
      </w:r>
      <w:r>
        <w:rPr>
          <w:rFonts w:ascii="Times New Roman" w:cs="Times New Roman" w:eastAsia="Times New Roman" w:hAnsi="Times New Roman"/>
          <w:sz w:val="19"/>
          <w:szCs w:val="19"/>
          <w:b w:val="1"/>
          <w:bCs w:val="1"/>
          <w:i w:val="1"/>
          <w:iCs w:val="1"/>
          <w:color w:val="auto"/>
        </w:rPr>
        <w:t>Indemnification Agreements</w:t>
      </w:r>
      <w:r>
        <w:rPr>
          <w:rFonts w:ascii="Times New Roman" w:cs="Times New Roman" w:eastAsia="Times New Roman" w:hAnsi="Times New Roman"/>
          <w:sz w:val="19"/>
          <w:szCs w:val="19"/>
          <w:color w:val="auto"/>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93</w:t>
      </w:r>
    </w:p>
    <w:p>
      <w:pPr>
        <w:sectPr>
          <w:pgSz w:w="12240" w:h="15846" w:orient="portrait"/>
          <w:cols w:equalWidth="0" w:num="1">
            <w:col w:w="9366"/>
          </w:cols>
          <w:pgMar w:left="1440" w:top="954" w:right="1440" w:bottom="348" w:gutter="0" w:footer="0" w:header="0"/>
          <w:type w:val="continuous"/>
        </w:sectPr>
      </w:pPr>
    </w:p>
    <w:bookmarkStart w:id="105" w:name="page106"/>
    <w:bookmarkEnd w:id="105"/>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Sponsor Letter Agreement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 In January 2023, the Sponsor forfeited 197,258 shares related to this Sponsor Letter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As outlined in the table below, we incurred the following fees for the fiscal years ended December 31, 2022, and 2021 for professional services rendered by BDO USA LLP (“BDO”) for the audit of the Company’s annual financial statements and for audit-related services and other services as applicable.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Type of fees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84"/>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7"/>
              </w:rPr>
              <w:t>Audit Fees</w:t>
            </w:r>
            <w:r>
              <w:rPr>
                <w:rFonts w:ascii="Times New Roman" w:cs="Times New Roman" w:eastAsia="Times New Roman" w:hAnsi="Times New Roman"/>
                <w:sz w:val="23"/>
                <w:szCs w:val="23"/>
                <w:color w:val="auto"/>
                <w:w w:val="97"/>
                <w:vertAlign w:val="superscript"/>
              </w:rPr>
              <w:t>(1)</w:t>
            </w:r>
            <w:r>
              <w:rPr>
                <w:rFonts w:ascii="Times New Roman" w:cs="Times New Roman" w:eastAsia="Times New Roman" w:hAnsi="Times New Roman"/>
                <w:sz w:val="20"/>
                <w:szCs w:val="20"/>
                <w:color w:val="auto"/>
                <w:w w:val="97"/>
              </w:rPr>
              <w:t xml:space="preserve"> . . . . . . . . . . . . . . . . . . . . . . . . . . . . . . . . . . . . . . . . . . . . . . . . . . . . . . . . . . . . . . . . . . . .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2,377,079</w:t>
            </w:r>
          </w:p>
        </w:tc>
      </w:tr>
      <w:tr>
        <w:trPr>
          <w:trHeight w:val="223"/>
        </w:trPr>
        <w:tc>
          <w:tcPr>
            <w:tcW w:w="78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Audit-Related Fees . . . . . . . . . . . . . . . . . . . . . . . . . . . . . . . . . . . . . . . . . . . . . . . . . . . . . . . . . . . . . .</w:t>
            </w:r>
          </w:p>
        </w:tc>
        <w:tc>
          <w:tcPr>
            <w:tcW w:w="180" w:type="dxa"/>
            <w:vAlign w:val="bottom"/>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0"/>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services . . . . . . . . . . . . . . . . . . . .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jc w:val="both"/>
        <w:ind w:left="480" w:right="6" w:hanging="480"/>
        <w:spacing w:after="0" w:line="251" w:lineRule="auto"/>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our annual financial statements and internal control over financial reporting, quarterly review of interim consolidated financial statements and audit services in connection with other statutory and regulatory filings. It includes $920,000 for issuance of consents and professional services provided in connection with registration statements and comfort letters during 2022.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Policy for Services Performed by Independent Auditor</w:t>
      </w:r>
    </w:p>
    <w:p>
      <w:pPr>
        <w:spacing w:after="0" w:line="177" w:lineRule="exact"/>
        <w:rPr>
          <w:sz w:val="20"/>
          <w:szCs w:val="20"/>
          <w:color w:val="auto"/>
        </w:rPr>
      </w:pPr>
    </w:p>
    <w:p>
      <w:pPr>
        <w:jc w:val="both"/>
        <w:ind w:right="6" w:firstLine="480"/>
        <w:spacing w:after="0" w:line="263" w:lineRule="auto"/>
        <w:rPr>
          <w:sz w:val="20"/>
          <w:szCs w:val="20"/>
          <w:color w:val="auto"/>
        </w:rPr>
      </w:pPr>
      <w:r>
        <w:rPr>
          <w:rFonts w:ascii="Times New Roman" w:cs="Times New Roman" w:eastAsia="Times New Roman" w:hAnsi="Times New Roman"/>
          <w:sz w:val="19"/>
          <w:szCs w:val="19"/>
          <w:color w:val="auto"/>
        </w:rPr>
        <w:t>The Audit Committee has responsibility for the appointment, compensation and oversight of the work of the Company’s independent auditor. As part of this responsibility, the Audit Committee must pre-approve all permissible services to be performed by the independent auditor. The Audit Committee has adopted an auditor pre-approval policy which sets forth the procedures and conditions pursuant to which pre-approval may be given for services performed by the independent auditor. Under the policy, the Audit Committee must give prior approval for any amount or type of service within four categories: audit, audit-related, tax services or, to the extent permitted by law, other services that the independent auditor provides. Prior to the annual engagement, the Audit Committee may grant general pre-approval for independent auditor services within these four categories at maximum pre-approved fee levels.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 effective and efficient service and whether the service might enhance the Company’s ability to manage or control risk or improve audit quality. The Audit Committee may delegate to one or more of its members authority to approve a request for pre-approval provided the member reports any approval so given to the Audit Committee at its next scheduled meeting. All services provided by BDO during the fiscal year ended December 31, 2022 and the fiscal year ended December 31, 2021 were pre-approved by the Audit Committee.</w:t>
      </w:r>
    </w:p>
    <w:p>
      <w:pPr>
        <w:sectPr>
          <w:pgSz w:w="12240" w:h="15846" w:orient="portrait"/>
          <w:cols w:equalWidth="0" w:num="1">
            <w:col w:w="9366"/>
          </w:cols>
          <w:pgMar w:left="1440" w:top="954"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94</w:t>
      </w:r>
    </w:p>
    <w:p>
      <w:pPr>
        <w:sectPr>
          <w:pgSz w:w="12240" w:h="15846" w:orient="portrait"/>
          <w:cols w:equalWidth="0" w:num="1">
            <w:col w:w="9366"/>
          </w:cols>
          <w:pgMar w:left="1440" w:top="954" w:right="1440" w:bottom="348" w:gutter="0" w:footer="0" w:header="0"/>
          <w:type w:val="continuous"/>
        </w:sectPr>
      </w:pPr>
    </w:p>
    <w:bookmarkStart w:id="106" w:name="page107"/>
    <w:bookmarkEnd w:id="106"/>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170" w:lineRule="exact"/>
        <w:rPr>
          <w:sz w:val="20"/>
          <w:szCs w:val="20"/>
          <w:color w:val="auto"/>
        </w:rPr>
      </w:pPr>
    </w:p>
    <w:p>
      <w:pPr>
        <w:ind w:left="480" w:hanging="480"/>
        <w:spacing w:after="0"/>
        <w:tabs>
          <w:tab w:leader="none" w:pos="4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filed as part of this Annual Report on Form 10-K</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 See accompanying Index to Consolidated Financial Statements.</w:t>
      </w:r>
    </w:p>
    <w:p>
      <w:pPr>
        <w:spacing w:after="0" w:line="176"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 Schedules: Financial statement schedules are omitted either due to the absence of conditions under which they are required or because the information required is included in the notes to the Company’s consolidated financial statements.</w:t>
      </w:r>
    </w:p>
    <w:p>
      <w:pPr>
        <w:spacing w:after="0" w:line="166"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240" w:type="dxa"/>
            <w:vAlign w:val="bottom"/>
          </w:tcPr>
          <w:p>
            <w:pPr>
              <w:spacing w:after="0"/>
              <w:rPr>
                <w:sz w:val="17"/>
                <w:szCs w:val="17"/>
                <w:color w:val="auto"/>
              </w:rPr>
            </w:pPr>
          </w:p>
        </w:tc>
      </w:tr>
      <w:tr>
        <w:trPr>
          <w:trHeight w:val="210"/>
        </w:trPr>
        <w:tc>
          <w:tcPr>
            <w:tcW w:w="8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240" w:type="dxa"/>
            <w:vAlign w:val="bottom"/>
            <w:tcBorders>
              <w:bottom w:val="single" w:sz="8" w:color="auto"/>
            </w:tcBorders>
          </w:tcPr>
          <w:p>
            <w:pPr>
              <w:ind w:left="368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Business Combination Agreement, dated as of December 2, 2021, by and among ArcLight, OPAL</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Fuels and OPAL Holdco (incorporated by reference to Exhibit 2.1 of the Company’s Current Report on</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Form 8-K, filed with the SEC on December 3, 2021).</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Restated Certificate of Incorporation of OPAL Fuels Inc. (incorporated by reference to Exhibit 3.1 to the</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Current Report on Form 8-K/A filed by the Company on August 10,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7"/>
              </w:rPr>
              <w:t>Bylaws of OPAL Fuels Inc. (incorporated by reference to Exhibit 3.2 to the Current Report on Form 8-K</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filed by the Company on July 27,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Specimen Warrant Certificate (incorporated by reference to Exhibit 4.3 to the Registration Statement on</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Form S-1 (File No. 333-252730) filed by the registrant on March 8, 2021).</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Warrant Agreement between Continental Stock Transfer &amp; Trust Company and ArcLight Clean</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Transition Corp. II, dated March 22, 2021 (incorporated by reference to Exhibit 4.1 to the Current</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Report on Form 8-K filed by the Company on March 26, 2021).</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Amendment No. 1 to Warrant Agreement, dated December 19, 2022, by and between the Company</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and Continental Stock Transfer &amp; Trust Company (incorporated by reference to Exhibit 10.1 to the</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Company’s Form 8-K filed with the SEC on December 19, 2022)</w:t>
            </w:r>
          </w:p>
        </w:tc>
      </w:tr>
      <w:tr>
        <w:trPr>
          <w:trHeight w:val="26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OPAL Fuels Inc. Short-Term Incentive Plan</w:t>
            </w:r>
          </w:p>
        </w:tc>
      </w:tr>
      <w:tr>
        <w:trPr>
          <w:trHeight w:val="26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Stock Option Grant Notice and Option Agreement</w:t>
            </w:r>
          </w:p>
        </w:tc>
      </w:tr>
      <w:tr>
        <w:trPr>
          <w:trHeight w:val="26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Performance Restricted Stock Unit Award Grant Notice and Award Agreement</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7"/>
              </w:rPr>
              <w:t>Form of OPAL Indemnification Agreement (incorporated by reference to Exhibit 10.1 to the Registration</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Statement on Form S-4 (File No. 333-262583), filed on May 6,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2022 Omnibus Equity Incentive Plan (incorporated by reference to Exhibit 10.2 to the Current Report</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on Form 8-K filed by the Company on July 27,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7"/>
              </w:rPr>
              <w:t>Letter Agreement, dated as of March 25, 2021, by and among ArcLight CTC Holdings II, L.P., ArcLight</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8"/>
              </w:rPr>
              <w:t>Clean Transition Corp. II and certain other parties thereto (incorporated by referenced to Exhibit 10.4 to</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the Company’s Current Report on Form 8-K filed by the registrant on March 26, 2021).</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Sponsor Letter Agreement, dated as of December 2, 2021, by and among OPAL Fuels LLC, ArcLight</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Clean Transition Corp. II and certain other parties thereto (incorporated by reference to incorporated</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by referenced to Exhibit 10.2 to the Company’s Current Report on Form 8-K filed by the registrant on</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December 3, 2021)</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Subscription Agreement (incorporated by reference to Exhibit 10.1 of the Company’s Current</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Report on Form 8-K, filed with the SEC on December 3, 2021).</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Form of Amendment No. 1 to the Subscription Agreement (incorporated by reference to Exhibit 10.1 of</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the Company’s Current Report on Form 8-K, filed with the SEC on May 12,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Tax Receivable Agreement, dated July 21, 2022, by and among OPAL Fuels Inc. and the persons named</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therein (incorporated by reference to Exhibit 10.6 to the Current Report on Form 8-K filed by the</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Company on July 27,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Investor Rights Agreement, dated July 21, 2022, by and among OPAL Fuels Inc., ArcLight CTC</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Holdings II, L.P., and the other persons named therein (incorporated by reference to Exhibit 10.7 to the</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by the Company on July 27,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Second A&amp;R LLC Agreement of OPAL Fuels, including any Certificates of Designations (incorporated</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w w:val="98"/>
              </w:rPr>
              <w:t>by reference to Exhibit 10.8 to the Current Report on Form 8-K filed by the Company on July 27, 2022).</w:t>
            </w:r>
          </w:p>
        </w:tc>
      </w:tr>
    </w:tbl>
    <w:p>
      <w:pPr>
        <w:spacing w:after="0" w:line="200" w:lineRule="exact"/>
        <w:rPr>
          <w:sz w:val="20"/>
          <w:szCs w:val="20"/>
          <w:color w:val="auto"/>
        </w:rPr>
      </w:pP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95</w:t>
      </w:r>
    </w:p>
    <w:p>
      <w:pPr>
        <w:sectPr>
          <w:pgSz w:w="12240" w:h="15846" w:orient="portrait"/>
          <w:cols w:equalWidth="0" w:num="1">
            <w:col w:w="9366"/>
          </w:cols>
          <w:pgMar w:left="1440" w:top="947" w:right="1440" w:bottom="348"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240" w:type="dxa"/>
            <w:vAlign w:val="bottom"/>
          </w:tcPr>
          <w:p>
            <w:pPr>
              <w:spacing w:after="0"/>
              <w:rPr>
                <w:sz w:val="17"/>
                <w:szCs w:val="17"/>
                <w:color w:val="auto"/>
              </w:rPr>
            </w:pPr>
          </w:p>
        </w:tc>
      </w:tr>
      <w:tr>
        <w:trPr>
          <w:trHeight w:val="210"/>
        </w:trPr>
        <w:tc>
          <w:tcPr>
            <w:tcW w:w="8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240" w:type="dxa"/>
            <w:vAlign w:val="bottom"/>
            <w:tcBorders>
              <w:bottom w:val="single" w:sz="8" w:color="auto"/>
            </w:tcBorders>
          </w:tcPr>
          <w:p>
            <w:pPr>
              <w:ind w:left="368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7"/>
              </w:rPr>
              <w:t>Delayed Draw Term Loan and Guaranty Agreement, dated October 22, 2021, by and among OPAL Fuels</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Intermediate Holdco LLC, the Guarantors named on the signature pages thereto, and the Lenders (as</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defined therein), and Bank of America, N.A., as Administrative Agent for the Lenders (incorporated by</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reference to Exhibit 10.8 to the Registration Statement on Form S-4 (File No. 333-262583), filed on</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March 25,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7"/>
              </w:rPr>
              <w:t>Amendment No. 1 to Delayed Draw Term Loan and Guaranty Agreement and Waiver, dated February 1,</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2022 (incorporated by reference to Exhibit 10.9 to the Registration Statement on Form S-4 (File</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No. 333-262583), filed on March 25,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Environmental Attributes Purchase and Sale Agreement, dated November 29, 2021, by and between, on</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the one hand, NextEra Energy Marketing, LLC and, on the other hand, TruStar Energy LLC and OPAL</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Fuels LLC (incorporated by reference to Exhibit 10.10 to the Registration Statement on Form S-4 (File</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No. 333-262583), filed on March 25,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Administrative Services Agreement, dated December 31, 2021, by and between OPAL Fuels and</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Fortistar Services 2 LLC (incorporated by reference to Exhibit 10.11 to the Registration Statement on</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Form S-4 (File No. 333-262583), filed on March 25,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Indemnification and Hold Harmless Agreement, dated December 31, 2020, by and between OPAL Fuels</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LLC and Fortistar LLC (incorporated by reference to Exhibit 10.12 to the Registration Statement on</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Form S-4 (File No. 333-262583), filed on March 25,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Flue Gas Offtake and Preferred Partner Agreement, dated November 29, 2021, by and between</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CarbonFree Chemicals Holdings, LLC and OPAL Fuels LLC (incorporated by reference to Exhibit</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10.13 to the Registration Statement on Form S-4 (File No. 333-262583), filed on March 25,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Amendment No. 3 to Delayed Draw Term Loan and Guaranty Agreement, dated September 29, 2022</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(incorporated by reference to Exhibit 10.1 to the Current Report on Form 8-K filed by the Company on</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October 3,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Form of Stock Award Agreement dated September 15, 2022 (incorporated by reference to Exhibit 10.1</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to the Current Report on Form 8-K filed by the Company on September 19,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Forward Purchase Agreement, dated July 18, 2022, among ArcLight Clean Transition Corp. II, Meteora</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Special Opportunity Fund I, LP, Meteora Select Trading Opportunities Master, LP and Meteora Capital</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Partners, LP (incorporated by reference to Exhibit 10.1 to the Current Report on Form 8-K filed by the</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Company on July 18,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7"/>
              </w:rPr>
              <w:t>Credit Agreement, dated August 4, 2022, made by and among OPAL Intermediate Holdco 2 as Borrower,</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the guarantors, the lenders thereto, Bank of Montreal as the administration agent, Wilmington Trust</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as collateral agent and Bank of Montreal, Investec Inc. and Comerica Bank as joint lead arrangers</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(incorporated by reference to Exhibit 10.1 to the Current Report on Form 8-K filed by the Company on</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August 8,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Promissory Note, dated as of May 16, 2022, by and between Arclight and Sponsor (incorporated by</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reference to Exhibit 10.6 to the Quarterly Report on Form 10-Q filed by the Company on August 10,</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7"/>
              </w:rPr>
              <w:t>Dealer Manager Agreement, dated as of November 18, 2022, by and between OPAL Fuels Inc. and BofA</w:t>
            </w:r>
          </w:p>
        </w:tc>
      </w:tr>
      <w:tr>
        <w:trPr>
          <w:trHeight w:val="220"/>
        </w:trPr>
        <w:tc>
          <w:tcPr>
            <w:tcW w:w="840" w:type="dxa"/>
            <w:vAlign w:val="bottom"/>
          </w:tcPr>
          <w:p>
            <w:pPr>
              <w:spacing w:after="0"/>
              <w:rPr>
                <w:sz w:val="19"/>
                <w:szCs w:val="19"/>
                <w:color w:val="auto"/>
              </w:rPr>
            </w:pPr>
          </w:p>
        </w:tc>
        <w:tc>
          <w:tcPr>
            <w:tcW w:w="84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Securities, Inc., as dealer manager (incorporated by reference to Exhibit (d)(xxv) to the Schedule TO</w:t>
            </w:r>
          </w:p>
        </w:tc>
      </w:tr>
      <w:tr>
        <w:trPr>
          <w:trHeight w:val="223"/>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filed by the Company on December 20,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180" w:type="dxa"/>
            <w:vAlign w:val="bottom"/>
          </w:tcPr>
          <w:p>
            <w:pPr>
              <w:spacing w:after="0"/>
              <w:rPr>
                <w:sz w:val="22"/>
                <w:szCs w:val="22"/>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7"/>
              </w:rPr>
              <w:t>Tender and Support Agreement, dated as of November 18, 2022, by and among OPAL Fuels Inc. and the</w:t>
            </w:r>
          </w:p>
        </w:tc>
      </w:tr>
      <w:tr>
        <w:trPr>
          <w:trHeight w:val="220"/>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public warrant holders and private warrant holders party thereto (incorporated by reference to Exhibit</w:t>
            </w:r>
          </w:p>
        </w:tc>
      </w:tr>
      <w:tr>
        <w:trPr>
          <w:trHeight w:val="223"/>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(d)(xxvi) to the Schedule TO filed by the Company on December 20,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180" w:type="dxa"/>
            <w:vAlign w:val="bottom"/>
          </w:tcPr>
          <w:p>
            <w:pPr>
              <w:spacing w:after="0"/>
              <w:rPr>
                <w:sz w:val="22"/>
                <w:szCs w:val="22"/>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Service Contract Agreement , dated December 15, 2022, by and between OPAL Fuels Inc. and United</w:t>
            </w:r>
          </w:p>
        </w:tc>
      </w:tr>
      <w:tr>
        <w:trPr>
          <w:trHeight w:val="220"/>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Parcel Service Oasis Supply Corporation (incorporated by reference to Exhibit 10.1 to the Current</w:t>
            </w:r>
          </w:p>
        </w:tc>
      </w:tr>
      <w:tr>
        <w:trPr>
          <w:trHeight w:val="223"/>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Report on Form 8-K filed by the Company on December 21, 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180" w:type="dxa"/>
            <w:vAlign w:val="bottom"/>
          </w:tcPr>
          <w:p>
            <w:pPr>
              <w:spacing w:after="0"/>
              <w:rPr>
                <w:sz w:val="22"/>
                <w:szCs w:val="22"/>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7"/>
              </w:rPr>
              <w:t>FM3 Credit Agreement, dated December 19, 2022, by and between Fortistar Methane LLC, OPAL Fuels</w:t>
            </w:r>
          </w:p>
        </w:tc>
      </w:tr>
      <w:tr>
        <w:trPr>
          <w:trHeight w:val="220"/>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LLC and a syndicate of lenders led by MUFG Union Bank N.A. as administrative agent (incorporated</w:t>
            </w:r>
          </w:p>
        </w:tc>
      </w:tr>
      <w:tr>
        <w:trPr>
          <w:trHeight w:val="220"/>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w w:val="99"/>
              </w:rPr>
              <w:t>by reference to Exhibit 10.2 to the Current Report on Form 8-K filed by the Company on December 21,</w:t>
            </w:r>
          </w:p>
        </w:tc>
      </w:tr>
      <w:tr>
        <w:trPr>
          <w:trHeight w:val="223"/>
        </w:trPr>
        <w:tc>
          <w:tcPr>
            <w:tcW w:w="840" w:type="dxa"/>
            <w:vAlign w:val="bottom"/>
          </w:tcPr>
          <w:p>
            <w:pPr>
              <w:spacing w:after="0"/>
              <w:rPr>
                <w:sz w:val="19"/>
                <w:szCs w:val="19"/>
                <w:color w:val="auto"/>
              </w:rPr>
            </w:pPr>
          </w:p>
        </w:tc>
        <w:tc>
          <w:tcPr>
            <w:tcW w:w="84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2"/>
                <w:szCs w:val="22"/>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List of subsidiaries of the registrant (incorporated by reference to Exhibit 21.1 to the Current Report on</w:t>
            </w:r>
          </w:p>
        </w:tc>
      </w:tr>
      <w:tr>
        <w:trPr>
          <w:trHeight w:val="223"/>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Form 8-K filed by the Company on July 27, 2022).</w:t>
            </w:r>
          </w:p>
        </w:tc>
      </w:tr>
      <w:tr>
        <w:trPr>
          <w:trHeight w:val="26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80" w:type="dxa"/>
            <w:vAlign w:val="bottom"/>
          </w:tcPr>
          <w:p>
            <w:pPr>
              <w:spacing w:after="0"/>
              <w:rPr>
                <w:sz w:val="22"/>
                <w:szCs w:val="22"/>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Consent of BDO USA, LLP, independent registered accounting firm for OPAL Fuels Inc.</w:t>
            </w:r>
          </w:p>
        </w:tc>
      </w:tr>
    </w:tbl>
    <w:p>
      <w:pPr>
        <w:spacing w:after="0" w:line="200" w:lineRule="exact"/>
        <w:rPr>
          <w:sz w:val="20"/>
          <w:szCs w:val="20"/>
          <w:color w:val="auto"/>
        </w:rPr>
      </w:pPr>
    </w:p>
    <w:p>
      <w:pPr>
        <w:sectPr>
          <w:pgSz w:w="12240" w:h="15846" w:orient="portrait"/>
          <w:cols w:equalWidth="0" w:num="1">
            <w:col w:w="9366"/>
          </w:cols>
          <w:pgMar w:left="1440" w:top="978" w:right="1440" w:bottom="348"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96</w:t>
      </w:r>
    </w:p>
    <w:p>
      <w:pPr>
        <w:sectPr>
          <w:pgSz w:w="12240" w:h="15846" w:orient="portrait"/>
          <w:cols w:equalWidth="0" w:num="1">
            <w:col w:w="9366"/>
          </w:cols>
          <w:pgMar w:left="1440" w:top="978" w:right="1440" w:bottom="348"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8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00" w:type="dxa"/>
            <w:vAlign w:val="bottom"/>
            <w:tcBorders>
              <w:bottom w:val="single" w:sz="8" w:color="auto"/>
            </w:tcBorders>
          </w:tcPr>
          <w:p>
            <w:pPr>
              <w:ind w:left="368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tcBorders>
              <w:bottom w:val="single" w:sz="8" w:color="auto"/>
            </w:tcBorders>
          </w:tcPr>
          <w:p>
            <w:pPr>
              <w:spacing w:after="0"/>
              <w:rPr>
                <w:sz w:val="18"/>
                <w:szCs w:val="18"/>
                <w:color w:val="auto"/>
              </w:rPr>
            </w:pPr>
          </w:p>
        </w:tc>
      </w:tr>
      <w:tr>
        <w:trPr>
          <w:trHeight w:val="24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00" w:type="dxa"/>
            <w:vAlign w:val="bottom"/>
          </w:tcPr>
          <w:p>
            <w:pPr>
              <w:spacing w:after="0"/>
              <w:rPr>
                <w:sz w:val="21"/>
                <w:szCs w:val="21"/>
                <w:color w:val="auto"/>
              </w:rPr>
            </w:pP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Rules 13a-14(a) and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15d-14(a) under</w:t>
            </w:r>
          </w:p>
        </w:tc>
      </w:tr>
      <w:tr>
        <w:trPr>
          <w:trHeight w:val="22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20"/>
                <w:szCs w:val="20"/>
                <w:color w:val="auto"/>
              </w:rPr>
              <w:t>the Securities Exchange Act of 1934, as Adopted Pursuant to Section 302 of the</w:t>
            </w:r>
          </w:p>
        </w:tc>
        <w:tc>
          <w:tcPr>
            <w:tcW w:w="1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Sarbanes-Oxley</w:t>
            </w:r>
          </w:p>
        </w:tc>
      </w:tr>
      <w:tr>
        <w:trPr>
          <w:trHeight w:val="223"/>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Act of 2002.</w:t>
            </w:r>
          </w:p>
        </w:tc>
        <w:tc>
          <w:tcPr>
            <w:tcW w:w="1340" w:type="dxa"/>
            <w:vAlign w:val="bottom"/>
          </w:tcPr>
          <w:p>
            <w:pPr>
              <w:spacing w:after="0"/>
              <w:rPr>
                <w:sz w:val="19"/>
                <w:szCs w:val="19"/>
                <w:color w:val="auto"/>
              </w:rPr>
            </w:pP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00" w:type="dxa"/>
            <w:vAlign w:val="bottom"/>
          </w:tcPr>
          <w:p>
            <w:pPr>
              <w:spacing w:after="0"/>
              <w:rPr>
                <w:sz w:val="22"/>
                <w:szCs w:val="22"/>
                <w:color w:val="auto"/>
              </w:rPr>
            </w:pP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Rules 13a-14(a) and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15d-14(a) under</w:t>
            </w:r>
          </w:p>
        </w:tc>
      </w:tr>
      <w:tr>
        <w:trPr>
          <w:trHeight w:val="22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20"/>
                <w:szCs w:val="20"/>
                <w:color w:val="auto"/>
              </w:rPr>
              <w:t>the Securities Exchange Act of 1934, as Adopted Pursuant to Section 302 of the</w:t>
            </w:r>
          </w:p>
        </w:tc>
        <w:tc>
          <w:tcPr>
            <w:tcW w:w="1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Sarbanes-Oxley</w:t>
            </w:r>
          </w:p>
        </w:tc>
      </w:tr>
      <w:tr>
        <w:trPr>
          <w:trHeight w:val="223"/>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Act of 2002.</w:t>
            </w:r>
          </w:p>
        </w:tc>
        <w:tc>
          <w:tcPr>
            <w:tcW w:w="1340" w:type="dxa"/>
            <w:vAlign w:val="bottom"/>
          </w:tcPr>
          <w:p>
            <w:pPr>
              <w:spacing w:after="0"/>
              <w:rPr>
                <w:sz w:val="19"/>
                <w:szCs w:val="19"/>
                <w:color w:val="auto"/>
              </w:rPr>
            </w:pP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31.3**</w:t>
            </w:r>
          </w:p>
        </w:tc>
        <w:tc>
          <w:tcPr>
            <w:tcW w:w="100" w:type="dxa"/>
            <w:vAlign w:val="bottom"/>
          </w:tcPr>
          <w:p>
            <w:pPr>
              <w:spacing w:after="0"/>
              <w:rPr>
                <w:sz w:val="22"/>
                <w:szCs w:val="22"/>
                <w:color w:val="auto"/>
              </w:rPr>
            </w:pPr>
          </w:p>
        </w:tc>
        <w:tc>
          <w:tcPr>
            <w:tcW w:w="83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w:t>
            </w:r>
          </w:p>
        </w:tc>
      </w:tr>
      <w:tr>
        <w:trPr>
          <w:trHeight w:val="223"/>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2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20"/>
                <w:szCs w:val="20"/>
                <w:color w:val="auto"/>
                <w:w w:val="96"/>
              </w:rPr>
              <w:t>Securities Exchange Act of 1934, as Adopted Pursuant to Section 302 of the Sarbanes-Oxley Act of 2002.</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Certification of Co-Principal Executive Officer Pursuant to 18 U.S.C. Section 1350, as Adopted Pursuant</w:t>
            </w:r>
          </w:p>
        </w:tc>
      </w:tr>
      <w:tr>
        <w:trPr>
          <w:trHeight w:val="223"/>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9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 Section 906 of the Sarbanes-Oxley Act of 2002.</w:t>
            </w:r>
          </w:p>
        </w:tc>
        <w:tc>
          <w:tcPr>
            <w:tcW w:w="1340" w:type="dxa"/>
            <w:vAlign w:val="bottom"/>
          </w:tcPr>
          <w:p>
            <w:pPr>
              <w:spacing w:after="0"/>
              <w:rPr>
                <w:sz w:val="19"/>
                <w:szCs w:val="19"/>
                <w:color w:val="auto"/>
              </w:rPr>
            </w:pP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Certification of Co-Principal Executive Officer Pursuant to 18 U.S.C. Section 1350, as Adopted Pursuant</w:t>
            </w:r>
          </w:p>
        </w:tc>
      </w:tr>
      <w:tr>
        <w:trPr>
          <w:trHeight w:val="223"/>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9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 Section 906 of the Sarbanes-Oxley Act of 2002.</w:t>
            </w:r>
          </w:p>
        </w:tc>
        <w:tc>
          <w:tcPr>
            <w:tcW w:w="1340" w:type="dxa"/>
            <w:vAlign w:val="bottom"/>
          </w:tcPr>
          <w:p>
            <w:pPr>
              <w:spacing w:after="0"/>
              <w:rPr>
                <w:sz w:val="19"/>
                <w:szCs w:val="19"/>
                <w:color w:val="auto"/>
              </w:rPr>
            </w:pP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32.3**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Certification of Principal Financial Officer Pursuant to 18 U.S.C. Section 1350, as Adopted Pursuant to</w:t>
            </w:r>
          </w:p>
        </w:tc>
      </w:tr>
      <w:tr>
        <w:trPr>
          <w:trHeight w:val="223"/>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9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906 of the Sarbanes-Oxley Act of 2002.</w:t>
            </w:r>
          </w:p>
        </w:tc>
        <w:tc>
          <w:tcPr>
            <w:tcW w:w="1340" w:type="dxa"/>
            <w:vAlign w:val="bottom"/>
          </w:tcPr>
          <w:p>
            <w:pPr>
              <w:spacing w:after="0"/>
              <w:rPr>
                <w:sz w:val="19"/>
                <w:szCs w:val="19"/>
                <w:color w:val="auto"/>
              </w:rPr>
            </w:pPr>
          </w:p>
        </w:tc>
      </w:tr>
      <w:tr>
        <w:trPr>
          <w:trHeight w:val="260"/>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101**.INS</w:t>
            </w:r>
          </w:p>
        </w:tc>
        <w:tc>
          <w:tcPr>
            <w:tcW w:w="8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1340" w:type="dxa"/>
            <w:vAlign w:val="bottom"/>
          </w:tcPr>
          <w:p>
            <w:pPr>
              <w:spacing w:after="0"/>
              <w:rPr>
                <w:sz w:val="22"/>
                <w:szCs w:val="22"/>
                <w:color w:val="auto"/>
              </w:rPr>
            </w:pPr>
          </w:p>
        </w:tc>
      </w:tr>
      <w:tr>
        <w:trPr>
          <w:trHeight w:val="260"/>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101.SCH</w:t>
            </w:r>
          </w:p>
        </w:tc>
        <w:tc>
          <w:tcPr>
            <w:tcW w:w="8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1340" w:type="dxa"/>
            <w:vAlign w:val="bottom"/>
          </w:tcPr>
          <w:p>
            <w:pPr>
              <w:spacing w:after="0"/>
              <w:rPr>
                <w:sz w:val="22"/>
                <w:szCs w:val="22"/>
                <w:color w:val="auto"/>
              </w:rPr>
            </w:pPr>
          </w:p>
        </w:tc>
      </w:tr>
      <w:tr>
        <w:trPr>
          <w:trHeight w:val="260"/>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101.CAL</w:t>
            </w:r>
          </w:p>
        </w:tc>
        <w:tc>
          <w:tcPr>
            <w:tcW w:w="8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1340" w:type="dxa"/>
            <w:vAlign w:val="bottom"/>
          </w:tcPr>
          <w:p>
            <w:pPr>
              <w:spacing w:after="0"/>
              <w:rPr>
                <w:sz w:val="22"/>
                <w:szCs w:val="22"/>
                <w:color w:val="auto"/>
              </w:rPr>
            </w:pPr>
          </w:p>
        </w:tc>
      </w:tr>
      <w:tr>
        <w:trPr>
          <w:trHeight w:val="260"/>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101.LAB</w:t>
            </w:r>
          </w:p>
        </w:tc>
        <w:tc>
          <w:tcPr>
            <w:tcW w:w="8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c>
          <w:tcPr>
            <w:tcW w:w="1340" w:type="dxa"/>
            <w:vAlign w:val="bottom"/>
          </w:tcPr>
          <w:p>
            <w:pPr>
              <w:spacing w:after="0"/>
              <w:rPr>
                <w:sz w:val="22"/>
                <w:szCs w:val="22"/>
                <w:color w:val="auto"/>
              </w:rPr>
            </w:pPr>
          </w:p>
        </w:tc>
      </w:tr>
      <w:tr>
        <w:trPr>
          <w:trHeight w:val="260"/>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101.PRE</w:t>
            </w:r>
          </w:p>
        </w:tc>
        <w:tc>
          <w:tcPr>
            <w:tcW w:w="8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1340" w:type="dxa"/>
            <w:vAlign w:val="bottom"/>
          </w:tcPr>
          <w:p>
            <w:pPr>
              <w:spacing w:after="0"/>
              <w:rPr>
                <w:sz w:val="22"/>
                <w:szCs w:val="22"/>
                <w:color w:val="auto"/>
              </w:rPr>
            </w:pPr>
          </w:p>
        </w:tc>
      </w:tr>
      <w:tr>
        <w:trPr>
          <w:trHeight w:val="260"/>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101.DEF</w:t>
            </w:r>
          </w:p>
        </w:tc>
        <w:tc>
          <w:tcPr>
            <w:tcW w:w="8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1340" w:type="dxa"/>
            <w:vAlign w:val="bottom"/>
          </w:tcPr>
          <w:p>
            <w:pPr>
              <w:spacing w:after="0"/>
              <w:rPr>
                <w:sz w:val="22"/>
                <w:szCs w:val="22"/>
                <w:color w:val="auto"/>
              </w:rPr>
            </w:pPr>
          </w:p>
        </w:tc>
      </w:tr>
      <w:tr>
        <w:trPr>
          <w:trHeight w:val="26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13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ind w:right="7686"/>
        <w:spacing w:after="0" w:line="245"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spacing w:after="0" w:line="17" w:lineRule="exact"/>
        <w:rPr>
          <w:rFonts w:ascii="Times New Roman" w:cs="Times New Roman" w:eastAsia="Times New Roman" w:hAnsi="Times New Roman"/>
          <w:sz w:val="18"/>
          <w:szCs w:val="18"/>
          <w:color w:val="auto"/>
        </w:rPr>
      </w:pPr>
    </w:p>
    <w:p>
      <w:pPr>
        <w:ind w:left="480" w:right="6" w:hanging="48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Company agrees to furnish supplementally a copy of any omitted schedule or exhibit to the SEC upon request.</w:t>
      </w:r>
    </w:p>
    <w:p>
      <w:pPr>
        <w:spacing w:after="0" w:line="17" w:lineRule="exact"/>
        <w:rPr>
          <w:rFonts w:ascii="Times New Roman" w:cs="Times New Roman" w:eastAsia="Times New Roman" w:hAnsi="Times New Roman"/>
          <w:sz w:val="18"/>
          <w:szCs w:val="18"/>
          <w:color w:val="auto"/>
        </w:rPr>
      </w:pPr>
    </w:p>
    <w:p>
      <w:pPr>
        <w:ind w:left="480" w:right="6" w:hanging="4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p>
      <w:pPr>
        <w:sectPr>
          <w:pgSz w:w="12240" w:h="15846" w:orient="portrait"/>
          <w:cols w:equalWidth="0" w:num="1">
            <w:col w:w="9366"/>
          </w:cols>
          <w:pgMar w:left="1440" w:top="97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97</w:t>
      </w:r>
    </w:p>
    <w:p>
      <w:pPr>
        <w:sectPr>
          <w:pgSz w:w="12240" w:h="15846" w:orient="portrait"/>
          <w:cols w:equalWidth="0" w:num="1">
            <w:col w:w="9366"/>
          </w:cols>
          <w:pgMar w:left="1440" w:top="978" w:right="1440" w:bottom="348" w:gutter="0" w:footer="0" w:header="0"/>
          <w:type w:val="continuous"/>
        </w:sectPr>
      </w:pPr>
    </w:p>
    <w:bookmarkStart w:id="109" w:name="page110"/>
    <w:bookmarkEnd w:id="109"/>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OPAL FUELS INC.</w:t>
            </w:r>
          </w:p>
        </w:tc>
        <w:tc>
          <w:tcPr>
            <w:tcW w:w="26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01"/>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March 28, 2023</w:t>
            </w:r>
          </w:p>
        </w:tc>
        <w:tc>
          <w:tcPr>
            <w:tcW w:w="528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By: /s/ Jonathan Maurer</w:t>
            </w:r>
          </w:p>
        </w:tc>
      </w:tr>
      <w:tr>
        <w:trPr>
          <w:trHeight w:val="20"/>
        </w:trPr>
        <w:tc>
          <w:tcPr>
            <w:tcW w:w="3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239"/>
        </w:trPr>
        <w:tc>
          <w:tcPr>
            <w:tcW w:w="3960" w:type="dxa"/>
            <w:vAlign w:val="bottom"/>
          </w:tcPr>
          <w:p>
            <w:pPr>
              <w:spacing w:after="0"/>
              <w:rPr>
                <w:sz w:val="20"/>
                <w:szCs w:val="20"/>
                <w:color w:val="auto"/>
              </w:rPr>
            </w:pPr>
          </w:p>
        </w:tc>
        <w:tc>
          <w:tcPr>
            <w:tcW w:w="528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Name: Jonathan Maurer</w:t>
            </w:r>
          </w:p>
        </w:tc>
      </w:tr>
      <w:tr>
        <w:trPr>
          <w:trHeight w:val="260"/>
        </w:trPr>
        <w:tc>
          <w:tcPr>
            <w:tcW w:w="3960" w:type="dxa"/>
            <w:vAlign w:val="bottom"/>
          </w:tcPr>
          <w:p>
            <w:pPr>
              <w:spacing w:after="0"/>
              <w:rPr>
                <w:sz w:val="22"/>
                <w:szCs w:val="22"/>
                <w:color w:val="auto"/>
              </w:rPr>
            </w:pPr>
          </w:p>
        </w:tc>
        <w:tc>
          <w:tcPr>
            <w:tcW w:w="528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Title: Co-Chief Executive Officer</w:t>
            </w:r>
          </w:p>
        </w:tc>
      </w:tr>
    </w:tbl>
    <w:p>
      <w:pPr>
        <w:spacing w:after="0" w:line="15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Jonathan Maurer, Adam Comora, Ann Anthony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73"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88"/>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Jonathan Maurer</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Jonathan Maurer</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Adam Comora</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Adam Comora</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Ann Anthony</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Ann Anthony</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Comora</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Chairman</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Mark Comora</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Betsy L. Battle</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Betsy L. Battle</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Scott Dols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Scott Dols</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bl>
    <w:p>
      <w:pPr>
        <w:spacing w:after="0" w:line="200" w:lineRule="exact"/>
        <w:rPr>
          <w:sz w:val="20"/>
          <w:szCs w:val="20"/>
          <w:color w:val="auto"/>
        </w:rPr>
      </w:pP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98</w:t>
      </w:r>
    </w:p>
    <w:p>
      <w:pPr>
        <w:sectPr>
          <w:pgSz w:w="12240" w:h="15846" w:orient="portrait"/>
          <w:cols w:equalWidth="0" w:num="1">
            <w:col w:w="9366"/>
          </w:cols>
          <w:pgMar w:left="1440" w:top="947" w:right="1440" w:bottom="348"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88"/>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Kevin M. Fogarty</w:t>
            </w:r>
          </w:p>
        </w:tc>
        <w:tc>
          <w:tcPr>
            <w:tcW w:w="1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Kevin M. Fogarty</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Marco F. Gatti</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Marco F. Gatti</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Nadeem Nisar</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Nadeem Nisar</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40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Ashok Vemuri</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Ashok Vemuri</w:t>
            </w:r>
          </w:p>
        </w:tc>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2023</w:t>
            </w:r>
          </w:p>
        </w:tc>
        <w:tc>
          <w:tcPr>
            <w:tcW w:w="180" w:type="dxa"/>
            <w:vAlign w:val="bottom"/>
          </w:tcPr>
          <w:p>
            <w:pPr>
              <w:spacing w:after="0"/>
              <w:rPr>
                <w:sz w:val="22"/>
                <w:szCs w:val="22"/>
                <w:color w:val="auto"/>
              </w:rPr>
            </w:pPr>
          </w:p>
        </w:tc>
        <w:tc>
          <w:tcPr>
            <w:tcW w:w="4500" w:type="dxa"/>
            <w:vAlign w:val="bottom"/>
          </w:tcPr>
          <w:p>
            <w:pPr>
              <w:spacing w:after="0"/>
              <w:rPr>
                <w:sz w:val="22"/>
                <w:szCs w:val="22"/>
                <w:color w:val="auto"/>
              </w:rPr>
            </w:pPr>
          </w:p>
        </w:tc>
      </w:tr>
    </w:tbl>
    <w:p>
      <w:pPr>
        <w:spacing w:after="0" w:line="200" w:lineRule="exact"/>
        <w:rPr>
          <w:sz w:val="20"/>
          <w:szCs w:val="20"/>
          <w:color w:val="auto"/>
        </w:rPr>
      </w:pPr>
    </w:p>
    <w:p>
      <w:pPr>
        <w:sectPr>
          <w:pgSz w:w="12240" w:h="15846" w:orient="portrait"/>
          <w:cols w:equalWidth="0" w:num="1">
            <w:col w:w="9366"/>
          </w:cols>
          <w:pgMar w:left="1440" w:top="980"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99</w:t>
      </w:r>
    </w:p>
    <w:p>
      <w:pPr>
        <w:sectPr>
          <w:pgSz w:w="12240" w:h="15846" w:orient="portrait"/>
          <w:cols w:equalWidth="0" w:num="1">
            <w:col w:w="9366"/>
          </w:cols>
          <w:pgMar w:left="1440" w:top="980" w:right="1440" w:bottom="348"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30"/>
        </w:trPr>
        <w:tc>
          <w:tcPr>
            <w:tcW w:w="8700" w:type="dxa"/>
            <w:vAlign w:val="bottom"/>
          </w:tcPr>
          <w:p>
            <w:pPr>
              <w:jc w:val="right"/>
              <w:ind w:right="134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440" w:type="dxa"/>
            <w:vAlign w:val="bottom"/>
          </w:tcPr>
          <w:p>
            <w:pPr>
              <w:spacing w:after="0"/>
              <w:rPr>
                <w:sz w:val="19"/>
                <w:szCs w:val="19"/>
                <w:color w:val="auto"/>
              </w:rPr>
            </w:pPr>
          </w:p>
        </w:tc>
      </w:tr>
      <w:tr>
        <w:trPr>
          <w:trHeight w:val="437"/>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(BDO USA, LLP; Stamford,</w:t>
            </w:r>
          </w:p>
        </w:tc>
        <w:tc>
          <w:tcPr>
            <w:tcW w:w="440" w:type="dxa"/>
            <w:vAlign w:val="bottom"/>
          </w:tcPr>
          <w:p>
            <w:pPr>
              <w:spacing w:after="0"/>
              <w:rPr>
                <w:sz w:val="24"/>
                <w:szCs w:val="24"/>
                <w:color w:val="auto"/>
              </w:rPr>
            </w:pPr>
          </w:p>
        </w:tc>
      </w:tr>
      <w:tr>
        <w:trPr>
          <w:trHeight w:val="223"/>
        </w:trPr>
        <w:tc>
          <w:tcPr>
            <w:tcW w:w="87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CT; PCAOB ID No.243) . . . . . . . . . . . . . . . . . . . . . . . . . . . . . . . . . . . . . . . . . . . . . . . . . . . . . . . . . . . . . . . .</w:t>
            </w:r>
          </w:p>
        </w:tc>
        <w:tc>
          <w:tcPr>
            <w:tcW w:w="44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w w:val="93"/>
              </w:rPr>
              <w:t>F-1</w:t>
            </w:r>
          </w:p>
        </w:tc>
      </w:tr>
      <w:tr>
        <w:trPr>
          <w:trHeight w:val="260"/>
        </w:trPr>
        <w:tc>
          <w:tcPr>
            <w:tcW w:w="8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Consolidated Balance Sheets as of December 31, 2022 and 2021 . . . . . . . . . . . . . . . . . . . . . . . . . . . . . . . . . .</w:t>
            </w:r>
          </w:p>
        </w:tc>
        <w:tc>
          <w:tcPr>
            <w:tcW w:w="4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3"/>
              </w:rPr>
              <w:t>F-2</w:t>
            </w:r>
          </w:p>
        </w:tc>
      </w:tr>
      <w:tr>
        <w:trPr>
          <w:trHeight w:val="260"/>
        </w:trPr>
        <w:tc>
          <w:tcPr>
            <w:tcW w:w="8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2022 and 2021 . . . . . . . . . . . . . .</w:t>
            </w:r>
          </w:p>
        </w:tc>
        <w:tc>
          <w:tcPr>
            <w:tcW w:w="4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3"/>
              </w:rPr>
              <w:t>F-4</w:t>
            </w:r>
          </w:p>
        </w:tc>
      </w:tr>
      <w:tr>
        <w:trPr>
          <w:trHeight w:val="260"/>
        </w:trPr>
        <w:tc>
          <w:tcPr>
            <w:tcW w:w="8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Consolidated Statements of Comprehensive Income for the years ended December 31, 2022 and 2021 . . . .</w:t>
            </w:r>
          </w:p>
        </w:tc>
        <w:tc>
          <w:tcPr>
            <w:tcW w:w="4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3"/>
              </w:rPr>
              <w:t>F-5</w:t>
            </w:r>
          </w:p>
        </w:tc>
      </w:tr>
      <w:tr>
        <w:trPr>
          <w:trHeight w:val="257"/>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Redeemable non-controlling interests, Redeemable preferred</w:t>
            </w:r>
          </w:p>
        </w:tc>
        <w:tc>
          <w:tcPr>
            <w:tcW w:w="440" w:type="dxa"/>
            <w:vAlign w:val="bottom"/>
          </w:tcPr>
          <w:p>
            <w:pPr>
              <w:spacing w:after="0"/>
              <w:rPr>
                <w:sz w:val="22"/>
                <w:szCs w:val="22"/>
                <w:color w:val="auto"/>
              </w:rPr>
            </w:pPr>
          </w:p>
        </w:tc>
      </w:tr>
      <w:tr>
        <w:trPr>
          <w:trHeight w:val="220"/>
        </w:trPr>
        <w:tc>
          <w:tcPr>
            <w:tcW w:w="8700" w:type="dxa"/>
            <w:vAlign w:val="bottom"/>
          </w:tcPr>
          <w:p>
            <w:pPr>
              <w:jc w:val="right"/>
              <w:ind w:right="540"/>
              <w:spacing w:after="0" w:line="220" w:lineRule="exact"/>
              <w:rPr>
                <w:sz w:val="20"/>
                <w:szCs w:val="20"/>
                <w:color w:val="auto"/>
              </w:rPr>
            </w:pPr>
            <w:r>
              <w:rPr>
                <w:rFonts w:ascii="Times New Roman" w:cs="Times New Roman" w:eastAsia="Times New Roman" w:hAnsi="Times New Roman"/>
                <w:sz w:val="20"/>
                <w:szCs w:val="20"/>
                <w:color w:val="auto"/>
              </w:rPr>
              <w:t>non-controlling interest and Stockholders’ (deficit) Equity for the years ended December 31, 2022</w:t>
            </w:r>
          </w:p>
        </w:tc>
        <w:tc>
          <w:tcPr>
            <w:tcW w:w="440" w:type="dxa"/>
            <w:vAlign w:val="bottom"/>
          </w:tcPr>
          <w:p>
            <w:pPr>
              <w:spacing w:after="0"/>
              <w:rPr>
                <w:sz w:val="19"/>
                <w:szCs w:val="19"/>
                <w:color w:val="auto"/>
              </w:rPr>
            </w:pPr>
          </w:p>
        </w:tc>
      </w:tr>
      <w:tr>
        <w:trPr>
          <w:trHeight w:val="223"/>
        </w:trPr>
        <w:tc>
          <w:tcPr>
            <w:tcW w:w="87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and 2021 . . . . . . . . . . . . . . . . . . . . . . . . . . . . . . . . . . . . . . . . . . . . . . . . . . . . . . . . . . . . . . . . . . . . . . . . . . . .</w:t>
            </w:r>
          </w:p>
        </w:tc>
        <w:tc>
          <w:tcPr>
            <w:tcW w:w="44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color w:val="auto"/>
                <w:w w:val="93"/>
              </w:rPr>
              <w:t>F-6</w:t>
            </w:r>
          </w:p>
        </w:tc>
      </w:tr>
      <w:tr>
        <w:trPr>
          <w:trHeight w:val="260"/>
        </w:trPr>
        <w:tc>
          <w:tcPr>
            <w:tcW w:w="8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Consolidated Statements of Cash Flows for the years ended December 31, 2022 and 2021 . . . . . . . . . . . . . .</w:t>
            </w:r>
          </w:p>
        </w:tc>
        <w:tc>
          <w:tcPr>
            <w:tcW w:w="4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3"/>
              </w:rPr>
              <w:t>F-7</w:t>
            </w:r>
          </w:p>
        </w:tc>
      </w:tr>
      <w:tr>
        <w:trPr>
          <w:trHeight w:val="260"/>
        </w:trPr>
        <w:tc>
          <w:tcPr>
            <w:tcW w:w="8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Notes to Consolidated Financial Statements . . . . . . . . . . . . . . . . . . . . . . . . . . . . . . . . . . . . . . . . . . . . . . . . . . .</w:t>
            </w:r>
          </w:p>
        </w:tc>
        <w:tc>
          <w:tcPr>
            <w:tcW w:w="4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3"/>
              </w:rPr>
              <w:t>F-9</w:t>
            </w:r>
          </w:p>
        </w:tc>
      </w:tr>
    </w:tbl>
    <w:p>
      <w:pPr>
        <w:spacing w:after="0" w:line="200" w:lineRule="exact"/>
        <w:rPr>
          <w:sz w:val="20"/>
          <w:szCs w:val="20"/>
          <w:color w:val="auto"/>
        </w:rPr>
      </w:pP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100</w:t>
      </w:r>
    </w:p>
    <w:p>
      <w:pPr>
        <w:sectPr>
          <w:pgSz w:w="12240" w:h="15846" w:orient="portrait"/>
          <w:cols w:equalWidth="0" w:num="1">
            <w:col w:w="9366"/>
          </w:cols>
          <w:pgMar w:left="1440" w:top="947" w:right="1440" w:bottom="348" w:gutter="0" w:footer="0" w:header="0"/>
          <w:type w:val="continuous"/>
        </w:sectPr>
      </w:pPr>
    </w:p>
    <w:bookmarkStart w:id="112" w:name="page113"/>
    <w:bookmarkEnd w:id="112"/>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OPAL Fuels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White Plains, 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OPAL Fuels Inc. and its subsidiaries (the “Company”) as of December 31, 2022 and 2021, the related consolidated statements of operations and comprehensive income, changes in redeemable non-controlling interest, redeemable preferred non-controlling interest and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in conformity with accounting principles generally accepted in the United States of America.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Parties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As discussed in Note 11 “Related Parties” to the consolidated financial statements, OPAL Fuels Inc. and its subsidiaries have entered into significant transactions with NextEra Energy Marketing, LLC (“NextEra”) and Fortistar LLC (“Fortistar”), which are related parties. Our opinion is not modified with respect to this matter.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LLP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Stamford, 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28, 2023</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F-1</w:t>
      </w:r>
    </w:p>
    <w:p>
      <w:pPr>
        <w:sectPr>
          <w:pgSz w:w="12240" w:h="15846" w:orient="portrait"/>
          <w:cols w:equalWidth="0" w:num="1">
            <w:col w:w="9366"/>
          </w:cols>
          <w:pgMar w:left="1440" w:top="947" w:right="1440" w:bottom="348" w:gutter="0" w:footer="0" w:header="0"/>
          <w:type w:val="continuous"/>
        </w:sectPr>
      </w:pPr>
    </w:p>
    <w:bookmarkStart w:id="113" w:name="page114"/>
    <w:bookmarkEnd w:id="113"/>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9"/>
        </w:trPr>
        <w:tc>
          <w:tcPr>
            <w:tcW w:w="6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0"/>
              <w:spacing w:after="0" w:line="219"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28"/>
        </w:trPr>
        <w:tc>
          <w:tcPr>
            <w:tcW w:w="6820" w:type="dxa"/>
            <w:vAlign w:val="bottom"/>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Assets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(includes $12,506 and $1,991 at December 31, 2022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w w:val="99"/>
              </w:rPr>
              <w:t>and December 31, 2021, respectively, related to consolidated VIEs) . . . . . . . . . .</w:t>
            </w:r>
          </w:p>
        </w:tc>
        <w:tc>
          <w:tcPr>
            <w:tcW w:w="280" w:type="dxa"/>
            <w:vAlign w:val="bottom"/>
            <w:gridSpan w:val="2"/>
          </w:tcPr>
          <w:p>
            <w:pPr>
              <w:jc w:val="right"/>
              <w:ind w:right="3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40,394</w:t>
            </w:r>
          </w:p>
        </w:tc>
        <w:tc>
          <w:tcPr>
            <w:tcW w:w="80" w:type="dxa"/>
            <w:vAlign w:val="bottom"/>
          </w:tcPr>
          <w:p>
            <w:pPr>
              <w:spacing w:after="0"/>
              <w:rPr>
                <w:sz w:val="19"/>
                <w:szCs w:val="19"/>
                <w:color w:val="auto"/>
              </w:rPr>
            </w:pPr>
          </w:p>
        </w:tc>
        <w:tc>
          <w:tcPr>
            <w:tcW w:w="300" w:type="dxa"/>
            <w:vAlign w:val="bottom"/>
            <w:gridSpan w:val="2"/>
          </w:tcPr>
          <w:p>
            <w:pPr>
              <w:jc w:val="right"/>
              <w:ind w:right="1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39,314</w:t>
            </w: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net (includes $966 and $40 at December 31, 2022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2021, respectively, related to consolidated VIEs) . . .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31,083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25,391</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related party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 – current (includes $6,971 and $— at December 31, 2022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2021, respectively, related to consolidated VIEs) . . .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32,402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 term investments .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Fuel tax credits receivable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Contract assets . . . . . . .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8,484</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Parts inventory . . . . . . .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5,143</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Environmental credits held for sale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 and other current assets (includes $415 and $113 at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2022 and December 31, 2021, respectively, related to</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7,625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5,482</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financial assets, current portion . . . . . . . . . . . . . . . . . . . . . . . . . . . . . . .</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0" w:type="dxa"/>
            <w:vAlign w:val="bottom"/>
          </w:tcPr>
          <w:p>
            <w:pPr>
              <w:spacing w:after="0"/>
              <w:rPr>
                <w:sz w:val="1"/>
                <w:szCs w:val="1"/>
                <w:color w:val="auto"/>
              </w:rPr>
            </w:pPr>
          </w:p>
        </w:tc>
      </w:tr>
      <w:tr>
        <w:trPr>
          <w:trHeight w:val="221"/>
        </w:trPr>
        <w:tc>
          <w:tcPr>
            <w:tcW w:w="68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assets . . . . . . . . . . . . . . . . . . . . . . . . . . . . . . . . . . . . . . . . . . . . . . . .</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211,983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86,975</w:t>
            </w:r>
          </w:p>
        </w:tc>
        <w:tc>
          <w:tcPr>
            <w:tcW w:w="0" w:type="dxa"/>
            <w:vAlign w:val="bottom"/>
          </w:tcPr>
          <w:p>
            <w:pPr>
              <w:spacing w:after="0"/>
              <w:rPr>
                <w:sz w:val="1"/>
                <w:szCs w:val="1"/>
                <w:color w:val="auto"/>
              </w:rPr>
            </w:pPr>
          </w:p>
        </w:tc>
      </w:tr>
      <w:tr>
        <w:trPr>
          <w:trHeight w:val="219"/>
        </w:trPr>
        <w:tc>
          <w:tcPr>
            <w:tcW w:w="682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Capital spares . . . . . . . . . . . . . . . . . . . . . . . . . . . . . . . . . . . . . . . . . . . .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3,443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3,025</w:t>
            </w: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plant, and equipment, net (includes $73,140 and $27,794 at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2022 and December 31, 2021, respectively, related to</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297,323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169,770</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right-of use assets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11,744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 in other entities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51,765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47,150</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Note receivable . . . . . . .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9,200</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Note receivable – variable fee component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1,656</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 financial assets, non-current portion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financing costs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2,370</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long-term assets .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assets, net . . .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2,861</w:t>
            </w: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 – non-current (includes $2,923 and $1,163 at December 31, 2022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w w:val="99"/>
              </w:rPr>
              <w:t>and December 31, 2021, respectively, related to consolidated VIEs)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2,740</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 . .</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c>
          <w:tcPr>
            <w:tcW w:w="0" w:type="dxa"/>
            <w:vAlign w:val="bottom"/>
          </w:tcPr>
          <w:p>
            <w:pPr>
              <w:spacing w:after="0"/>
              <w:rPr>
                <w:sz w:val="1"/>
                <w:szCs w:val="1"/>
                <w:color w:val="auto"/>
              </w:rPr>
            </w:pPr>
          </w:p>
        </w:tc>
      </w:tr>
      <w:tr>
        <w:trPr>
          <w:trHeight w:val="220"/>
        </w:trPr>
        <w:tc>
          <w:tcPr>
            <w:tcW w:w="68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assets . . . . . . . . . . . . . . . . . . . . . . . . . . . . . . . . . . . . . . . . . . . . . . . . . . . . . .</w:t>
            </w:r>
          </w:p>
        </w:tc>
        <w:tc>
          <w:tcPr>
            <w:tcW w:w="280" w:type="dxa"/>
            <w:vAlign w:val="bottom"/>
            <w:gridSpan w:val="2"/>
          </w:tcPr>
          <w:p>
            <w:pPr>
              <w:jc w:val="right"/>
              <w:ind w:right="3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644,856</w:t>
            </w:r>
          </w:p>
        </w:tc>
        <w:tc>
          <w:tcPr>
            <w:tcW w:w="80" w:type="dxa"/>
            <w:vAlign w:val="bottom"/>
          </w:tcPr>
          <w:p>
            <w:pPr>
              <w:spacing w:after="0"/>
              <w:rPr>
                <w:sz w:val="19"/>
                <w:szCs w:val="19"/>
                <w:color w:val="auto"/>
              </w:rPr>
            </w:pPr>
          </w:p>
        </w:tc>
        <w:tc>
          <w:tcPr>
            <w:tcW w:w="300" w:type="dxa"/>
            <w:vAlign w:val="bottom"/>
            <w:gridSpan w:val="2"/>
          </w:tcPr>
          <w:p>
            <w:pPr>
              <w:jc w:val="right"/>
              <w:ind w:right="1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380,844</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Liabilities and Equity</w:t>
            </w: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(includes $4,896 and $544 at December 31, 2022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2021, respectively, related to consolidated VIEs) . . .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22,679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12,581</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related party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Fuel tax credits payable .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payroll . . . . . . .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7,652</w:t>
            </w: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capital expenses (includes $7,821 and $1,722 at December 31, 2022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2021, respectively, related to consolidated VIEs) . . .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11,922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5,517</w:t>
            </w: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 (includes $646 and $— at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2022 and December 31, 2021, respectively, related to</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9,573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7,220</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Contract liabilities . . . . . . . . . . . . . . . . . . . . . . . . . . . . . . . . . . . . . . . . . . .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9,785</w:t>
            </w: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Senior Secured Credit Facility – term loan, current portion, net of debt issuance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costs. . . . . . . . . . . . . . . . . . . . . . . . . . . . . . . . . . . . . . . . . . . . . . . . . . . . . . . . . . .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73,145</w:t>
            </w:r>
          </w:p>
        </w:tc>
        <w:tc>
          <w:tcPr>
            <w:tcW w:w="0" w:type="dxa"/>
            <w:vAlign w:val="bottom"/>
          </w:tcPr>
          <w:p>
            <w:pPr>
              <w:spacing w:after="0"/>
              <w:rPr>
                <w:sz w:val="1"/>
                <w:szCs w:val="1"/>
                <w:color w:val="auto"/>
              </w:rPr>
            </w:pPr>
          </w:p>
        </w:tc>
      </w:tr>
      <w:tr>
        <w:trPr>
          <w:trHeight w:val="24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Senior Secured Credit Facility – working capital facility, current portion . . . . . . .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6" w:orient="portrait"/>
          <w:cols w:equalWidth="0" w:num="1">
            <w:col w:w="9366"/>
          </w:cols>
          <w:pgMar w:left="1440" w:top="947" w:right="1440" w:bottom="348" w:gutter="0" w:footer="0" w:header="0"/>
        </w:sectPr>
      </w:pPr>
    </w:p>
    <w:p>
      <w:pPr>
        <w:spacing w:after="0" w:line="25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F-2</w:t>
      </w:r>
    </w:p>
    <w:p>
      <w:pPr>
        <w:sectPr>
          <w:pgSz w:w="12240" w:h="15846" w:orient="portrait"/>
          <w:cols w:equalWidth="0" w:num="1">
            <w:col w:w="9366"/>
          </w:cols>
          <w:pgMar w:left="1440" w:top="947" w:right="1440" w:bottom="348" w:gutter="0" w:footer="0" w:header="0"/>
          <w:type w:val="continuous"/>
        </w:sectPr>
      </w:pPr>
    </w:p>
    <w:bookmarkStart w:id="114" w:name="page115"/>
    <w:bookmarkEnd w:id="114"/>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CONSOLIDATED BALANCE SHEETS — (Continued)</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9"/>
        </w:trPr>
        <w:tc>
          <w:tcPr>
            <w:tcW w:w="8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0"/>
              <w:spacing w:after="0" w:line="219"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0"/>
                <w:szCs w:val="20"/>
                <w:b w:val="1"/>
                <w:bCs w:val="1"/>
                <w:color w:val="auto"/>
                <w:vertAlign w:val="superscript"/>
              </w:rPr>
              <w:t>(1)</w:t>
            </w:r>
          </w:p>
        </w:tc>
      </w:tr>
      <w:tr>
        <w:trPr>
          <w:trHeight w:val="228"/>
        </w:trPr>
        <w:tc>
          <w:tcPr>
            <w:tcW w:w="6880" w:type="dxa"/>
            <w:vAlign w:val="bottom"/>
            <w:gridSpan w:val="2"/>
          </w:tcPr>
          <w:p>
            <w:pPr>
              <w:ind w:left="200"/>
              <w:spacing w:after="0" w:line="228" w:lineRule="exact"/>
              <w:rPr>
                <w:sz w:val="20"/>
                <w:szCs w:val="20"/>
                <w:color w:val="auto"/>
              </w:rPr>
            </w:pPr>
            <w:r>
              <w:rPr>
                <w:rFonts w:ascii="Times New Roman" w:cs="Times New Roman" w:eastAsia="Times New Roman" w:hAnsi="Times New Roman"/>
                <w:sz w:val="20"/>
                <w:szCs w:val="20"/>
                <w:color w:val="auto"/>
              </w:rPr>
              <w:t>OPAL Term Loan, current portion . . . . . . . . . . . . . . . . . . . . . . . . . . . . . . . . . . . . . .</w:t>
            </w:r>
          </w:p>
        </w:tc>
        <w:tc>
          <w:tcPr>
            <w:tcW w:w="20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27,732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13,425</w:t>
            </w:r>
          </w:p>
        </w:tc>
      </w:tr>
      <w:tr>
        <w:trPr>
          <w:trHeight w:val="237"/>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Sunoma loan, current portion (includes $380 and $756 at December 31, 2022 and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3"/>
        </w:trPr>
        <w:tc>
          <w:tcPr>
            <w:tcW w:w="688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2021, respectively, related to consolidated VIEs) . . . . . . . . . . . . .</w:t>
            </w: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756</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Convertible Note Payable . . . . . . . . . . . . . . . . . .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Municipality loan . . . . . . . . . . . . . . . . . . . . . . . .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Derivative financial liability, current portion . . .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current portion . . . .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current liabilities . . . . . . . . . . . . . . . . . . . .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r>
      <w:tr>
        <w:trPr>
          <w:trHeight w:val="241"/>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Asset retirement obligation, current portion . . . . . . . . . . . . . . . . . . . . . . . . . . . . . . .</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w:t>
            </w:r>
          </w:p>
        </w:tc>
      </w:tr>
      <w:tr>
        <w:trPr>
          <w:trHeight w:val="220"/>
        </w:trPr>
        <w:tc>
          <w:tcPr>
            <w:tcW w:w="688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liabilities . . . . . . . . . . . . . . . . . . . . . . . . . . . . . . . . . . . . . . . . . . . . .</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152,905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142,116</w:t>
            </w:r>
          </w:p>
        </w:tc>
      </w:tr>
      <w:tr>
        <w:trPr>
          <w:trHeight w:val="219"/>
        </w:trPr>
        <w:tc>
          <w:tcPr>
            <w:tcW w:w="6880" w:type="dxa"/>
            <w:vAlign w:val="bottom"/>
            <w:gridSpan w:val="2"/>
          </w:tcPr>
          <w:p>
            <w:pPr>
              <w:ind w:left="200"/>
              <w:spacing w:after="0" w:line="219" w:lineRule="exact"/>
              <w:rPr>
                <w:sz w:val="20"/>
                <w:szCs w:val="20"/>
                <w:color w:val="auto"/>
              </w:rPr>
            </w:pPr>
            <w:r>
              <w:rPr>
                <w:rFonts w:ascii="Times New Roman" w:cs="Times New Roman" w:eastAsia="Times New Roman" w:hAnsi="Times New Roman"/>
                <w:sz w:val="20"/>
                <w:szCs w:val="20"/>
                <w:color w:val="auto"/>
              </w:rPr>
              <w:t>Asset retirement obligation, non-current portion . . . . . . . . . . . . . . . . . . . . . . . . . . .</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4,960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4,907</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OPAL Term Loan . . . . . . . . . . . . . . . . . . . . . . . .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59,090</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Convertible Note Payable . . . . . . . . . . . . . . . . . . . . . . . . . . . . . . . . . . . . . . . . . . . . .</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58,710</w:t>
            </w:r>
          </w:p>
        </w:tc>
      </w:tr>
      <w:tr>
        <w:trPr>
          <w:trHeight w:val="237"/>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Sunoma loan, net of debt issuance costs (includes $21,712 and $16,199 at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88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2022 and December 31, 2021, respectively, related to</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688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color w:val="auto"/>
              </w:rPr>
              <w:t>consolidated VIEs) . . . . . . . . . . . . . . . . . . . . . . . . . . . . . . . . . . . . . . . . . . . . . . . .</w:t>
            </w: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21,712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16,199</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Municipality loan . . . . . . . . . . . . . . . . . . . . . . . . . . . . . . . . . . . . . . . . . . . . . . . . . . .</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non-current portion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Earn out liabilities . . . . . . . . . . . . . . . . . . . . . . . .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long-term liabilities . . . . . . . . . . . . . . . . . . . . . . . . . . . . . . . . . . . . . . . . . . . . .</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4,781</w:t>
            </w:r>
          </w:p>
        </w:tc>
      </w:tr>
      <w:tr>
        <w:trPr>
          <w:trHeight w:val="219"/>
        </w:trPr>
        <w:tc>
          <w:tcPr>
            <w:tcW w:w="6880" w:type="dxa"/>
            <w:vAlign w:val="bottom"/>
            <w:gridSpan w:val="2"/>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liabilities. . . . . . . . . . . . . . . . . . . . . . . . . . . . . . . . . . . . . . . . . . . . . . . . . . . .</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267,037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285,887</w:t>
            </w:r>
          </w:p>
        </w:tc>
      </w:tr>
      <w:tr>
        <w:trPr>
          <w:trHeight w:val="220"/>
        </w:trPr>
        <w:tc>
          <w:tcPr>
            <w:tcW w:w="68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Commitments and contingencies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0"/>
        </w:trPr>
        <w:tc>
          <w:tcPr>
            <w:tcW w:w="6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Redeemable preferred non-controlling interests . . .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138,142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30,210</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Redeemable non-controlling interests . . . . . . . . . . . . . . . . . . . . . . . . . . . . . . . . . . .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1,013,833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63,545</w:t>
            </w:r>
          </w:p>
        </w:tc>
      </w:tr>
      <w:tr>
        <w:trPr>
          <w:trHeight w:val="240"/>
        </w:trPr>
        <w:tc>
          <w:tcPr>
            <w:tcW w:w="6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Stockholders’ (deficit) equity</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7"/>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Class A common stock, $0.0001 par value, 340,000,000 shares authorized as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88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of December 31, 2022; 29,477,766 and 0 shares, issued and outstanding at</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688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color w:val="auto"/>
              </w:rPr>
              <w:t>December 31, 2022 and December 31, 2021, respectively . . . . . . . . . . . . . . . . . .</w:t>
            </w: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37"/>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Class B common stock, $0.0001 par value, 160,000,000 shares authorized as of</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88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2022; None issued and outstanding as of December 31, 2022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688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color w:val="auto"/>
              </w:rPr>
              <w:t>and December 31, 2021 . . . . . . . . . . . . . . . . . . . . . . . . . . . . . . . . . . . . . . . . . . . .</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37"/>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Class C common stock, $0.0001 par value, 160,000,000 shares authorized as of</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88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2022; None issued and outstanding as of December 31, 2022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688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color w:val="auto"/>
              </w:rPr>
              <w:t>and December 31, 2021 . . . . . . . . . . . . . . . . . . . . . . . . . . . . . . . . . . . . . . . . . . . .</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37"/>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Class D common stock, $0.0001 par value, 160,000,000 shares authorized as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88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of December 31, 2022; 144,399,037 issued and outstanding at December 31,</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6880" w:type="dxa"/>
            <w:vAlign w:val="bottom"/>
            <w:gridSpan w:val="2"/>
          </w:tcPr>
          <w:p>
            <w:pPr>
              <w:ind w:left="400"/>
              <w:spacing w:after="0" w:line="223" w:lineRule="exact"/>
              <w:rPr>
                <w:sz w:val="20"/>
                <w:szCs w:val="20"/>
                <w:color w:val="auto"/>
              </w:rPr>
            </w:pPr>
            <w:r>
              <w:rPr>
                <w:rFonts w:ascii="Times New Roman" w:cs="Times New Roman" w:eastAsia="Times New Roman" w:hAnsi="Times New Roman"/>
                <w:sz w:val="20"/>
                <w:szCs w:val="20"/>
                <w:color w:val="auto"/>
              </w:rPr>
              <w:t>2022 and December 31, 2021 . . . . . . . . . . . . . . . . . . . . . . . . . . . . . . . . . . . . . . . .</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 . . . .</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 . . . .</w:t>
            </w: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(800,813)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income . . . . . . . . . . . . . . . . . . . . . . . . . . . . . . .</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88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Stockholders’ (deficit) equity attributable to the Company . . . . . . . . . . . . .</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(800,601)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14</w:t>
            </w:r>
          </w:p>
        </w:tc>
      </w:tr>
      <w:tr>
        <w:trPr>
          <w:trHeight w:val="220"/>
        </w:trPr>
        <w:tc>
          <w:tcPr>
            <w:tcW w:w="688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Non-redeemable non-controlling interests . . . . . . . . . . . . . . . . . . . . . . . . . . . . . . . .</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26,445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1,188</w:t>
            </w:r>
          </w:p>
        </w:tc>
      </w:tr>
      <w:tr>
        <w:trPr>
          <w:trHeight w:val="219"/>
        </w:trPr>
        <w:tc>
          <w:tcPr>
            <w:tcW w:w="6880" w:type="dxa"/>
            <w:vAlign w:val="bottom"/>
            <w:gridSpan w:val="2"/>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Stockholders’ (deficit) equity . . . . . . . . . . . . . . . . . . . . . . . . . . . . . . . . . . .</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rPr>
              <w:t>(774,156)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1,202</w:t>
            </w:r>
          </w:p>
        </w:tc>
      </w:tr>
      <w:tr>
        <w:trPr>
          <w:trHeight w:val="217"/>
        </w:trPr>
        <w:tc>
          <w:tcPr>
            <w:tcW w:w="6880" w:type="dxa"/>
            <w:vAlign w:val="bottom"/>
            <w:gridSpan w:val="2"/>
          </w:tcPr>
          <w:p>
            <w:pPr>
              <w:ind w:left="400"/>
              <w:spacing w:after="0" w:line="217" w:lineRule="exact"/>
              <w:rPr>
                <w:sz w:val="20"/>
                <w:szCs w:val="20"/>
                <w:color w:val="auto"/>
              </w:rPr>
            </w:pPr>
            <w:r>
              <w:rPr>
                <w:rFonts w:ascii="Times New Roman" w:cs="Times New Roman" w:eastAsia="Times New Roman" w:hAnsi="Times New Roman"/>
                <w:sz w:val="20"/>
                <w:szCs w:val="20"/>
                <w:color w:val="auto"/>
              </w:rPr>
              <w:t>Total liabilities, Redeemable preferred, Redeemable non-controlling interests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24"/>
        </w:trPr>
        <w:tc>
          <w:tcPr>
            <w:tcW w:w="6880" w:type="dxa"/>
            <w:vAlign w:val="bottom"/>
            <w:gridSpan w:val="2"/>
          </w:tcPr>
          <w:p>
            <w:pPr>
              <w:ind w:left="600"/>
              <w:spacing w:after="0" w:line="223" w:lineRule="exact"/>
              <w:rPr>
                <w:sz w:val="20"/>
                <w:szCs w:val="20"/>
                <w:color w:val="auto"/>
              </w:rPr>
            </w:pPr>
            <w:r>
              <w:rPr>
                <w:rFonts w:ascii="Times New Roman" w:cs="Times New Roman" w:eastAsia="Times New Roman" w:hAnsi="Times New Roman"/>
                <w:sz w:val="20"/>
                <w:szCs w:val="20"/>
                <w:color w:val="auto"/>
              </w:rPr>
              <w:t>and Stockholders’ (deficit) equity . . . . . . . . . . . . . . . . . . . . . . . . . . . . . . . . . . .</w:t>
            </w:r>
          </w:p>
        </w:tc>
        <w:tc>
          <w:tcPr>
            <w:tcW w:w="2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644,856</w:t>
            </w:r>
          </w:p>
        </w:tc>
        <w:tc>
          <w:tcPr>
            <w:tcW w:w="120" w:type="dxa"/>
            <w:vAlign w:val="bottom"/>
          </w:tcPr>
          <w:p>
            <w:pPr>
              <w:spacing w:after="0"/>
              <w:rPr>
                <w:sz w:val="19"/>
                <w:szCs w:val="19"/>
                <w:color w:val="auto"/>
              </w:rPr>
            </w:pPr>
          </w:p>
        </w:tc>
        <w:tc>
          <w:tcPr>
            <w:tcW w:w="26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380,844</w:t>
            </w:r>
          </w:p>
        </w:tc>
      </w:tr>
      <w:tr>
        <w:trPr>
          <w:trHeight w:val="20"/>
        </w:trPr>
        <w:tc>
          <w:tcPr>
            <w:tcW w:w="8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1"/>
        </w:trPr>
        <w:tc>
          <w:tcPr>
            <w:tcW w:w="880" w:type="dxa"/>
            <w:vAlign w:val="bottom"/>
            <w:tcBorders>
              <w:bottom w:val="single" w:sz="8" w:color="auto"/>
            </w:tcBorders>
          </w:tcPr>
          <w:p>
            <w:pPr>
              <w:spacing w:after="0"/>
              <w:rPr>
                <w:sz w:val="2"/>
                <w:szCs w:val="2"/>
                <w:color w:val="auto"/>
              </w:rPr>
            </w:pPr>
          </w:p>
        </w:tc>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bl>
    <w:p>
      <w:pPr>
        <w:spacing w:after="0" w:line="83" w:lineRule="exact"/>
        <w:rPr>
          <w:sz w:val="20"/>
          <w:szCs w:val="20"/>
          <w:color w:val="auto"/>
        </w:rPr>
      </w:pPr>
    </w:p>
    <w:p>
      <w:pPr>
        <w:ind w:left="480" w:right="6" w:hanging="480"/>
        <w:spacing w:after="0" w:line="245" w:lineRule="auto"/>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Retroactively restated for the reverse capitalization upon completion of Business Combination as described in Note 3.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F-3</w:t>
      </w:r>
    </w:p>
    <w:p>
      <w:pPr>
        <w:sectPr>
          <w:pgSz w:w="12240" w:h="15846" w:orient="portrait"/>
          <w:cols w:equalWidth="0" w:num="1">
            <w:col w:w="9366"/>
          </w:cols>
          <w:pgMar w:left="1440" w:top="947" w:right="1440" w:bottom="348" w:gutter="0" w:footer="0" w:header="0"/>
          <w:type w:val="continuous"/>
        </w:sectPr>
      </w:pPr>
    </w:p>
    <w:bookmarkStart w:id="115" w:name="page116"/>
    <w:bookmarkEnd w:id="115"/>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unit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RNG fuel (includes revenues from related party of $76,920 and $0 for</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the years ended December 31, 2022 and 2021, respectively) . . . . . . . . . . . .</w:t>
            </w:r>
          </w:p>
        </w:tc>
        <w:tc>
          <w:tcPr>
            <w:tcW w:w="34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126,830</w:t>
            </w:r>
          </w:p>
        </w:tc>
        <w:tc>
          <w:tcPr>
            <w:tcW w:w="120" w:type="dxa"/>
            <w:vAlign w:val="bottom"/>
          </w:tcPr>
          <w:p>
            <w:pPr>
              <w:spacing w:after="0"/>
              <w:rPr>
                <w:sz w:val="19"/>
                <w:szCs w:val="19"/>
                <w:color w:val="auto"/>
              </w:rPr>
            </w:pPr>
          </w:p>
        </w:tc>
        <w:tc>
          <w:tcPr>
            <w:tcW w:w="500" w:type="dxa"/>
            <w:vAlign w:val="bottom"/>
            <w:gridSpan w:val="2"/>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70,360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Renewable Power (includes revenues from related party of $5,495 and</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$3,008 for the years ended December 31, 2022 and 2021, respectively) .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39,461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45,324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235,531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166,124</w:t>
            </w: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RNG fuel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41,075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Fuel station services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61,514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Renewable Power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31,580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29,380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amortization, and accretion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13,136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10,653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expenses . . . . . . . . . . . . . . . . . . . . . .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233,752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155,098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income . . . . . . . . . . . . . . . . . . .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11,026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and financing expense, net . . . . . . . . . . . . . . . . . . . . . . . . . . . . . . . . .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(6,640)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(7,467)</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derivative instruments, net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33,081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1,943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warrant exchange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(3,368)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acquisition of equity method investment.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deconsolidation of VIEs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equity method investments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2,268</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Income before provision for income taxes . . . . . . . . . . . . . . . . . . . . . . . . .</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40" w:type="dxa"/>
            <w:vAlign w:val="bottom"/>
            <w:vMerge w:val="continue"/>
          </w:tcPr>
          <w:p>
            <w:pPr>
              <w:jc w:val="right"/>
              <w:spacing w:after="0" w:line="192" w:lineRule="exact"/>
              <w:rPr>
                <w:sz w:val="20"/>
                <w:szCs w:val="20"/>
                <w:color w:val="auto"/>
              </w:rPr>
            </w:pPr>
            <w:r>
              <w:rPr>
                <w:rFonts w:ascii="Times New Roman" w:cs="Times New Roman" w:eastAsia="Times New Roman" w:hAnsi="Times New Roman"/>
                <w:sz w:val="20"/>
                <w:szCs w:val="20"/>
                <w:color w:val="auto"/>
              </w:rPr>
              <w:t>.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40,769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 for income taxes . . . . . . . . . . . . . .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40,769</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attributable to redeemable non-controlling interests . . . . . . . . . .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loss attributable to non-redeemable non-controlling interests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(1,153)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0" w:type="dxa"/>
            <w:vAlign w:val="bottom"/>
          </w:tcPr>
          <w:p>
            <w:pPr>
              <w:spacing w:after="0"/>
              <w:rPr>
                <w:sz w:val="1"/>
                <w:szCs w:val="1"/>
                <w:color w:val="auto"/>
              </w:rPr>
            </w:pPr>
          </w:p>
        </w:tc>
      </w:tr>
      <w:tr>
        <w:trPr>
          <w:trHeight w:val="262"/>
        </w:trPr>
        <w:tc>
          <w:tcPr>
            <w:tcW w:w="6440" w:type="dxa"/>
            <w:vAlign w:val="bottom"/>
          </w:tcPr>
          <w:p>
            <w:pPr>
              <w:jc w:val="right"/>
              <w:spacing w:after="0" w:line="262" w:lineRule="exact"/>
              <w:rPr>
                <w:sz w:val="20"/>
                <w:szCs w:val="20"/>
                <w:color w:val="auto"/>
              </w:rPr>
            </w:pPr>
            <w:r>
              <w:rPr>
                <w:rFonts w:ascii="Times New Roman" w:cs="Times New Roman" w:eastAsia="Times New Roman" w:hAnsi="Times New Roman"/>
                <w:sz w:val="20"/>
                <w:szCs w:val="20"/>
                <w:color w:val="auto"/>
              </w:rPr>
              <w:t>Paid-in-kind preferred dividends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attributable to Class A common stockholders . . . . . . . . . . . . . .</w:t>
            </w: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Weighted average shares outstanding of Class A common stock :</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25,774,312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26,062,398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Per share amounts:</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 . . . . . . . . . . . . . .</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120" w:type="dxa"/>
            <w:vAlign w:val="bottom"/>
          </w:tcPr>
          <w:p>
            <w:pPr>
              <w:spacing w:after="0"/>
              <w:rPr>
                <w:sz w:val="24"/>
                <w:szCs w:val="24"/>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6440" w:type="dxa"/>
            <w:vAlign w:val="bottom"/>
          </w:tcPr>
          <w:p>
            <w:pPr>
              <w:jc w:val="right"/>
              <w:spacing w:after="0" w:line="262" w:lineRule="exact"/>
              <w:rPr>
                <w:sz w:val="20"/>
                <w:szCs w:val="20"/>
                <w:color w:val="auto"/>
              </w:rPr>
            </w:pPr>
            <w:r>
              <w:rPr>
                <w:rFonts w:ascii="Times New Roman" w:cs="Times New Roman" w:eastAsia="Times New Roman" w:hAnsi="Times New Roman"/>
                <w:sz w:val="20"/>
                <w:szCs w:val="20"/>
                <w:color w:val="auto"/>
              </w:rPr>
              <w:t>Diluted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 . . . . . . . . . . . .</w:t>
            </w:r>
          </w:p>
        </w:tc>
        <w:tc>
          <w:tcPr>
            <w:tcW w:w="34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0.12</w:t>
            </w:r>
          </w:p>
        </w:tc>
        <w:tc>
          <w:tcPr>
            <w:tcW w:w="120" w:type="dxa"/>
            <w:vAlign w:val="bottom"/>
          </w:tcPr>
          <w:p>
            <w:pPr>
              <w:spacing w:after="0"/>
              <w:rPr>
                <w:sz w:val="22"/>
                <w:szCs w:val="22"/>
                <w:color w:val="auto"/>
              </w:rPr>
            </w:pPr>
          </w:p>
        </w:tc>
        <w:tc>
          <w:tcPr>
            <w:tcW w:w="500" w:type="dxa"/>
            <w:vAlign w:val="bottom"/>
            <w:gridSpan w:val="2"/>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jc w:val="both"/>
        <w:ind w:left="480" w:right="6" w:hanging="480"/>
        <w:spacing w:after="0" w:line="250"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Paid-in-kind preferred dividend is allocated between redeemable non-controlling interests and Class A common stockholders basis their weighted average percentage of ownership. Please see Note.14 </w:t>
      </w:r>
      <w:r>
        <w:rPr>
          <w:rFonts w:ascii="Times New Roman" w:cs="Times New Roman" w:eastAsia="Times New Roman" w:hAnsi="Times New Roman"/>
          <w:sz w:val="18"/>
          <w:szCs w:val="18"/>
          <w:i w:val="1"/>
          <w:iCs w:val="1"/>
          <w:color w:val="auto"/>
        </w:rPr>
        <w:t>Redeemable non-controlling interests, 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preferred non-controlling interests and stockholders› equity </w:t>
      </w:r>
      <w:r>
        <w:rPr>
          <w:rFonts w:ascii="Times New Roman" w:cs="Times New Roman" w:eastAsia="Times New Roman" w:hAnsi="Times New Roman"/>
          <w:sz w:val="18"/>
          <w:szCs w:val="18"/>
          <w:color w:val="auto"/>
        </w:rPr>
        <w:t>for additional information.</w:t>
      </w:r>
    </w:p>
    <w:p>
      <w:pPr>
        <w:spacing w:after="0" w:line="13"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per share information has not been presented for the year ended December 31, 2021 as it would not be meaningful to the users of these consolidated financial statements, Refer to Note 3. </w:t>
      </w:r>
      <w:r>
        <w:rPr>
          <w:rFonts w:ascii="Times New Roman" w:cs="Times New Roman" w:eastAsia="Times New Roman" w:hAnsi="Times New Roman"/>
          <w:sz w:val="18"/>
          <w:szCs w:val="18"/>
          <w:i w:val="1"/>
          <w:iCs w:val="1"/>
          <w:color w:val="auto"/>
        </w:rPr>
        <w:t>Business Combination.</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F-4</w:t>
      </w:r>
    </w:p>
    <w:p>
      <w:pPr>
        <w:sectPr>
          <w:pgSz w:w="12240" w:h="15846" w:orient="portrait"/>
          <w:cols w:equalWidth="0" w:num="1">
            <w:col w:w="9366"/>
          </w:cols>
          <w:pgMar w:left="1440" w:top="947" w:right="1440" w:bottom="348" w:gutter="0" w:footer="0" w:header="0"/>
          <w:type w:val="continuous"/>
        </w:sectPr>
      </w:pPr>
    </w:p>
    <w:bookmarkStart w:id="116" w:name="page117"/>
    <w:bookmarkEnd w:id="116"/>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6"/>
          </w:tcPr>
          <w:p>
            <w:pPr>
              <w:jc w:val="right"/>
              <w:ind w:right="8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66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21"/>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12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40,769</w:t>
            </w:r>
          </w:p>
        </w:tc>
        <w:tc>
          <w:tcPr>
            <w:tcW w:w="60" w:type="dxa"/>
            <w:vAlign w:val="bottom"/>
          </w:tcPr>
          <w:p>
            <w:pPr>
              <w:spacing w:after="0"/>
              <w:rPr>
                <w:sz w:val="21"/>
                <w:szCs w:val="21"/>
                <w:color w:val="auto"/>
              </w:rPr>
            </w:pPr>
          </w:p>
        </w:tc>
      </w:tr>
      <w:tr>
        <w:trPr>
          <w:trHeight w:val="26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attributable to equity method investment . . . . . . . .</w:t>
            </w:r>
          </w:p>
        </w:tc>
        <w:tc>
          <w:tcPr>
            <w:tcW w:w="26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unrealized gain on cash flow hedges . . . . . . . . . . . . . . . . . . . . . . . . . . . . . . . .</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other comprehensive income . . . . . . . . . . . . . . . . . . . . . . . . . . . . . . . . . . . . .</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comprehensive income . . . . . . . . . . . . . . . . . . . . . . . . . . . . . . . . . . . . . . . . . .</w:t>
            </w: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33,867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40,769</w:t>
            </w:r>
          </w:p>
        </w:tc>
        <w:tc>
          <w:tcPr>
            <w:tcW w:w="60" w:type="dxa"/>
            <w:vAlign w:val="bottom"/>
          </w:tcPr>
          <w:p>
            <w:pPr>
              <w:spacing w:after="0"/>
              <w:rPr>
                <w:sz w:val="20"/>
                <w:szCs w:val="20"/>
                <w:color w:val="auto"/>
              </w:rPr>
            </w:pPr>
          </w:p>
        </w:tc>
      </w:tr>
      <w:tr>
        <w:trPr>
          <w:trHeight w:val="26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Redeemable non-controlling interests . . . . . . . . . . . . .</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29,597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41,363</w:t>
            </w:r>
          </w:p>
        </w:tc>
        <w:tc>
          <w:tcPr>
            <w:tcW w:w="60" w:type="dxa"/>
            <w:vAlign w:val="bottom"/>
          </w:tcPr>
          <w:p>
            <w:pPr>
              <w:spacing w:after="0"/>
              <w:rPr>
                <w:sz w:val="22"/>
                <w:szCs w:val="22"/>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attributable to Redeemable non-controlling</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66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interests . . . . . . . . . . . . . . . . . . . . . . . . . . . . . . . . . . . . . . . . . . . . . . . . . . . . . . . .</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1,093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 attributable to non-redeemable non-controlling interests . . .</w:t>
            </w: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(1,153)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(804)</w:t>
            </w:r>
          </w:p>
        </w:tc>
      </w:tr>
      <w:tr>
        <w:trPr>
          <w:trHeight w:val="261"/>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Paid-in-kind preferred dividends . . . . . . . . . . . . . . . . . . . . . . . . . . . . . . . . . . . . . .</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210</w:t>
            </w:r>
          </w:p>
        </w:tc>
      </w:tr>
      <w:tr>
        <w:trPr>
          <w:trHeight w:val="20"/>
        </w:trPr>
        <w:tc>
          <w:tcPr>
            <w:tcW w:w="6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 attributable to Class A common stockholders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F-5</w:t>
      </w:r>
    </w:p>
    <w:p>
      <w:pPr>
        <w:sectPr>
          <w:pgSz w:w="12240" w:h="15846" w:orient="portrait"/>
          <w:cols w:equalWidth="0" w:num="1">
            <w:col w:w="9366"/>
          </w:cols>
          <w:pgMar w:left="1440" w:top="947" w:right="1440" w:bottom="348"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F-6</w:t>
            </w:r>
          </w:p>
        </w:tc>
      </w:tr>
    </w:tbl>
    <w:p>
      <w:pPr>
        <w:spacing w:after="0" w:line="20" w:lineRule="exact"/>
        <w:rPr>
          <w:sz w:val="20"/>
          <w:szCs w:val="20"/>
          <w:color w:val="auto"/>
        </w:rPr>
      </w:pPr>
      <w:r>
        <w:rPr>
          <w:sz w:val="20"/>
          <w:szCs w:val="20"/>
          <w:color w:val="auto"/>
        </w:rPr>
        <w:br w:type="column"/>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REDEEMABLE NON-CONTROLLING INTEREST, REDEEMABLE PREFERRED</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NON-CONTROLLING INTEREST AND STOCKHOLDERS’ (DEFICIT) EQUITY</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unit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60" w:type="dxa"/>
            <w:vAlign w:val="bottom"/>
          </w:tcPr>
          <w:p>
            <w:pPr>
              <w:spacing w:after="0"/>
              <w:rPr>
                <w:sz w:val="14"/>
                <w:szCs w:val="14"/>
                <w:color w:val="auto"/>
              </w:rPr>
            </w:pPr>
          </w:p>
        </w:tc>
        <w:tc>
          <w:tcPr>
            <w:tcW w:w="126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1140" w:type="dxa"/>
            <w:vAlign w:val="bottom"/>
            <w:gridSpan w:val="4"/>
          </w:tcPr>
          <w:p>
            <w:pPr>
              <w:jc w:val="center"/>
              <w:ind w:left="127"/>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Class 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60" w:type="dxa"/>
            <w:vAlign w:val="bottom"/>
          </w:tcPr>
          <w:p>
            <w:pPr>
              <w:spacing w:after="0"/>
              <w:rPr>
                <w:sz w:val="13"/>
                <w:szCs w:val="13"/>
                <w:color w:val="auto"/>
              </w:rPr>
            </w:pPr>
          </w:p>
        </w:tc>
        <w:tc>
          <w:tcPr>
            <w:tcW w:w="1260" w:type="dxa"/>
            <w:vAlign w:val="bottom"/>
            <w:gridSpan w:val="6"/>
          </w:tcPr>
          <w:p>
            <w:pPr>
              <w:jc w:val="right"/>
              <w:ind w:right="300"/>
              <w:spacing w:after="0" w:line="145"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140" w:type="dxa"/>
            <w:vAlign w:val="bottom"/>
            <w:gridSpan w:val="4"/>
          </w:tcPr>
          <w:p>
            <w:pPr>
              <w:jc w:val="center"/>
              <w:ind w:left="147"/>
              <w:spacing w:after="0" w:line="14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jc w:val="right"/>
              <w:ind w:right="10"/>
              <w:spacing w:after="0" w:line="14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6"/>
          </w:tcPr>
          <w:p>
            <w:pPr>
              <w:jc w:val="right"/>
              <w:ind w:right="360"/>
              <w:spacing w:after="0" w:line="145" w:lineRule="exact"/>
              <w:rPr>
                <w:sz w:val="20"/>
                <w:szCs w:val="20"/>
                <w:color w:val="auto"/>
              </w:rPr>
            </w:pPr>
            <w:r>
              <w:rPr>
                <w:rFonts w:ascii="Times New Roman" w:cs="Times New Roman" w:eastAsia="Times New Roman" w:hAnsi="Times New Roman"/>
                <w:sz w:val="13"/>
                <w:szCs w:val="13"/>
                <w:b w:val="1"/>
                <w:bCs w:val="1"/>
                <w:color w:val="auto"/>
              </w:rPr>
              <w:t>Mezzanine Equity</w:t>
            </w:r>
          </w:p>
        </w:tc>
        <w:tc>
          <w:tcPr>
            <w:tcW w:w="0" w:type="dxa"/>
            <w:vAlign w:val="bottom"/>
          </w:tcPr>
          <w:p>
            <w:pPr>
              <w:spacing w:after="0"/>
              <w:rPr>
                <w:sz w:val="1"/>
                <w:szCs w:val="1"/>
                <w:color w:val="auto"/>
              </w:rPr>
            </w:pPr>
          </w:p>
        </w:tc>
      </w:tr>
      <w:tr>
        <w:trPr>
          <w:trHeight w:val="145"/>
        </w:trPr>
        <w:tc>
          <w:tcPr>
            <w:tcW w:w="25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gridSpan w:val="3"/>
          </w:tcPr>
          <w:p>
            <w:pPr>
              <w:jc w:val="center"/>
              <w:ind w:right="80"/>
              <w:spacing w:after="0" w:line="14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redeemable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1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0" w:type="dxa"/>
            <w:vAlign w:val="bottom"/>
          </w:tcPr>
          <w:p>
            <w:pPr>
              <w:spacing w:after="0"/>
              <w:rPr>
                <w:sz w:val="1"/>
                <w:szCs w:val="1"/>
                <w:color w:val="auto"/>
              </w:rPr>
            </w:pPr>
          </w:p>
        </w:tc>
      </w:tr>
      <w:tr>
        <w:trPr>
          <w:trHeight w:val="150"/>
        </w:trPr>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non-</w:t>
            </w:r>
          </w:p>
        </w:tc>
        <w:tc>
          <w:tcPr>
            <w:tcW w:w="0" w:type="dxa"/>
            <w:vAlign w:val="bottom"/>
          </w:tcPr>
          <w:p>
            <w:pPr>
              <w:spacing w:after="0"/>
              <w:rPr>
                <w:sz w:val="1"/>
                <w:szCs w:val="1"/>
                <w:color w:val="auto"/>
              </w:rPr>
            </w:pPr>
          </w:p>
        </w:tc>
      </w:tr>
      <w:tr>
        <w:trPr>
          <w:trHeight w:val="150"/>
        </w:trPr>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3"/>
                <w:szCs w:val="13"/>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controlling</w:t>
            </w:r>
          </w:p>
        </w:tc>
        <w:tc>
          <w:tcPr>
            <w:tcW w:w="60" w:type="dxa"/>
            <w:vAlign w:val="bottom"/>
          </w:tcPr>
          <w:p>
            <w:pPr>
              <w:spacing w:after="0"/>
              <w:rPr>
                <w:sz w:val="13"/>
                <w:szCs w:val="13"/>
                <w:color w:val="auto"/>
              </w:rPr>
            </w:pPr>
          </w:p>
        </w:tc>
        <w:tc>
          <w:tcPr>
            <w:tcW w:w="9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40" w:type="dxa"/>
            <w:vAlign w:val="bottom"/>
          </w:tcPr>
          <w:p>
            <w:pPr>
              <w:spacing w:after="0"/>
              <w:rPr>
                <w:sz w:val="13"/>
                <w:szCs w:val="13"/>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controlling</w:t>
            </w:r>
          </w:p>
        </w:tc>
        <w:tc>
          <w:tcPr>
            <w:tcW w:w="10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0" w:type="dxa"/>
            <w:vAlign w:val="bottom"/>
          </w:tcPr>
          <w:p>
            <w:pPr>
              <w:spacing w:after="0"/>
              <w:rPr>
                <w:sz w:val="1"/>
                <w:szCs w:val="1"/>
                <w:color w:val="auto"/>
              </w:rPr>
            </w:pPr>
          </w:p>
        </w:tc>
      </w:tr>
      <w:tr>
        <w:trPr>
          <w:trHeight w:val="156"/>
        </w:trPr>
        <w:tc>
          <w:tcPr>
            <w:tcW w:w="25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December 31, 2020, as previously</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60" w:type="dxa"/>
            <w:vAlign w:val="bottom"/>
          </w:tcPr>
          <w:p>
            <w:pPr>
              <w:spacing w:after="0"/>
              <w:rPr>
                <w:sz w:val="13"/>
                <w:szCs w:val="13"/>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3"/>
                <w:szCs w:val="13"/>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60" w:type="dxa"/>
            <w:vAlign w:val="bottom"/>
            <w:vMerge w:val="continue"/>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56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 xml:space="preserve">reported </w:t>
            </w:r>
            <w:r>
              <w:rPr>
                <w:rFonts w:ascii="Times New Roman" w:cs="Times New Roman" w:eastAsia="Times New Roman" w:hAnsi="Times New Roman"/>
                <w:sz w:val="15"/>
                <w:szCs w:val="15"/>
                <w:color w:val="auto"/>
              </w:rPr>
              <w:t>. . . . . . . . . . .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986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49,170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(25,396)</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6,685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30,459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Retroactive application of</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recapitalization . . . . . . . . . . . . . . . . .</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(986)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7"/>
              </w:rPr>
              <w:t>(49,170)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142,377,450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(23,760)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60" w:type="dxa"/>
            <w:vAlign w:val="bottom"/>
          </w:tcPr>
          <w:p>
            <w:pPr>
              <w:jc w:val="right"/>
              <w:ind w:right="125"/>
              <w:spacing w:after="0" w:line="154" w:lineRule="exact"/>
              <w:rPr>
                <w:sz w:val="20"/>
                <w:szCs w:val="20"/>
                <w:color w:val="auto"/>
              </w:rPr>
            </w:pPr>
            <w:r>
              <w:rPr>
                <w:rFonts w:ascii="Times New Roman" w:cs="Times New Roman" w:eastAsia="Times New Roman" w:hAnsi="Times New Roman"/>
                <w:sz w:val="15"/>
                <w:szCs w:val="15"/>
                <w:color w:val="auto"/>
              </w:rPr>
              <w:t>. . . . .</w:t>
            </w:r>
            <w:r>
              <w:rPr>
                <w:rFonts w:ascii="Times New Roman" w:cs="Times New Roman" w:eastAsia="Times New Roman" w:hAnsi="Times New Roman"/>
                <w:sz w:val="15"/>
                <w:szCs w:val="15"/>
                <w:b w:val="1"/>
                <w:bCs w:val="1"/>
                <w:color w:val="auto"/>
              </w:rPr>
              <w:t>December31,2020,asadjusted</w:t>
            </w:r>
          </w:p>
        </w:tc>
        <w:tc>
          <w:tcPr>
            <w:tcW w:w="3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w w:val="98"/>
              </w:rPr>
              <w:t>142,377,450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6,685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6,699</w:t>
            </w: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23,760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560" w:type="dxa"/>
            <w:vAlign w:val="bottom"/>
          </w:tcPr>
          <w:p>
            <w:pPr>
              <w:jc w:val="right"/>
              <w:ind w:right="125"/>
              <w:spacing w:after="0" w:line="110" w:lineRule="exact"/>
              <w:rPr>
                <w:sz w:val="20"/>
                <w:szCs w:val="20"/>
                <w:color w:val="auto"/>
              </w:rPr>
            </w:pPr>
            <w:r>
              <w:rPr>
                <w:rFonts w:ascii="Times New Roman" w:cs="Times New Roman" w:eastAsia="Times New Roman" w:hAnsi="Times New Roman"/>
                <w:sz w:val="12"/>
                <w:szCs w:val="12"/>
                <w:color w:val="auto"/>
              </w:rPr>
              <w:t>. . . . . . . . . . . . . . . . .Net(loss)income</w:t>
            </w: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9"/>
                <w:szCs w:val="9"/>
                <w:color w:val="auto"/>
              </w:rPr>
            </w:pPr>
          </w:p>
        </w:tc>
        <w:tc>
          <w:tcPr>
            <w:tcW w:w="7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(804)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(804)</w:t>
            </w: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41,573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non-redeemable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noncontrolling interest .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56,231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56,231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3,158</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Redeemable preferred</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non-controlling interest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2,021,587</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(29,913)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(29,913)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Acquisition of non-controlling</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interest . . . . . . . . . . . . .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(332)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(332)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(9,124)</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Contributions from redeemable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non-controlling interests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7,531</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to redeemable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non-controlling interests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(3,695)</w:t>
            </w:r>
          </w:p>
        </w:tc>
        <w:tc>
          <w:tcPr>
            <w:tcW w:w="0" w:type="dxa"/>
            <w:vAlign w:val="bottom"/>
          </w:tcPr>
          <w:p>
            <w:pPr>
              <w:spacing w:after="0"/>
              <w:rPr>
                <w:sz w:val="1"/>
                <w:szCs w:val="1"/>
                <w:color w:val="auto"/>
              </w:rPr>
            </w:pPr>
          </w:p>
        </w:tc>
      </w:tr>
      <w:tr>
        <w:trPr>
          <w:trHeight w:val="18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99"/>
              </w:rPr>
              <w:t>Stock-based compensation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639</w:t>
            </w:r>
          </w:p>
        </w:tc>
        <w:tc>
          <w:tcPr>
            <w:tcW w:w="0" w:type="dxa"/>
            <w:vAlign w:val="bottom"/>
          </w:tcPr>
          <w:p>
            <w:pPr>
              <w:spacing w:after="0"/>
              <w:rPr>
                <w:sz w:val="1"/>
                <w:szCs w:val="1"/>
                <w:color w:val="auto"/>
              </w:rPr>
            </w:pPr>
          </w:p>
        </w:tc>
      </w:tr>
      <w:tr>
        <w:trPr>
          <w:trHeight w:val="18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98"/>
              </w:rPr>
              <w:t>Deconsolidation of entities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(30,679)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(30,679)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99"/>
              </w:rPr>
              <w:t>Paid-in-kind preferred dividend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 . . . . . . . . . . . . . .</w:t>
            </w:r>
            <w:r>
              <w:rPr>
                <w:rFonts w:ascii="Times New Roman" w:cs="Times New Roman" w:eastAsia="Times New Roman" w:hAnsi="Times New Roman"/>
                <w:sz w:val="15"/>
                <w:szCs w:val="15"/>
                <w:b w:val="1"/>
                <w:bCs w:val="1"/>
                <w:color w:val="auto"/>
              </w:rPr>
              <w:t>December31,2021</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144,399,037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63,545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60" w:type="dxa"/>
            <w:vAlign w:val="bottom"/>
          </w:tcPr>
          <w:p>
            <w:pPr>
              <w:jc w:val="right"/>
              <w:ind w:right="125"/>
              <w:spacing w:after="0" w:line="129" w:lineRule="exact"/>
              <w:rPr>
                <w:sz w:val="20"/>
                <w:szCs w:val="20"/>
                <w:color w:val="auto"/>
              </w:rPr>
            </w:pPr>
            <w:r>
              <w:rPr>
                <w:rFonts w:ascii="Times New Roman" w:cs="Times New Roman" w:eastAsia="Times New Roman" w:hAnsi="Times New Roman"/>
                <w:sz w:val="14"/>
                <w:szCs w:val="14"/>
                <w:color w:val="auto"/>
              </w:rPr>
              <w:t>. . . . . . . . . . . . . . . . . . . . . .Netincome</w:t>
            </w:r>
          </w:p>
        </w:tc>
        <w:tc>
          <w:tcPr>
            <w:tcW w:w="3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4,135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(1,153)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2,982</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29,597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99"/>
              </w:rPr>
              <w:t>Unrealized gain on cash flow hedges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195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1,093</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Redeemable preferred non-controlling</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interest issuance . . . . . .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from the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200"/>
              <w:spacing w:after="0" w:line="170" w:lineRule="exact"/>
              <w:rPr>
                <w:sz w:val="20"/>
                <w:szCs w:val="20"/>
                <w:color w:val="auto"/>
              </w:rPr>
            </w:pPr>
            <w:r>
              <w:rPr>
                <w:rFonts w:ascii="Times New Roman" w:cs="Times New Roman" w:eastAsia="Times New Roman" w:hAnsi="Times New Roman"/>
                <w:sz w:val="15"/>
                <w:szCs w:val="15"/>
                <w:color w:val="auto"/>
              </w:rPr>
              <w:t>reverse recapitalization and PIPE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60" w:type="dxa"/>
            <w:vAlign w:val="bottom"/>
          </w:tcPr>
          <w:p>
            <w:pPr>
              <w:jc w:val="right"/>
              <w:ind w:right="105"/>
              <w:spacing w:after="0" w:line="170" w:lineRule="exact"/>
              <w:rPr>
                <w:sz w:val="20"/>
                <w:szCs w:val="20"/>
                <w:color w:val="auto"/>
              </w:rPr>
            </w:pPr>
            <w:r>
              <w:rPr>
                <w:rFonts w:ascii="Times New Roman" w:cs="Times New Roman" w:eastAsia="Times New Roman" w:hAnsi="Times New Roman"/>
                <w:sz w:val="15"/>
                <w:szCs w:val="15"/>
                <w:color w:val="auto"/>
              </w:rPr>
              <w:t>Investments, net of warrant liability,</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put option and earnout liability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22,611,857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68,357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68,359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Conversion of Convertible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Note Payable to common shares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3,059,533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30,595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30,595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Conversion of Private and Public</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Warrants . . . . . . . . . . . . . . . . . . . . . .</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3,806,376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7,858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7,859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18,061</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Change in redemption value of</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200"/>
              <w:spacing w:after="0" w:line="170" w:lineRule="exact"/>
              <w:rPr>
                <w:sz w:val="20"/>
                <w:szCs w:val="20"/>
                <w:color w:val="auto"/>
              </w:rPr>
            </w:pPr>
            <w:r>
              <w:rPr>
                <w:rFonts w:ascii="Times New Roman" w:cs="Times New Roman" w:eastAsia="Times New Roman" w:hAnsi="Times New Roman"/>
                <w:sz w:val="15"/>
                <w:szCs w:val="15"/>
                <w:color w:val="auto"/>
              </w:rPr>
              <w:t>Redeemable non-controlling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interests . . . . . . . . . . . .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98"/>
              </w:rPr>
              <w:t>(103,804)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(804,204)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(908,008)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908,008</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non-redeemable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non-controlling interest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(3,176)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26,410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23,234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on payment to acquire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200"/>
              <w:spacing w:after="0" w:line="170" w:lineRule="exact"/>
              <w:rPr>
                <w:sz w:val="20"/>
                <w:szCs w:val="20"/>
                <w:color w:val="auto"/>
              </w:rPr>
            </w:pPr>
            <w:r>
              <w:rPr>
                <w:rFonts w:ascii="Times New Roman" w:cs="Times New Roman" w:eastAsia="Times New Roman" w:hAnsi="Times New Roman"/>
                <w:sz w:val="15"/>
                <w:szCs w:val="15"/>
                <w:color w:val="auto"/>
              </w:rPr>
              <w:t>non-redeemable non-controlling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interest . . . . . . . . . . . . .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185"/>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99"/>
              </w:rPr>
              <w:t>Stock-based compensation . . . .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170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1,299</w:t>
            </w:r>
          </w:p>
        </w:tc>
        <w:tc>
          <w:tcPr>
            <w:tcW w:w="0" w:type="dxa"/>
            <w:vAlign w:val="bottom"/>
          </w:tcPr>
          <w:p>
            <w:pPr>
              <w:spacing w:after="0"/>
              <w:rPr>
                <w:sz w:val="1"/>
                <w:szCs w:val="1"/>
                <w:color w:val="auto"/>
              </w:rPr>
            </w:pPr>
          </w:p>
        </w:tc>
      </w:tr>
      <w:tr>
        <w:trPr>
          <w:trHeight w:val="210"/>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99"/>
              </w:rPr>
              <w:t>Paid-in-kind preferred dividend . . . . .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(7,188)</w:t>
            </w:r>
          </w:p>
        </w:tc>
        <w:tc>
          <w:tcPr>
            <w:tcW w:w="0" w:type="dxa"/>
            <w:vAlign w:val="bottom"/>
          </w:tcPr>
          <w:p>
            <w:pPr>
              <w:spacing w:after="0"/>
              <w:rPr>
                <w:sz w:val="1"/>
                <w:szCs w:val="1"/>
                <w:color w:val="auto"/>
              </w:rPr>
            </w:pPr>
          </w:p>
        </w:tc>
      </w:tr>
      <w:tr>
        <w:trPr>
          <w:trHeight w:val="195"/>
        </w:trPr>
        <w:tc>
          <w:tcPr>
            <w:tcW w:w="25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 . . . . . . . . . . . . . .</w:t>
            </w:r>
            <w:r>
              <w:rPr>
                <w:rFonts w:ascii="Times New Roman" w:cs="Times New Roman" w:eastAsia="Times New Roman" w:hAnsi="Times New Roman"/>
                <w:sz w:val="15"/>
                <w:szCs w:val="15"/>
                <w:b w:val="1"/>
                <w:bCs w:val="1"/>
                <w:color w:val="auto"/>
              </w:rPr>
              <w:t>December31,2022</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29,477,766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144,399,037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(800,813)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26,445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(774,156)</w:t>
            </w: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138,142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1,013,833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5840" w:h="12246" w:orient="landscape"/>
          <w:cols w:equalWidth="0" w:num="2">
            <w:col w:w="230" w:space="317"/>
            <w:col w:w="13320"/>
          </w:cols>
          <w:pgMar w:left="913" w:top="794" w:right="1066" w:bottom="635" w:gutter="0" w:footer="0" w:header="0"/>
        </w:sectPr>
      </w:pPr>
    </w:p>
    <w:p>
      <w:pPr>
        <w:ind w:left="3727"/>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6" w:orient="landscape"/>
          <w:cols w:equalWidth="0" w:num="1">
            <w:col w:w="13867"/>
          </w:cols>
          <w:pgMar w:left="913" w:top="794" w:right="1066" w:bottom="635" w:gutter="0" w:footer="0" w:header="0"/>
          <w:type w:val="continuous"/>
        </w:sectPr>
      </w:pPr>
    </w:p>
    <w:bookmarkStart w:id="118" w:name="page119"/>
    <w:bookmarkEnd w:id="118"/>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12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income to net cash (used in) provided by operating</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60" w:type="dxa"/>
            <w:vAlign w:val="bottom"/>
          </w:tcPr>
          <w:p>
            <w:pPr>
              <w:jc w:val="right"/>
              <w:ind w:right="5380"/>
              <w:spacing w:after="0" w:line="223" w:lineRule="exact"/>
              <w:rPr>
                <w:sz w:val="20"/>
                <w:szCs w:val="20"/>
                <w:color w:val="auto"/>
              </w:rPr>
            </w:pPr>
            <w:r>
              <w:rPr>
                <w:rFonts w:ascii="Times New Roman" w:cs="Times New Roman" w:eastAsia="Times New Roman" w:hAnsi="Times New Roman"/>
                <w:sz w:val="20"/>
                <w:szCs w:val="20"/>
                <w:color w:val="auto"/>
              </w:rPr>
              <w:t>activities: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equity method investments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(5,784)</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(2,268)</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exchange of Warrants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deferred financing costs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operating lease right-of-use assets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PPA liability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Accretion expense related to asset retirement obligation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 for bad debts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Paid-in-kind interest income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(286)</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Convertible Note Payable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the earnout liabilities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(37,111)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 gain on derivative financial instruments.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repayment of Note receivable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(1,943)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acquisition of equity method investment.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(19,818)</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deconsolidation of VIEs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(15,025)</w:t>
            </w:r>
          </w:p>
        </w:tc>
        <w:tc>
          <w:tcPr>
            <w:tcW w:w="0" w:type="dxa"/>
            <w:vAlign w:val="bottom"/>
          </w:tcPr>
          <w:p>
            <w:pPr>
              <w:spacing w:after="0"/>
              <w:rPr>
                <w:sz w:val="1"/>
                <w:szCs w:val="1"/>
                <w:color w:val="auto"/>
              </w:rPr>
            </w:pPr>
          </w:p>
        </w:tc>
      </w:tr>
      <w:tr>
        <w:trPr>
          <w:trHeight w:val="24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 net of effects of businesses acquired: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(6,191)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(2,944)</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related party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(12,421)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received on previously recorded paid-in-kind interest income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Fuel tax credits receivable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(1,751)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 spares . . . . . . .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(418)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Parts inventory . . . . . .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(2,168)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(899)</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Environmental credits held for sale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(1,288)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 and other current assets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(3,108)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(2,928)</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assets . . . . . .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(1,287)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(2,960)</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related party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(1,413)</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Fuel tax credits payable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payroll . . . . . .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3,237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(1,483)</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liabilities – current and non-current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current and non-current liabilities.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452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699</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liabilities . . . . . . . . . .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(1,772)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5,107</w:t>
            </w:r>
          </w:p>
        </w:tc>
        <w:tc>
          <w:tcPr>
            <w:tcW w:w="0" w:type="dxa"/>
            <w:vAlign w:val="bottom"/>
          </w:tcPr>
          <w:p>
            <w:pPr>
              <w:spacing w:after="0"/>
              <w:rPr>
                <w:sz w:val="1"/>
                <w:szCs w:val="1"/>
                <w:color w:val="auto"/>
              </w:rPr>
            </w:pPr>
          </w:p>
        </w:tc>
      </w:tr>
      <w:tr>
        <w:trPr>
          <w:trHeight w:val="20"/>
        </w:trPr>
        <w:tc>
          <w:tcPr>
            <w:tcW w:w="6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Net cash (used in) provided by operating activities . . . . . . . . . . . . . . . . . . . . . . .</w:t>
            </w: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(1,355)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18,856</w:t>
            </w:r>
          </w:p>
        </w:tc>
        <w:tc>
          <w:tcPr>
            <w:tcW w:w="0" w:type="dxa"/>
            <w:vAlign w:val="bottom"/>
          </w:tcPr>
          <w:p>
            <w:pPr>
              <w:spacing w:after="0"/>
              <w:rPr>
                <w:sz w:val="1"/>
                <w:szCs w:val="1"/>
                <w:color w:val="auto"/>
              </w:rPr>
            </w:pPr>
          </w:p>
        </w:tc>
      </w:tr>
      <w:tr>
        <w:trPr>
          <w:trHeight w:val="220"/>
        </w:trPr>
        <w:tc>
          <w:tcPr>
            <w:tcW w:w="646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of property, plant, and equipment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(131,410)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(89,646)</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acquired on acquisition of equity method investment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Deconsolidation of VIEs, net of cash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(21,208)</w:t>
            </w:r>
          </w:p>
        </w:tc>
        <w:tc>
          <w:tcPr>
            <w:tcW w:w="0" w:type="dxa"/>
            <w:vAlign w:val="bottom"/>
          </w:tcPr>
          <w:p>
            <w:pPr>
              <w:spacing w:after="0"/>
              <w:rPr>
                <w:sz w:val="1"/>
                <w:szCs w:val="1"/>
                <w:color w:val="auto"/>
              </w:rPr>
            </w:pPr>
          </w:p>
        </w:tc>
      </w:tr>
      <w:tr>
        <w:trPr>
          <w:trHeight w:val="24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short term investments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(64,976)</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Capitalized interest attributable to equity method investments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(597)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0" w:type="dxa"/>
            <w:vAlign w:val="bottom"/>
          </w:tcPr>
          <w:p>
            <w:pPr>
              <w:spacing w:after="0"/>
              <w:rPr>
                <w:sz w:val="1"/>
                <w:szCs w:val="1"/>
                <w:color w:val="auto"/>
              </w:rPr>
            </w:pPr>
          </w:p>
        </w:tc>
      </w:tr>
      <w:tr>
        <w:trPr>
          <w:trHeight w:val="25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of Note receivable . . . . . . . . . . . . . . . . . . . . . . . . . . . .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(10,450)</w:t>
            </w:r>
          </w:p>
        </w:tc>
        <w:tc>
          <w:tcPr>
            <w:tcW w:w="0" w:type="dxa"/>
            <w:vAlign w:val="bottom"/>
          </w:tcPr>
          <w:p>
            <w:pPr>
              <w:spacing w:after="0"/>
              <w:rPr>
                <w:sz w:val="1"/>
                <w:szCs w:val="1"/>
                <w:color w:val="auto"/>
              </w:rPr>
            </w:pPr>
          </w:p>
        </w:tc>
      </w:tr>
      <w:tr>
        <w:trPr>
          <w:trHeight w:val="26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received from repayment of Note receivable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received from equity method investment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3,695</w:t>
            </w:r>
          </w:p>
        </w:tc>
        <w:tc>
          <w:tcPr>
            <w:tcW w:w="0" w:type="dxa"/>
            <w:vAlign w:val="bottom"/>
          </w:tcPr>
          <w:p>
            <w:pPr>
              <w:spacing w:after="0"/>
              <w:rPr>
                <w:sz w:val="1"/>
                <w:szCs w:val="1"/>
                <w:color w:val="auto"/>
              </w:rPr>
            </w:pPr>
          </w:p>
        </w:tc>
      </w:tr>
      <w:tr>
        <w:trPr>
          <w:trHeight w:val="20"/>
        </w:trPr>
        <w:tc>
          <w:tcPr>
            <w:tcW w:w="6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Net cash used in investing activities . . . . . . . . . . . . . . . . . . . . . . . . . . . . . . . . . . .</w:t>
            </w: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(184,028)</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(117,204)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6" w:orient="portrait"/>
          <w:cols w:equalWidth="0" w:num="1">
            <w:col w:w="9366"/>
          </w:cols>
          <w:pgMar w:left="1440" w:top="947" w:right="1440" w:bottom="348" w:gutter="0" w:footer="0" w:header="0"/>
        </w:sectPr>
      </w:pPr>
    </w:p>
    <w:p>
      <w:pPr>
        <w:spacing w:after="0" w:line="9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F-7</w:t>
      </w:r>
    </w:p>
    <w:p>
      <w:pPr>
        <w:sectPr>
          <w:pgSz w:w="12240" w:h="15846" w:orient="portrait"/>
          <w:cols w:equalWidth="0" w:num="1">
            <w:col w:w="9366"/>
          </w:cols>
          <w:pgMar w:left="1440" w:top="947" w:right="1440" w:bottom="348" w:gutter="0" w:footer="0" w:header="0"/>
          <w:type w:val="continuous"/>
        </w:sectPr>
      </w:pPr>
    </w:p>
    <w:bookmarkStart w:id="119" w:name="page120"/>
    <w:bookmarkEnd w:id="119"/>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8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5"/>
        </w:trPr>
        <w:tc>
          <w:tcPr>
            <w:tcW w:w="6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Sunoma loan . . . . . . . . . . . . . . .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OPAL Term Loan . . . . . . . . . . .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received from Business Combination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138,850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Financing costs paid to other third parties . . . .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(8,321)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(3,607)</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Senior Secured Credit Facility . .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(58,603)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(4,901)</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Senior Secured Credit Facility – working capital facility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(5,182)</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OPAL Term Loan . . . . . . . . . . . .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(18,910)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Municipality loan . . . . . . . . . . . .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Trustar Revolver Facility . . . . . .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sale of non-redeemable non-controlling interest, related party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23,143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Contributions from non-redeemable non-controlling interests, related party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21,165</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Acquisition of non-controlling interest . . . . . . .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0" w:type="dxa"/>
            <w:vAlign w:val="bottom"/>
          </w:tcPr>
          <w:p>
            <w:pPr>
              <w:spacing w:after="0"/>
              <w:rPr>
                <w:sz w:val="1"/>
                <w:szCs w:val="1"/>
                <w:color w:val="auto"/>
              </w:rPr>
            </w:pPr>
          </w:p>
        </w:tc>
      </w:tr>
      <w:tr>
        <w:trPr>
          <w:trHeight w:val="249"/>
        </w:trPr>
        <w:tc>
          <w:tcPr>
            <w:tcW w:w="66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Proceeds from issuance of redeemable preferred non-controlling interests,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related party . . . . . . . . . . . . . . . . . . . . . . . . . . . . . . . . . . . . . . . . . . . . . . . . . .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Contributions from members . . . . . . . . . . . . . . . . . . . . . . . . . . . . . . . . . . . . . . .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to members . . . . . . . . . . . . . . . . . . . . . . . . . . . . . . . . . . . . . . . . . .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(3,695)</w:t>
            </w:r>
          </w:p>
        </w:tc>
        <w:tc>
          <w:tcPr>
            <w:tcW w:w="0" w:type="dxa"/>
            <w:vAlign w:val="bottom"/>
          </w:tcPr>
          <w:p>
            <w:pPr>
              <w:spacing w:after="0"/>
              <w:rPr>
                <w:sz w:val="1"/>
                <w:szCs w:val="1"/>
                <w:color w:val="auto"/>
              </w:rPr>
            </w:pPr>
          </w:p>
        </w:tc>
      </w:tr>
      <w:tr>
        <w:trPr>
          <w:trHeight w:val="23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cash provided by financing activities . . . . . . . . . . . . . . . . . . . . . . . . . . . . . . . . .</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220,550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Net increase in cash, restricted cash, and cash equivalents . . . . . . . . . . . . . . . . . . . .</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35,167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restricted cash, and cash equivalents, beginning of period . . . . . . . . . . . . . . .</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42,054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.Cash,restrictedcash,andcashequivalents,endofperiod...................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77,221</w:t>
            </w: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Interest paid, net of $3,678 and $861 capitalized, respectively . . . . . . . . . . . . . . . .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7,013</w:t>
            </w:r>
          </w:p>
        </w:tc>
        <w:tc>
          <w:tcPr>
            <w:tcW w:w="12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Noncash investing and financing activities: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Convertible Note Payable related to business acquisition, excluding</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paid-in-kind interest . . . . . . . . . . . . . .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55,410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Class A common stock issued for redemption of Convertible</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Note Payable . . . . . . . . . . . . . . . . . . . .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30,595</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Class A common stock issued for redemption of Public and Private</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warrants . . . . . . . . . . . . . . . . . . . . . . . .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25,919</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Derivative warrant liabilities assumed related to Business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Combination . . . . . . . . . . . . . . . . . . . .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13,524</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Fair value of Earnout liabilities related to Business Combination . . . . . . . . . . . . .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45,900</w:t>
            </w:r>
          </w:p>
        </w:tc>
        <w:tc>
          <w:tcPr>
            <w:tcW w:w="12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put option on a forward purchase agreement related to Business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Combination . . . . . . . . . . . . . . . . . . . .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4,600</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6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Paid-in-kind dividend on redeemable preferred non-controlling interests . . . . . . .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7,932</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for finance leases as of January 1, 2022 included in Property,</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Plant and equipment, net . . . . . . . . . . .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801</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for finance leases as of January 1, 2022 included in Accrued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expenses and other current liabilities .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316</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for finance leases as of January 1, 2022 included in Other</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long-term liabilities . . . . . . . . . . . . . . .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485</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Accrual for purchase of Property, plant and equipment included in Accounts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payable and Accrued capital expenses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11,922</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Accrual for deferred financing costs included in Accrued expenses and other</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current liabilities . . . . . . . . . . . . . . . . . . . . . . . . . . . . . . . . . . . . . . . . . . . . . . . . . .</w:t>
            </w:r>
          </w:p>
        </w:tc>
        <w:tc>
          <w:tcPr>
            <w:tcW w:w="3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F-8</w:t>
      </w:r>
    </w:p>
    <w:p>
      <w:pPr>
        <w:sectPr>
          <w:pgSz w:w="12240" w:h="15846" w:orient="portrait"/>
          <w:cols w:equalWidth="0" w:num="1">
            <w:col w:w="9366"/>
          </w:cols>
          <w:pgMar w:left="1440" w:top="947" w:right="1440" w:bottom="348" w:gutter="0" w:footer="0" w:header="0"/>
          <w:type w:val="continuous"/>
        </w:sectPr>
      </w:pPr>
    </w:p>
    <w:bookmarkStart w:id="120" w:name="page121"/>
    <w:bookmarkEnd w:id="120"/>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5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(formerly known as ArcLight Clean Transition Corp. II)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December 2, 2021, the Company, OPAL HoldCo LLC (“OPAL Holdco”) and OPAL Fuels LLC, a Delaware limited liability company (“OPAL Fuels” or “Opco”),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 xml:space="preserve"> for additional information.</w:t>
      </w:r>
    </w:p>
    <w:p>
      <w:pPr>
        <w:spacing w:after="0" w:line="177" w:lineRule="exact"/>
        <w:rPr>
          <w:sz w:val="20"/>
          <w:szCs w:val="20"/>
          <w:color w:val="auto"/>
        </w:rPr>
      </w:pPr>
    </w:p>
    <w:p>
      <w:pPr>
        <w:jc w:val="both"/>
        <w:ind w:right="6" w:firstLine="480"/>
        <w:spacing w:after="0" w:line="263" w:lineRule="auto"/>
        <w:rPr>
          <w:sz w:val="20"/>
          <w:szCs w:val="20"/>
          <w:color w:val="auto"/>
        </w:rPr>
      </w:pPr>
      <w:r>
        <w:rPr>
          <w:rFonts w:ascii="Times New Roman" w:cs="Times New Roman" w:eastAsia="Times New Roman" w:hAnsi="Times New Roman"/>
          <w:sz w:val="19"/>
          <w:szCs w:val="19"/>
          <w:color w:val="auto"/>
        </w:rPr>
        <w:t>On November 18, 2022, the Company announced the commencement of an exchange offer (the “Offer”) and consent solicitation ( the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to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Amendment”). On December 22, 2022, the Company closed on the Offer and the Consent Solicitation. The Company issued 3,309,296 and 497,080 shares of Class A common stock in exchange for the 100% of the outstanding Warrants and recorded $25,920 as fair value of shares of Class A common stock issued based on the weighted average closing share price of $6.80 and $6.87 on December 22, 2022 and December 23, 2022, respectively. The Company recorded $3,368 as loss on exchange of warrants in its consolidated statement of operations for the year ended December 31, 2022.</w:t>
      </w:r>
    </w:p>
    <w:p>
      <w:pPr>
        <w:sectPr>
          <w:pgSz w:w="12240" w:h="15846" w:orient="portrait"/>
          <w:cols w:equalWidth="0" w:num="1">
            <w:col w:w="9366"/>
          </w:cols>
          <w:pgMar w:left="1440" w:top="947" w:right="1440" w:bottom="348"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F-9</w:t>
      </w:r>
    </w:p>
    <w:p>
      <w:pPr>
        <w:sectPr>
          <w:pgSz w:w="12240" w:h="15846" w:orient="portrait"/>
          <w:cols w:equalWidth="0" w:num="1">
            <w:col w:w="9366"/>
          </w:cols>
          <w:pgMar w:left="1440" w:top="947" w:right="1440" w:bottom="348" w:gutter="0" w:footer="0" w:header="0"/>
          <w:type w:val="continuous"/>
        </w:sectPr>
      </w:pPr>
    </w:p>
    <w:bookmarkStart w:id="121" w:name="page122"/>
    <w:bookmarkEnd w:id="121"/>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 Organization and Description of Business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amounts in these footnotes are presented in thousands of dollars except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COVID-19 Impact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2022.</w:t>
      </w:r>
    </w:p>
    <w:p>
      <w:pPr>
        <w:spacing w:after="0" w:line="168"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 and Principles of Consolidation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prepared in accordance with generally accepted accounting principles in the United States (“U.S. GAAP”)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Central Valley LLC (“Central Valley”), Prince William RNG LLC (“Prince William”), Fortistar Contracting LLC, Fortistar RNG LLC, and OPAL Fuel station services LLC (“Fuel station services”).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equity in the consolidated balance sheets and as a non-redeemable non-controlling interests in the consolidated statements of changes in redeemable non-controlling interests, redeemable preferred non-controlling interests and Stockholders’ (deficit)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Interest Entities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2022 and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Investments in unconsolidated entities in which the Company can influence the operating or financial decisions are accounted for under the equity method. As of December 31, 2022 and 2021, the Company accounted for its ownership interests in Pine Bend RNG LLC (“Pine Bend”), Noble Road RNG LLC (“Noble Road”) and GREP BTB Holdings LLC (“GREP”) under the</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F-10</w:t>
      </w:r>
    </w:p>
    <w:p>
      <w:pPr>
        <w:sectPr>
          <w:pgSz w:w="12240" w:h="15846" w:orient="portrait"/>
          <w:cols w:equalWidth="0" w:num="1">
            <w:col w:w="9366"/>
          </w:cols>
          <w:pgMar w:left="1440" w:top="947" w:right="1440" w:bottom="353" w:gutter="0" w:footer="0" w:header="0"/>
          <w:type w:val="continuous"/>
        </w:sectPr>
      </w:pPr>
    </w:p>
    <w:bookmarkStart w:id="122" w:name="page123"/>
    <w:bookmarkEnd w:id="122"/>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equity method. The Company’s interests in Beacon for the period between January 1, 2021 and April 30, 2021 were accounted for under the equity method. Beacon was consolidated after acquisition of remaining ownership interests increasing the ownership interest from 44.3% to 100% on May 1, 2021.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Combination</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 xml:space="preserve">.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recapitalization had no effect on reported net loss and comprehensive income, cash flows, total assets or members’ equity as previously reported. See Note 3. </w:t>
      </w:r>
      <w:r>
        <w:rPr>
          <w:rFonts w:ascii="Times New Roman" w:cs="Times New Roman" w:eastAsia="Times New Roman" w:hAnsi="Times New Roman"/>
          <w:sz w:val="19"/>
          <w:szCs w:val="19"/>
          <w:i w:val="1"/>
          <w:iCs w:val="1"/>
          <w:color w:val="auto"/>
        </w:rPr>
        <w:t>Business Combination</w:t>
      </w:r>
      <w:r>
        <w:rPr>
          <w:rFonts w:ascii="Times New Roman" w:cs="Times New Roman" w:eastAsia="Times New Roman" w:hAnsi="Times New Roman"/>
          <w:sz w:val="19"/>
          <w:szCs w:val="19"/>
          <w:color w:val="auto"/>
        </w:rPr>
        <w:t>, for additional information.</w:t>
      </w:r>
    </w:p>
    <w:p>
      <w:pPr>
        <w:spacing w:after="0" w:line="155"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Business Combination resulted in an umbrella partnership corporation (“Up-C”) structure, which is often used by partnerships and limited liability companies (operating as partnerships) undertaking an initial public offering. The Up-C structure allowed OPAL Fuels equity holders to retain their equity ownership in OPAL Fuels, an entity that is classified as a partnership for U.S. federal income tax purposes, and provides potential future tax benefits for the Company when the OPAL Fuels equity holders ultimately redeem their pass-through interests for shares of Class A common stock in OPAL Fuels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fair value of the Convertible Note Payable (as defined below), the impairment assessment of goodwill, and the fair value of derivative instruments. Actual results could differ from those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In February 2016, the FASB issued Leases (Topic 842) requiring lessees to record the assets and liabilities for operating leases on the balance sheet. This standard is effective for fiscal years beginning after December 15, 2020, with early adoption permitted. In April 2020, the FASB voted to defer the effective date for Leases for private companies and certain not-for-profit entities for one year.</w:t>
      </w:r>
    </w:p>
    <w:p>
      <w:pPr>
        <w:spacing w:after="0" w:line="169"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The Company adopted ASC 842 as of January 1, 2022 and evaluated all of its contracts and recorded right-of-use assets and corresponding lease liabilities on its consolidated balance sheet as of December 31, 2022. The Company adopted ASC 842 using the modified retrospective transition method of adoption. Under this method, the cumulative effect of applying the new lease standard is recorded with no restatement of any comparative prior periods presented.</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F-11</w:t>
      </w:r>
    </w:p>
    <w:p>
      <w:pPr>
        <w:sectPr>
          <w:pgSz w:w="12240" w:h="15846" w:orient="portrait"/>
          <w:cols w:equalWidth="0" w:num="1">
            <w:col w:w="9366"/>
          </w:cols>
          <w:pgMar w:left="1440" w:top="947" w:right="1440" w:bottom="353" w:gutter="0" w:footer="0" w:header="0"/>
          <w:type w:val="continuous"/>
        </w:sectPr>
      </w:pPr>
    </w:p>
    <w:bookmarkStart w:id="123" w:name="page124"/>
    <w:bookmarkEnd w:id="123"/>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As provided by ASC 842, the Company elected to record the required cumulative effect adjustments to the opening balance sheet in the period of adoption rather than in the earliest comparative period presented. As a result, prior periods as reported by the Company have not been impacted by the adoption.</w:t>
      </w:r>
    </w:p>
    <w:p>
      <w:pPr>
        <w:spacing w:after="0" w:line="173"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its adoption of ASC 842, the Company elected the “package of 3” practical expedients permitted under the transition guidance which are described below in which the Company is:</w:t>
      </w:r>
    </w:p>
    <w:p>
      <w:pPr>
        <w:spacing w:after="0" w:line="168" w:lineRule="exact"/>
        <w:rPr>
          <w:sz w:val="20"/>
          <w:szCs w:val="20"/>
          <w:color w:val="auto"/>
        </w:rPr>
      </w:pPr>
    </w:p>
    <w:p>
      <w:pPr>
        <w:ind w:left="960" w:hanging="479"/>
        <w:spacing w:after="0"/>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Allowed not to reassess whether any expired or existing contracts are or contain leases.</w:t>
      </w:r>
    </w:p>
    <w:p>
      <w:pPr>
        <w:spacing w:after="0" w:line="170" w:lineRule="exact"/>
        <w:rPr>
          <w:rFonts w:ascii="Times New Roman" w:cs="Times New Roman" w:eastAsia="Times New Roman" w:hAnsi="Times New Roman"/>
          <w:sz w:val="20"/>
          <w:szCs w:val="20"/>
          <w:color w:val="auto"/>
        </w:rPr>
      </w:pPr>
    </w:p>
    <w:p>
      <w:pPr>
        <w:ind w:left="960" w:hanging="479"/>
        <w:spacing w:after="0"/>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Allowed not to reassess any expired or existing lease classifications.</w:t>
      </w:r>
    </w:p>
    <w:p>
      <w:pPr>
        <w:spacing w:after="0" w:line="170" w:lineRule="exact"/>
        <w:rPr>
          <w:rFonts w:ascii="Times New Roman" w:cs="Times New Roman" w:eastAsia="Times New Roman" w:hAnsi="Times New Roman"/>
          <w:sz w:val="20"/>
          <w:szCs w:val="20"/>
          <w:color w:val="auto"/>
        </w:rPr>
      </w:pPr>
    </w:p>
    <w:p>
      <w:pPr>
        <w:ind w:left="960" w:hanging="479"/>
        <w:spacing w:after="0"/>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Allowed not to reassess initial direct costs for any existing leases.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Additionally, the Company elected the practical expedient allowed under the transition guidance of ASC 842 to not separate the lease and non-lease components related to a lease contract and to account for them as a single lease component for the purposes of the recognition and measurement requirements of ASC 842.</w:t>
      </w:r>
    </w:p>
    <w:p>
      <w:pPr>
        <w:spacing w:after="0" w:line="173"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Company elected not to use the practical expedient of hindsight in determining the lease term and in assessing the impairment of the Company’s lease right-of-use assets.</w:t>
      </w:r>
    </w:p>
    <w:p>
      <w:pPr>
        <w:spacing w:after="0" w:line="17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Company elected to not to recognize right-of-use assets and related lease liabilities for short term leases with the original lease term of less than 12 months.</w:t>
      </w:r>
    </w:p>
    <w:p>
      <w:pPr>
        <w:spacing w:after="0" w:line="174"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 xml:space="preserve">As required by ASC 842, the Company’s disclosures around its leasing activities have been significantly expanded to enable users of our consolidated financial statements to assess the amount, timing and uncertainty of cash flows arising from lease arrangements. Please see Note 9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for additional information.</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In June 2016, the FASB issued ASU 2016-13, Financial Instruments — Credit Losses, with the objective of providing financial statement users information about the credit risk inherent in an entity’s financial statements as well as to explain management’s estimate of expected credit losses and the changes in the allowance for such losses. This standard is effective for the Company from March 31, 2023. The Company does not expect to have a material impact to its financial statements upon adoption.</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June 2022, the FASB issued Accounting Standards Update (“ASU”) 2022-03, </w:t>
      </w:r>
      <w:r>
        <w:rPr>
          <w:rFonts w:ascii="Times New Roman" w:cs="Times New Roman" w:eastAsia="Times New Roman" w:hAnsi="Times New Roman"/>
          <w:sz w:val="20"/>
          <w:szCs w:val="20"/>
          <w:i w:val="1"/>
          <w:iCs w:val="1"/>
          <w:color w:val="auto"/>
        </w:rPr>
        <w:t>Fair Value Measurement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Equity Securities Subject to Contractual Sale Restrictions </w:t>
      </w:r>
      <w:r>
        <w:rPr>
          <w:rFonts w:ascii="Times New Roman" w:cs="Times New Roman" w:eastAsia="Times New Roman" w:hAnsi="Times New Roman"/>
          <w:sz w:val="20"/>
          <w:szCs w:val="20"/>
          <w:color w:val="auto"/>
        </w:rPr>
        <w:t>which states that a contractual restriction on the sale of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equity security is not considered 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F-12</w:t>
      </w:r>
    </w:p>
    <w:p>
      <w:pPr>
        <w:sectPr>
          <w:pgSz w:w="12240" w:h="15846" w:orient="portrait"/>
          <w:cols w:equalWidth="0" w:num="1">
            <w:col w:w="9366"/>
          </w:cols>
          <w:pgMar w:left="1440" w:top="947" w:right="1440" w:bottom="353" w:gutter="0" w:footer="0" w:header="0"/>
          <w:type w:val="continuous"/>
        </w:sectPr>
      </w:pPr>
    </w:p>
    <w:bookmarkStart w:id="124" w:name="page125"/>
    <w:bookmarkEnd w:id="124"/>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Cash, cash equivalents, and restricted cash consisted of the following as of December 31, 2022 and December 31,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48"/>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39,314</w:t>
            </w:r>
          </w:p>
        </w:tc>
      </w:tr>
      <w:tr>
        <w:trPr>
          <w:trHeight w:val="297"/>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cash – current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32,402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65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Long-term assets: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2"/>
        </w:trPr>
        <w:tc>
          <w:tcPr>
            <w:tcW w:w="6540" w:type="dxa"/>
            <w:vAlign w:val="bottom"/>
            <w:gridSpan w:val="2"/>
          </w:tcPr>
          <w:p>
            <w:pPr>
              <w:ind w:left="200"/>
              <w:spacing w:after="0" w:line="262" w:lineRule="exact"/>
              <w:rPr>
                <w:sz w:val="20"/>
                <w:szCs w:val="20"/>
                <w:color w:val="auto"/>
              </w:rPr>
            </w:pPr>
            <w:r>
              <w:rPr>
                <w:rFonts w:ascii="Times New Roman" w:cs="Times New Roman" w:eastAsia="Times New Roman" w:hAnsi="Times New Roman"/>
                <w:sz w:val="20"/>
                <w:szCs w:val="20"/>
                <w:color w:val="auto"/>
              </w:rPr>
              <w:t>Restricted cash held as collateral</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4,425</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2,740</w:t>
            </w:r>
          </w:p>
        </w:tc>
      </w:tr>
      <w:tr>
        <w:trPr>
          <w:trHeight w:val="239"/>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cash, cash equivalents, and restricted cash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42,054</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bl>
    <w:p>
      <w:pPr>
        <w:spacing w:after="0" w:line="83" w:lineRule="exact"/>
        <w:rPr>
          <w:sz w:val="20"/>
          <w:szCs w:val="20"/>
          <w:color w:val="auto"/>
        </w:rPr>
      </w:pPr>
    </w:p>
    <w:p>
      <w:pPr>
        <w:jc w:val="both"/>
        <w:ind w:left="480" w:right="6" w:hanging="480"/>
        <w:spacing w:after="0" w:line="251" w:lineRule="auto"/>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cash — current primarily consists of (i) $16,849 held in escrow to secure the Company’s purchase obligations under the forward purchase agreement with Meteora (See Note.3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for additional information). (ii) $5,845 equity contribution to a joint venture in connection with the closing of OPAL Term Loan II (iii) $1,127 relates to interest reserve on Sunoma Loan and (iv) $8,581 held in a restricted account for funding one of our RNG projects.</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held as collateral represents the collateral requirements on our debt facilities.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 term investments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considers highly liquid investments such as time deposits and certificates of deposit with an original maturity greater than three months at the time of purchase to be short term investments. The Short term investments of $64,976 consists of cash received upon closing of the Business Combination invested in money market accounts with maturities ranging between 1 and 12 months as of December 31, 2022. The amounts in these money market accounts are liquid and available for general use.</w:t>
      </w:r>
    </w:p>
    <w:p>
      <w:pPr>
        <w:spacing w:after="0" w:line="172"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Our short term investments are generally invested in commercial paper issued by highly credit worthy counter parties and government backed treasury bills. Investments are generally not FDIC insured and we take counter party risk on these investments.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Transaction costs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Transaction costs consists of direct legal, consulting, audit and other fees related to the consummation of the Business Combination and other debt facilities. These costs were initially capitalized as incurred and recorded as Deferred financing costs in the consolidated balance sheet. Upon the completion of the Business Combination, transaction costs directly related to the issuance of shares were recognized as an offset to additional paid-in capital within the consolidated statements of changes in redeemable non-controlling interest, redeemable preferred non-controlling interest and stockholders’ (deficit) equity. The Company incurred $8,097 in transaction costs consisting of legal and professional fees, which were recorded as an offset to additional paid-in capital. As of December 31, 2022, the Company recorded $3,013 as deferred financing costs related to OPAL Term Loan II on its consolidated balance sheet. There have been no borrowings to date under that debt facility.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warrant liabilities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Company assumed the Public Warrants and Private Warrants upon the completion of the Business Combination. The Company accounted for warrants for shares of the Company’s stock that are not indexed to its own stock as liabilities at fair value on the consolidated balance sheet. The warrants were remeasured at each balance sheet date and any change in fair value is recognized in the Company’s consolidated statement of operations as part of change in fair value of derivative instruments, net. In December 2022, the Warrants were exchanged in an exchange offer for shares of Class A common stock. The loss on the exchange of $3,368 was recorded as part of Other (expense) income in its consolidated statement of operations for the year ended December 31, 2022. The Company incurred</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F-13</w:t>
      </w:r>
    </w:p>
    <w:p>
      <w:pPr>
        <w:sectPr>
          <w:pgSz w:w="12240" w:h="15846" w:orient="portrait"/>
          <w:cols w:equalWidth="0" w:num="1">
            <w:col w:w="9366"/>
          </w:cols>
          <w:pgMar w:left="1440" w:top="947" w:right="1440" w:bottom="353" w:gutter="0" w:footer="0" w:header="0"/>
          <w:type w:val="continuous"/>
        </w:sectPr>
      </w:pPr>
    </w:p>
    <w:bookmarkStart w:id="125" w:name="page126"/>
    <w:bookmarkEnd w:id="125"/>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$1147 in third party legal fees and advisor fees relating to the transaction which were expensed as incurred and included in Selling, general and administrative expenses in the consolidated statement of operations for the year ended December 31, 2022.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Earnout Awards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consolidated statement of operations as part of change in fair value of derivative instruments, net. For the year ended December 31, 2022, the Company recorded a total gain of $37,111 from the Sponsor and OPAL earn-out awards in its consolidated statement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Put option on forward purchase agreement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xml:space="preserve"> with the change in the fair market value recognized in the consolidated statement of operations as part of change in fair value of derivative instruments, net. For the year ended December 31, 2022, the Company recorded a gain of $134 in its consolidated statement of operations. See Note.3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 xml:space="preserve"> and Note 10. </w:t>
      </w:r>
      <w:r>
        <w:rPr>
          <w:rFonts w:ascii="Times New Roman" w:cs="Times New Roman" w:eastAsia="Times New Roman" w:hAnsi="Times New Roman"/>
          <w:sz w:val="20"/>
          <w:szCs w:val="20"/>
          <w:i w:val="1"/>
          <w:iCs w:val="1"/>
          <w:color w:val="auto"/>
        </w:rPr>
        <w:t>Derivative Financial Instruments and Fair Value Measurements</w:t>
      </w:r>
      <w:r>
        <w:rPr>
          <w:rFonts w:ascii="Times New Roman" w:cs="Times New Roman" w:eastAsia="Times New Roman" w:hAnsi="Times New Roman"/>
          <w:sz w:val="20"/>
          <w:szCs w:val="20"/>
          <w:color w:val="auto"/>
        </w:rPr>
        <w:t xml:space="preserve"> for additional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Redeemable non-controlling interests represent the portion of OPAL Fuels that the Company controls and consolidates but does not own. The Redeemable non-controlling interest was created as a result of the Business Combination and represents 144,399,037 Class D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 of operations.</w:t>
      </w:r>
    </w:p>
    <w:p>
      <w:pPr>
        <w:spacing w:after="0" w:line="168"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At each balance sheet date, the mezzanine equity classified Redeemable non-controlling interests is adjusted up to their maximum redemption value if necessary, with an offset in Stockholders’ equity. As of December 31, 2022, the Company recorded an adjustment of $908,008.</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 xml:space="preserve">The Company issues stock-based compensation utilizing both stock options and stock grants. In accordance with ASC 718, Stock Compensation,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Please see Note 17. </w:t>
      </w:r>
      <w:r>
        <w:rPr>
          <w:rFonts w:ascii="Times New Roman" w:cs="Times New Roman" w:eastAsia="Times New Roman" w:hAnsi="Times New Roman"/>
          <w:sz w:val="20"/>
          <w:szCs w:val="20"/>
          <w:i w:val="1"/>
          <w:iCs w:val="1"/>
          <w:color w:val="auto"/>
        </w:rPr>
        <w:t>Stock-Based Compensation</w:t>
      </w:r>
      <w:r>
        <w:rPr>
          <w:rFonts w:ascii="Times New Roman" w:cs="Times New Roman" w:eastAsia="Times New Roman" w:hAnsi="Times New Roman"/>
          <w:sz w:val="20"/>
          <w:szCs w:val="20"/>
          <w:color w:val="auto"/>
        </w:rPr>
        <w:t>, for additional information. Forfeitures are recognized as they occur.</w:t>
      </w:r>
    </w:p>
    <w:p>
      <w:pPr>
        <w:sectPr>
          <w:pgSz w:w="12240" w:h="15846" w:orient="portrait"/>
          <w:cols w:equalWidth="0" w:num="1">
            <w:col w:w="9366"/>
          </w:cols>
          <w:pgMar w:left="1440" w:top="947" w:right="1440" w:bottom="353" w:gutter="0" w:footer="0" w:header="0"/>
        </w:sectPr>
      </w:pPr>
    </w:p>
    <w:p>
      <w:pPr>
        <w:spacing w:after="0" w:line="3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F-14</w:t>
      </w:r>
    </w:p>
    <w:p>
      <w:pPr>
        <w:sectPr>
          <w:pgSz w:w="12240" w:h="15846" w:orient="portrait"/>
          <w:cols w:equalWidth="0" w:num="1">
            <w:col w:w="9366"/>
          </w:cols>
          <w:pgMar w:left="1440" w:top="947" w:right="1440" w:bottom="353" w:gutter="0" w:footer="0" w:header="0"/>
          <w:type w:val="continuous"/>
        </w:sectPr>
      </w:pPr>
    </w:p>
    <w:bookmarkStart w:id="126" w:name="page127"/>
    <w:bookmarkEnd w:id="126"/>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per share</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 xml:space="preserve">The Business Combination was accounted for as a reverse recapitalization as OPAL Fuels was determined to be the accounting acquirer under FASB ASC Topic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Accordingly, for accounting purposes, the transaction is treated as the equivalent of OPAL Fuels issuing stock for the net assets of ArcLight, accompanied by a recapitalization.</w:t>
      </w:r>
    </w:p>
    <w:p>
      <w:pPr>
        <w:spacing w:after="0" w:line="169"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Company’s basic earnings per share of Class A common stock is computed based on the average number of outstanding shares of Class A common stock for the period.</w:t>
      </w:r>
    </w:p>
    <w:p>
      <w:pPr>
        <w:spacing w:after="0" w:line="174"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Company’s diluted earnings per share includes effects of the Company’s outstanding Redeemable non-controlling interests (OPAL Fuels Class B units), Restricted Stock Units, the put option a forward purchase agreement, redeemable preferred non-controlling interests, Sponsor Earnout Awards and OPAL Earnout Awards.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Net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Company’s allowance for doubtful accounts was $0 and $— at December 31, 2022 and December 31, 2021.</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Tax Credit Receivable/Payable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At December 31, 2022, the Company accrued federal fuel tax credits of $0.50 per gasoline gallon equivalent of CNG that the Company sold as vehicle fuel in 2022. At December 31, 2022 and 2021, fuel tax credits receivable were $4,144 and $2,393, respectively. Under the terms of its fuel sales agreements with certain of its customers, the Company is obligated to share portions of these tax credits. At December 31, 2022 and 2021, the amounts of fuel tax credits owed to customers were $3,320 and $1,978, respectively. The Company recorded its portion of tax credits earned as a reduction to cost of sales — RNG fuel in the consolidated statements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 Retirement Obligation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asset retirement obligations in accordance with FASB ASC 410, </w:t>
      </w:r>
      <w:r>
        <w:rPr>
          <w:rFonts w:ascii="Times New Roman" w:cs="Times New Roman" w:eastAsia="Times New Roman" w:hAnsi="Times New Roman"/>
          <w:sz w:val="20"/>
          <w:szCs w:val="20"/>
          <w:i w:val="1"/>
          <w:iCs w:val="1"/>
          <w:color w:val="auto"/>
        </w:rPr>
        <w:t>Asset Retirement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Environmental Obligations, </w:t>
      </w:r>
      <w:r>
        <w:rPr>
          <w:rFonts w:ascii="Times New Roman" w:cs="Times New Roman" w:eastAsia="Times New Roman" w:hAnsi="Times New Roman"/>
          <w:sz w:val="20"/>
          <w:szCs w:val="20"/>
          <w:color w:val="auto"/>
        </w:rPr>
        <w:t>which requires entities to record the fair value of a liability for an asset retirement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2022 and December 31, 2021, the Company estimated the value of its total asset retirement obligations to be $6,256 and $5,738, respectively.</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F-15</w:t>
      </w:r>
    </w:p>
    <w:p>
      <w:pPr>
        <w:sectPr>
          <w:pgSz w:w="12240" w:h="15846" w:orient="portrait"/>
          <w:cols w:equalWidth="0" w:num="1">
            <w:col w:w="9366"/>
          </w:cols>
          <w:pgMar w:left="1440" w:top="947" w:right="1440" w:bottom="353" w:gutter="0" w:footer="0" w:header="0"/>
          <w:type w:val="continuous"/>
        </w:sectPr>
      </w:pPr>
    </w:p>
    <w:bookmarkStart w:id="127" w:name="page128"/>
    <w:bookmarkEnd w:id="12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changes in the asset retirement obligations were as follows as of 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7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7"/>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Balance, December 31, 2021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5,738</w:t>
            </w:r>
          </w:p>
        </w:tc>
        <w:tc>
          <w:tcPr>
            <w:tcW w:w="60" w:type="dxa"/>
            <w:vAlign w:val="bottom"/>
          </w:tcPr>
          <w:p>
            <w:pPr>
              <w:spacing w:after="0"/>
              <w:rPr>
                <w:sz w:val="21"/>
                <w:szCs w:val="2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Addition . . . . . . . . . . . . . .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w:t>
            </w:r>
          </w:p>
        </w:tc>
        <w:tc>
          <w:tcPr>
            <w:tcW w:w="60" w:type="dxa"/>
            <w:vAlign w:val="bottom"/>
          </w:tcPr>
          <w:p>
            <w:pPr>
              <w:spacing w:after="0"/>
              <w:rPr>
                <w:sz w:val="22"/>
                <w:szCs w:val="22"/>
                <w:color w:val="auto"/>
              </w:rPr>
            </w:pP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Accretion expense . . . . . . . . . . . . . . . . . . . . .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60" w:type="dxa"/>
            <w:vAlign w:val="bottom"/>
          </w:tcPr>
          <w:p>
            <w:pPr>
              <w:spacing w:after="0"/>
              <w:rPr>
                <w:sz w:val="22"/>
                <w:szCs w:val="22"/>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asset retirement obligation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6,256</w:t>
            </w:r>
          </w:p>
        </w:tc>
        <w:tc>
          <w:tcPr>
            <w:tcW w:w="60" w:type="dxa"/>
            <w:vAlign w:val="bottom"/>
          </w:tcPr>
          <w:p>
            <w:pPr>
              <w:spacing w:after="0"/>
              <w:rPr>
                <w:sz w:val="20"/>
                <w:szCs w:val="20"/>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 . . . . . . . . . . . . . . .</w:t>
            </w: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(1,296)</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asset retirement obligation, net of current portion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4,960</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70"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69"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58"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70"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On November 29, 2021, the Company entered into a purchase and sale agreement with NextEra, a related party,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discount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w:t>
      </w:r>
    </w:p>
    <w:p>
      <w:pPr>
        <w:spacing w:after="0" w:line="170"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ectPr>
          <w:pgSz w:w="12240" w:h="15846" w:orient="portrait"/>
          <w:cols w:equalWidth="0" w:num="1">
            <w:col w:w="9380"/>
          </w:cols>
          <w:pgMar w:left="1440" w:top="947" w:right="1426" w:bottom="353"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F-16</w:t>
      </w:r>
    </w:p>
    <w:p>
      <w:pPr>
        <w:sectPr>
          <w:pgSz w:w="12240" w:h="15846" w:orient="portrait"/>
          <w:cols w:equalWidth="0" w:num="1">
            <w:col w:w="9380"/>
          </w:cols>
          <w:pgMar w:left="1440" w:top="947" w:right="1426" w:bottom="353" w:gutter="0" w:footer="0" w:header="0"/>
          <w:type w:val="continuous"/>
        </w:sectPr>
      </w:pPr>
    </w:p>
    <w:bookmarkStart w:id="128" w:name="page129"/>
    <w:bookmarkEnd w:id="128"/>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72"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9. </w:t>
      </w:r>
      <w:r>
        <w:rPr>
          <w:rFonts w:ascii="Times New Roman" w:cs="Times New Roman" w:eastAsia="Times New Roman" w:hAnsi="Times New Roman"/>
          <w:sz w:val="20"/>
          <w:szCs w:val="20"/>
          <w:i w:val="1"/>
          <w:iCs w:val="1"/>
          <w:color w:val="auto"/>
        </w:rPr>
        <w:t>Leases.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disaggregation of revenue according to product line: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45"/>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Renewable power sales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33,881</w:t>
            </w:r>
          </w:p>
        </w:tc>
        <w:tc>
          <w:tcPr>
            <w:tcW w:w="100" w:type="dxa"/>
            <w:vAlign w:val="bottom"/>
          </w:tcPr>
          <w:p>
            <w:pPr>
              <w:spacing w:after="0"/>
              <w:rPr>
                <w:sz w:val="21"/>
                <w:szCs w:val="21"/>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40,259</w:t>
            </w: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Third party construction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49,458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32,630</w:t>
            </w: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Service . . . . . . . . . . . . . . . . . . . . . . . . . . . . . . . . . . . . . . . . . . . . . . . . . . . . . . . . .</w:t>
            </w: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16,449</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17,056</w:t>
            </w: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Brown gas sales . . . . . . . . . . . . . . . . . . . . . . . . . . . . . . . . . . . . . . . . . . . . . . . . . . .</w:t>
            </w: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38,356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12,257</w:t>
            </w: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Environmental credits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86,901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55,863</w:t>
            </w: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Parts sales . . . . . . . .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w:t>
            </w: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Operating agreements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3,172</w:t>
            </w:r>
          </w:p>
        </w:tc>
      </w:tr>
      <w:tr>
        <w:trPr>
          <w:trHeight w:val="26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4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Total revenue from contracts with customers . . . . . . . . . . . . . . . . . . . . . . . . . .</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230,657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162,048</w:t>
            </w:r>
          </w:p>
        </w:tc>
      </w:tr>
      <w:tr>
        <w:trPr>
          <w:trHeight w:val="241"/>
        </w:trPr>
        <w:tc>
          <w:tcPr>
            <w:tcW w:w="6540" w:type="dxa"/>
            <w:vAlign w:val="bottom"/>
            <w:gridSpan w:val="2"/>
          </w:tcPr>
          <w:p>
            <w:pPr>
              <w:jc w:val="right"/>
              <w:ind w:right="180"/>
              <w:spacing w:after="0" w:line="241" w:lineRule="exact"/>
              <w:rPr>
                <w:sz w:val="20"/>
                <w:szCs w:val="20"/>
                <w:color w:val="auto"/>
              </w:rPr>
            </w:pPr>
            <w:r>
              <w:rPr>
                <w:rFonts w:ascii="Times New Roman" w:cs="Times New Roman" w:eastAsia="Times New Roman" w:hAnsi="Times New Roman"/>
                <w:sz w:val="20"/>
                <w:szCs w:val="20"/>
                <w:color w:val="auto"/>
                <w:w w:val="98"/>
              </w:rPr>
              <w:t>Lease revenue</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 . . . . . . . . . . . . .</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4,076</w:t>
            </w:r>
          </w:p>
        </w:tc>
      </w:tr>
      <w:tr>
        <w:trPr>
          <w:trHeight w:val="239"/>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 . . . . . . . . . . . . . . . . . . . . . . . . . . . . . . . . . . . . . . . . . . . .Totalrevenue</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235,531</w:t>
            </w:r>
          </w:p>
        </w:tc>
        <w:tc>
          <w:tcPr>
            <w:tcW w:w="100" w:type="dxa"/>
            <w:vAlign w:val="bottom"/>
          </w:tcPr>
          <w:p>
            <w:pPr>
              <w:spacing w:after="0"/>
              <w:rPr>
                <w:sz w:val="20"/>
                <w:szCs w:val="20"/>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166,124</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bl>
    <w:p>
      <w:pPr>
        <w:spacing w:after="0" w:line="83" w:lineRule="exact"/>
        <w:rPr>
          <w:sz w:val="20"/>
          <w:szCs w:val="20"/>
          <w:color w:val="auto"/>
        </w:rPr>
      </w:pPr>
    </w:p>
    <w:p>
      <w:pPr>
        <w:jc w:val="both"/>
        <w:ind w:left="480" w:right="6" w:hanging="480"/>
        <w:spacing w:after="0" w:line="253"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relates to approximately twenty-two fuel purchasing agreements our of which we have two of our RNG fuel stations with minimum take or pay provisions and revenue from power purchase agreements at two of our Renewable Power facilities where we determined that we transferred the right to control the use of the power plant to the purchaser. The Company classified them as operating leases under ASC 840 and made the election not to re-assess the classification upon adoption of ASC 842 on January 1, 2022. On August 25, 2022, one of the above fuel purchase agreements was amended which required the Company to re-assess the contract under ASC 842. The Company determined that the contract is no longer considered a lease under ASC 842. The lease revenue line above includes revenue for that contract only from January 1, 2022 to August 31, 2022. Please see Note.9 Leases for additional information.</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F-17</w:t>
      </w:r>
    </w:p>
    <w:p>
      <w:pPr>
        <w:sectPr>
          <w:pgSz w:w="12240" w:h="15846" w:orient="portrait"/>
          <w:cols w:equalWidth="0" w:num="1">
            <w:col w:w="9366"/>
          </w:cols>
          <w:pgMar w:left="1440" w:top="947" w:right="1440" w:bottom="353" w:gutter="0" w:footer="0" w:header="0"/>
          <w:type w:val="continuous"/>
        </w:sectPr>
      </w:pPr>
    </w:p>
    <w:bookmarkStart w:id="129" w:name="page130"/>
    <w:bookmarkEnd w:id="129"/>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2022 and 2021, 21% and 28.9%, respectively of revenue was recognized over time, and the remainder was for products and services transferred at a point in time.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items consisting of items recorded as Other income:</w:t>
      </w:r>
    </w:p>
    <w:p>
      <w:pPr>
        <w:spacing w:after="0" w:line="183"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8"/>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Gain on redemption of Note receivable . . . . . . . . . . . . . . . . . . . . . . . . . . . . . . . .</w:t>
            </w: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1,943</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820" w:type="dxa"/>
            <w:vAlign w:val="bottom"/>
          </w:tcPr>
          <w:p>
            <w:pPr>
              <w:jc w:val="right"/>
              <w:ind w:right="625"/>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1,943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0"/>
        </w:trPr>
        <w:tc>
          <w:tcPr>
            <w:tcW w:w="6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Assets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Liabilities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Balances</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provides information about receivables, contract assets, and contract liabilities from contracts with customers: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8"/>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 xml:space="preserve">Accounts receivable, net </w:t>
            </w:r>
            <w:r>
              <w:rPr>
                <w:rFonts w:ascii="Times New Roman" w:cs="Times New Roman" w:eastAsia="Times New Roman" w:hAnsi="Times New Roman"/>
                <w:sz w:val="20"/>
                <w:szCs w:val="20"/>
                <w:color w:val="auto"/>
                <w:w w:val="99"/>
              </w:rPr>
              <w:t>.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25,391</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Contract assets:</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Cost and estimated earnings in excess of billings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5,989</w:t>
            </w: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receivable retainage, net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2,744</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2,495</w:t>
            </w: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Contract assets total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Contract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Billings in excess of costs and estimated earnings . . . . . . . . . . . . . . . . . . . . .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8,013</w:t>
            </w:r>
          </w:p>
        </w:tc>
        <w:tc>
          <w:tcPr>
            <w:tcW w:w="1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9,785</w:t>
            </w:r>
          </w:p>
        </w:tc>
        <w:tc>
          <w:tcPr>
            <w:tcW w:w="0" w:type="dxa"/>
            <w:vAlign w:val="bottom"/>
          </w:tcPr>
          <w:p>
            <w:pPr>
              <w:spacing w:after="0"/>
              <w:rPr>
                <w:sz w:val="1"/>
                <w:szCs w:val="1"/>
                <w:color w:val="auto"/>
              </w:rPr>
            </w:pPr>
          </w:p>
        </w:tc>
      </w:tr>
      <w:tr>
        <w:trPr>
          <w:trHeight w:val="24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Contract liabilities total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During the twelve months ended December 31, 2022, the Company recognized revenue of $9,785 that was included in “Contract liabilities” at December 31, 2021. During the twelve months ended December 31, 2021, the Company recognized revenue of $4,678 that was included in “Contract liabilities” at December 31, 2020.</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F-18</w:t>
      </w:r>
    </w:p>
    <w:p>
      <w:pPr>
        <w:sectPr>
          <w:pgSz w:w="12240" w:h="15846" w:orient="portrait"/>
          <w:cols w:equalWidth="0" w:num="1">
            <w:col w:w="9366"/>
          </w:cols>
          <w:pgMar w:left="1440" w:top="947" w:right="1440" w:bottom="353" w:gutter="0" w:footer="0" w:header="0"/>
          <w:type w:val="continuous"/>
        </w:sectPr>
      </w:pPr>
    </w:p>
    <w:bookmarkStart w:id="130" w:name="page131"/>
    <w:bookmarkEnd w:id="130"/>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Parts Inventory</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 as of December 31, 2022 and 2021, respectively. Cost is determined using the average cost method.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Spares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 net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Plant and equipment</w:t>
            </w:r>
          </w:p>
        </w:tc>
        <w:tc>
          <w:tcPr>
            <w:tcW w:w="4760" w:type="dxa"/>
            <w:vAlign w:val="bottom"/>
            <w:gridSpan w:val="2"/>
          </w:tcPr>
          <w:p>
            <w:pPr>
              <w:jc w:val="center"/>
              <w:ind w:left="1920"/>
              <w:spacing w:after="0"/>
              <w:rPr>
                <w:sz w:val="20"/>
                <w:szCs w:val="20"/>
                <w:color w:val="auto"/>
              </w:rPr>
            </w:pPr>
            <w:r>
              <w:rPr>
                <w:rFonts w:ascii="Times New Roman" w:cs="Times New Roman" w:eastAsia="Times New Roman" w:hAnsi="Times New Roman"/>
                <w:sz w:val="20"/>
                <w:szCs w:val="20"/>
                <w:color w:val="auto"/>
              </w:rPr>
              <w:t>5 – 30 years</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CNG/RNG fueling stations</w:t>
            </w:r>
          </w:p>
        </w:tc>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20 years</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3060" w:type="dxa"/>
            <w:vAlign w:val="bottom"/>
          </w:tcPr>
          <w:p>
            <w:pPr>
              <w:spacing w:after="0"/>
              <w:rPr>
                <w:sz w:val="22"/>
                <w:szCs w:val="22"/>
                <w:color w:val="auto"/>
              </w:rPr>
            </w:pPr>
          </w:p>
        </w:tc>
        <w:tc>
          <w:tcPr>
            <w:tcW w:w="1700" w:type="dxa"/>
            <w:vAlign w:val="bottom"/>
          </w:tcPr>
          <w:p>
            <w:pPr>
              <w:jc w:val="center"/>
              <w:ind w:right="940"/>
              <w:spacing w:after="0"/>
              <w:rPr>
                <w:sz w:val="20"/>
                <w:szCs w:val="20"/>
                <w:color w:val="auto"/>
              </w:rPr>
            </w:pPr>
            <w:r>
              <w:rPr>
                <w:rFonts w:ascii="Times New Roman" w:cs="Times New Roman" w:eastAsia="Times New Roman" w:hAnsi="Times New Roman"/>
                <w:sz w:val="20"/>
                <w:szCs w:val="20"/>
                <w:color w:val="auto"/>
                <w:w w:val="98"/>
              </w:rPr>
              <w:t>N/A</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3060" w:type="dxa"/>
            <w:vAlign w:val="bottom"/>
          </w:tcPr>
          <w:p>
            <w:pPr>
              <w:spacing w:after="0"/>
              <w:rPr>
                <w:sz w:val="22"/>
                <w:szCs w:val="22"/>
                <w:color w:val="auto"/>
              </w:rPr>
            </w:pPr>
          </w:p>
        </w:tc>
        <w:tc>
          <w:tcPr>
            <w:tcW w:w="1700" w:type="dxa"/>
            <w:vAlign w:val="bottom"/>
          </w:tcPr>
          <w:p>
            <w:pPr>
              <w:jc w:val="center"/>
              <w:ind w:right="940"/>
              <w:spacing w:after="0"/>
              <w:rPr>
                <w:sz w:val="20"/>
                <w:szCs w:val="20"/>
                <w:color w:val="auto"/>
              </w:rPr>
            </w:pPr>
            <w:r>
              <w:rPr>
                <w:rFonts w:ascii="Times New Roman" w:cs="Times New Roman" w:eastAsia="Times New Roman" w:hAnsi="Times New Roman"/>
                <w:sz w:val="20"/>
                <w:szCs w:val="20"/>
                <w:color w:val="auto"/>
                <w:w w:val="98"/>
              </w:rPr>
              <w:t>40 years</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3060" w:type="dxa"/>
            <w:vAlign w:val="bottom"/>
          </w:tcPr>
          <w:p>
            <w:pPr>
              <w:spacing w:after="0"/>
              <w:rPr>
                <w:sz w:val="22"/>
                <w:szCs w:val="22"/>
                <w:color w:val="auto"/>
              </w:rPr>
            </w:pPr>
          </w:p>
        </w:tc>
        <w:tc>
          <w:tcPr>
            <w:tcW w:w="1700" w:type="dxa"/>
            <w:vAlign w:val="bottom"/>
          </w:tcPr>
          <w:p>
            <w:pPr>
              <w:jc w:val="center"/>
              <w:ind w:right="940"/>
              <w:spacing w:after="0"/>
              <w:rPr>
                <w:sz w:val="20"/>
                <w:szCs w:val="20"/>
                <w:color w:val="auto"/>
              </w:rPr>
            </w:pPr>
            <w:r>
              <w:rPr>
                <w:rFonts w:ascii="Times New Roman" w:cs="Times New Roman" w:eastAsia="Times New Roman" w:hAnsi="Times New Roman"/>
                <w:sz w:val="20"/>
                <w:szCs w:val="20"/>
                <w:color w:val="auto"/>
                <w:w w:val="98"/>
              </w:rPr>
              <w:t>N/A</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Service equipment</w:t>
            </w:r>
          </w:p>
        </w:tc>
        <w:tc>
          <w:tcPr>
            <w:tcW w:w="4760" w:type="dxa"/>
            <w:vAlign w:val="bottom"/>
            <w:gridSpan w:val="2"/>
          </w:tcPr>
          <w:p>
            <w:pPr>
              <w:jc w:val="center"/>
              <w:ind w:left="1920"/>
              <w:spacing w:after="0"/>
              <w:rPr>
                <w:sz w:val="20"/>
                <w:szCs w:val="20"/>
                <w:color w:val="auto"/>
              </w:rPr>
            </w:pPr>
            <w:r>
              <w:rPr>
                <w:rFonts w:ascii="Times New Roman" w:cs="Times New Roman" w:eastAsia="Times New Roman" w:hAnsi="Times New Roman"/>
                <w:sz w:val="20"/>
                <w:szCs w:val="20"/>
                <w:color w:val="auto"/>
              </w:rPr>
              <w:t>5 – 10 years</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760" w:type="dxa"/>
            <w:vAlign w:val="bottom"/>
            <w:gridSpan w:val="2"/>
          </w:tcPr>
          <w:p>
            <w:pPr>
              <w:jc w:val="center"/>
              <w:ind w:left="1940"/>
              <w:spacing w:after="0"/>
              <w:rPr>
                <w:sz w:val="20"/>
                <w:szCs w:val="20"/>
                <w:color w:val="auto"/>
              </w:rPr>
            </w:pPr>
            <w:r>
              <w:rPr>
                <w:rFonts w:ascii="Times New Roman" w:cs="Times New Roman" w:eastAsia="Times New Roman" w:hAnsi="Times New Roman"/>
                <w:sz w:val="20"/>
                <w:szCs w:val="20"/>
                <w:color w:val="auto"/>
              </w:rPr>
              <w:t>shorter of lease term or useful life</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3060" w:type="dxa"/>
            <w:vAlign w:val="bottom"/>
          </w:tcPr>
          <w:p>
            <w:pPr>
              <w:spacing w:after="0"/>
              <w:rPr>
                <w:sz w:val="22"/>
                <w:szCs w:val="22"/>
                <w:color w:val="auto"/>
              </w:rPr>
            </w:pPr>
          </w:p>
        </w:tc>
        <w:tc>
          <w:tcPr>
            <w:tcW w:w="1700" w:type="dxa"/>
            <w:vAlign w:val="bottom"/>
          </w:tcPr>
          <w:p>
            <w:pPr>
              <w:jc w:val="center"/>
              <w:ind w:right="940"/>
              <w:spacing w:after="0"/>
              <w:rPr>
                <w:sz w:val="20"/>
                <w:szCs w:val="20"/>
                <w:color w:val="auto"/>
              </w:rPr>
            </w:pPr>
            <w:r>
              <w:rPr>
                <w:rFonts w:ascii="Times New Roman" w:cs="Times New Roman" w:eastAsia="Times New Roman" w:hAnsi="Times New Roman"/>
                <w:sz w:val="20"/>
                <w:szCs w:val="20"/>
                <w:color w:val="auto"/>
              </w:rPr>
              <w:t>7 years</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7 years</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3060" w:type="dxa"/>
            <w:vAlign w:val="bottom"/>
          </w:tcPr>
          <w:p>
            <w:pPr>
              <w:spacing w:after="0"/>
              <w:rPr>
                <w:sz w:val="22"/>
                <w:szCs w:val="22"/>
                <w:color w:val="auto"/>
              </w:rPr>
            </w:pPr>
          </w:p>
        </w:tc>
        <w:tc>
          <w:tcPr>
            <w:tcW w:w="1700" w:type="dxa"/>
            <w:vAlign w:val="bottom"/>
          </w:tcPr>
          <w:p>
            <w:pPr>
              <w:jc w:val="center"/>
              <w:ind w:right="940"/>
              <w:spacing w:after="0"/>
              <w:rPr>
                <w:sz w:val="20"/>
                <w:szCs w:val="20"/>
                <w:color w:val="auto"/>
              </w:rPr>
            </w:pPr>
            <w:r>
              <w:rPr>
                <w:rFonts w:ascii="Times New Roman" w:cs="Times New Roman" w:eastAsia="Times New Roman" w:hAnsi="Times New Roman"/>
                <w:sz w:val="20"/>
                <w:szCs w:val="20"/>
                <w:color w:val="auto"/>
              </w:rPr>
              <w:t>3 years</w:t>
            </w:r>
          </w:p>
        </w:tc>
      </w:tr>
      <w:tr>
        <w:trPr>
          <w:trHeight w:val="26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60" w:type="dxa"/>
            <w:vAlign w:val="bottom"/>
          </w:tcPr>
          <w:p>
            <w:pPr>
              <w:spacing w:after="0"/>
              <w:rPr>
                <w:sz w:val="22"/>
                <w:szCs w:val="22"/>
                <w:color w:val="auto"/>
              </w:rPr>
            </w:pPr>
          </w:p>
        </w:tc>
        <w:tc>
          <w:tcPr>
            <w:tcW w:w="1700" w:type="dxa"/>
            <w:vAlign w:val="bottom"/>
          </w:tcPr>
          <w:p>
            <w:pPr>
              <w:jc w:val="center"/>
              <w:ind w:right="940"/>
              <w:spacing w:after="0"/>
              <w:rPr>
                <w:sz w:val="20"/>
                <w:szCs w:val="20"/>
                <w:color w:val="auto"/>
              </w:rPr>
            </w:pPr>
            <w:r>
              <w:rPr>
                <w:rFonts w:ascii="Times New Roman" w:cs="Times New Roman" w:eastAsia="Times New Roman" w:hAnsi="Times New Roman"/>
                <w:sz w:val="20"/>
                <w:szCs w:val="20"/>
                <w:color w:val="auto"/>
              </w:rPr>
              <w:t>7 years</w:t>
            </w:r>
          </w:p>
        </w:tc>
      </w:tr>
    </w:tbl>
    <w:p>
      <w:pPr>
        <w:spacing w:after="0" w:line="15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When plant and equipment are retired or otherwise disposed of, the related cost and accumulated depreciation or amortization is removed, and a gain or loss is recognized in the consolidated statements of operations. 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engineering, procurement and construction contracts. Costs incurred prior to this time are expensed. Additionally, the Company capitalizes any interest incurred on its generic borrowings during the construction phase until the project becomes operational.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credits held for sale</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RNG inventory relates to storage of an equivalent amount of RNG production from our new RNG facilities during their RIN and LCFS certification period. It is sold to various customers at market prices upon obtaining RIN or LCFS certification. It is recorded at cost and adjusted to its net realizable value at each balance sheet date.</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F-19</w:t>
      </w:r>
    </w:p>
    <w:p>
      <w:pPr>
        <w:sectPr>
          <w:pgSz w:w="12240" w:h="15846" w:orient="portrait"/>
          <w:cols w:equalWidth="0" w:num="1">
            <w:col w:w="9366"/>
          </w:cols>
          <w:pgMar w:left="1440" w:top="947" w:right="1440" w:bottom="353" w:gutter="0" w:footer="0" w:header="0"/>
          <w:type w:val="continuous"/>
        </w:sectPr>
      </w:pPr>
    </w:p>
    <w:bookmarkStart w:id="131" w:name="page132"/>
    <w:bookmarkEnd w:id="131"/>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Station Services Construction Backlog</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Company’s remaining performance obligations (“backlog”) represent the unrecognized revenue value of its contract commitments. The Company’s backlog may significantly vary each reporting period based on the timing of major new contract commitments. At December 31, 2022, the Company had a backlog of $65,657 of which $58,258 is anticipated to be recognized as revenue in the next 12 months.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Major Maintenance</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Major maintenance is a component of maintenance expense and encompasses overhauls of internal combustion engines, gas compressors and electrical generators. Major maintenance is expensed as incurred. Major maintenance expense was $4,701 and $5,946 for the years ended December 31, 2022 and 2021 respectively, and is included in cost of sales — renewable power in the consolidated statements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Goodwill represents the excess of purchase price of an acquisition over the fair value of net assets acquired in a business combination subject to ASC 805, Business Combinations.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in fourth quarter of each year.</w:t>
      </w:r>
    </w:p>
    <w:p>
      <w:pPr>
        <w:spacing w:after="0" w:line="170"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During 2020, the Company has adopted the provisions of the Financial Accounting Standards Board (FASB) Accounting Standards Update (ASU) 2017-04, Intangibles — Goodwill and Other (Topic 350): Testing Goodwill for Impairment. Under this guidance, the Company performed qualitative test for goodwill on Beacon and Trustar for the year ended December 31, 2022. As a result of these tests, the Company determined that the fair value of its reporting unit exceeded its carrying value and, thus, the Company determined that goodwill was not impaired.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 and Liabilities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173"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There was no material impairment expense booked for the years ended December 31, 2022 and 2021.</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F-20</w:t>
      </w:r>
    </w:p>
    <w:p>
      <w:pPr>
        <w:sectPr>
          <w:pgSz w:w="12240" w:h="15846" w:orient="portrait"/>
          <w:cols w:equalWidth="0" w:num="1">
            <w:col w:w="9366"/>
          </w:cols>
          <w:pgMar w:left="1440" w:top="947" w:right="1440" w:bottom="353" w:gutter="0" w:footer="0" w:header="0"/>
          <w:type w:val="continuous"/>
        </w:sectPr>
      </w:pPr>
    </w:p>
    <w:bookmarkStart w:id="132" w:name="page133"/>
    <w:bookmarkEnd w:id="132"/>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There are two electricity forward sales agreements during 2022 that were recorded under the normal purchases and normal sales exception and, therefore, fair value adjustments were not required for the year ended December 31, 2022. Please see Note 10. Derivative Financial Instruments and fair value measurements for additional information.</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Derivatives and Hedging.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2022 and 2021.</w:t>
      </w:r>
    </w:p>
    <w:p>
      <w:pPr>
        <w:spacing w:after="0" w:line="170"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maintains a risk management strategy that incorporates the use of interest rate swaps to minimize significant fluctuation in cash flows and/or earnings that are caused by interest rate volatility. The Company designated the interest rate swaps as cash flow hedges applies hedge accounting. The Company records the fair value of the interest rate swap as an asset or liability on its consolidated balance sheet. The effective portion of the swap is recorded in Accumulated other comprehensive income.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Vulnerability Due to Certain Concentrations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F-21</w:t>
      </w:r>
    </w:p>
    <w:p>
      <w:pPr>
        <w:sectPr>
          <w:pgSz w:w="12240" w:h="15846" w:orient="portrait"/>
          <w:cols w:equalWidth="0" w:num="1">
            <w:col w:w="9366"/>
          </w:cols>
          <w:pgMar w:left="1440" w:top="947" w:right="1440" w:bottom="353" w:gutter="0" w:footer="0" w:header="0"/>
          <w:type w:val="continuous"/>
        </w:sectPr>
      </w:pPr>
    </w:p>
    <w:bookmarkStart w:id="133" w:name="page134"/>
    <w:bookmarkEnd w:id="133"/>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Customers, Vendors and Concentration of Credit Risk</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2022 two customers accounted for 49% of revenue. For the year ended 2021, three customers accounted for 45% of revenue. At December 31, 2022, two customers accounted for 44% of accounts receivable. At December 31, 2021, two customers accounted for 26%, of accounts receivable.</w:t>
      </w:r>
    </w:p>
    <w:p>
      <w:pPr>
        <w:spacing w:after="0" w:line="173" w:lineRule="exact"/>
        <w:rPr>
          <w:sz w:val="20"/>
          <w:szCs w:val="20"/>
          <w:color w:val="auto"/>
        </w:rPr>
      </w:pPr>
    </w:p>
    <w:p>
      <w:pPr>
        <w:jc w:val="both"/>
        <w:ind w:right="6" w:firstLine="480"/>
        <w:spacing w:after="0" w:line="266" w:lineRule="auto"/>
        <w:rPr>
          <w:sz w:val="20"/>
          <w:szCs w:val="20"/>
          <w:color w:val="auto"/>
        </w:rPr>
      </w:pPr>
      <w:r>
        <w:rPr>
          <w:rFonts w:ascii="Times New Roman" w:cs="Times New Roman" w:eastAsia="Times New Roman" w:hAnsi="Times New Roman"/>
          <w:sz w:val="19"/>
          <w:szCs w:val="19"/>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5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2022 one vendor accounted for 18.7% of the accounts payable. As of December 31, 2021, no vendors accounted for greater than 10% of the accounts payable.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in other entities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impacts of impairment, capitalized interest and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2022 and 2021, the Company did not identify any impairments on its investments in other entities.</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F-22</w:t>
      </w:r>
    </w:p>
    <w:p>
      <w:pPr>
        <w:sectPr>
          <w:pgSz w:w="12240" w:h="15846" w:orient="portrait"/>
          <w:cols w:equalWidth="0" w:num="1">
            <w:col w:w="9366"/>
          </w:cols>
          <w:pgMar w:left="1440" w:top="947" w:right="1440" w:bottom="353" w:gutter="0" w:footer="0" w:header="0"/>
          <w:type w:val="continuous"/>
        </w:sectPr>
      </w:pPr>
    </w:p>
    <w:bookmarkStart w:id="134" w:name="page135"/>
    <w:bookmarkEnd w:id="134"/>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Business Combination</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spacing w:after="0" w:line="155"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consummation of the Business Combination, the events summarized below, among others, occurred:</w:t>
      </w:r>
    </w:p>
    <w:p>
      <w:pPr>
        <w:spacing w:after="0" w:line="174" w:lineRule="exact"/>
        <w:rPr>
          <w:sz w:val="20"/>
          <w:szCs w:val="20"/>
          <w:color w:val="auto"/>
        </w:rPr>
      </w:pPr>
    </w:p>
    <w:p>
      <w:pPr>
        <w:jc w:val="both"/>
        <w:ind w:left="960" w:right="6" w:hanging="479"/>
        <w:spacing w:after="0" w:line="249" w:lineRule="auto"/>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consolidated financial statements. Each Class B unit is paired with 1 non-economic share of Class D common stock issued by the Company.</w:t>
      </w:r>
    </w:p>
    <w:p>
      <w:pPr>
        <w:spacing w:after="0" w:line="168" w:lineRule="exact"/>
        <w:rPr>
          <w:rFonts w:ascii="Times New Roman" w:cs="Times New Roman" w:eastAsia="Times New Roman" w:hAnsi="Times New Roman"/>
          <w:sz w:val="20"/>
          <w:szCs w:val="20"/>
          <w:color w:val="auto"/>
        </w:rPr>
      </w:pPr>
    </w:p>
    <w:p>
      <w:pPr>
        <w:jc w:val="both"/>
        <w:ind w:left="960" w:right="6" w:hanging="479"/>
        <w:spacing w:after="0" w:line="249" w:lineRule="auto"/>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ArcLight (i) contributed to OPAL Fuels $138,850 in cash net of transaction expenses of $9,770,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spacing w:after="0" w:line="163" w:lineRule="exact"/>
        <w:rPr>
          <w:rFonts w:ascii="Times New Roman" w:cs="Times New Roman" w:eastAsia="Times New Roman" w:hAnsi="Times New Roman"/>
          <w:sz w:val="20"/>
          <w:szCs w:val="20"/>
          <w:color w:val="auto"/>
        </w:rPr>
      </w:pPr>
    </w:p>
    <w:p>
      <w:pPr>
        <w:ind w:left="960" w:hanging="479"/>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OPAL Fuels issued 25,671,390 Class A Units of OPAL Fuels to the Company; and</w:t>
      </w:r>
    </w:p>
    <w:p>
      <w:pPr>
        <w:spacing w:after="0" w:line="176" w:lineRule="exact"/>
        <w:rPr>
          <w:rFonts w:ascii="Times New Roman" w:cs="Times New Roman" w:eastAsia="Times New Roman" w:hAnsi="Times New Roman"/>
          <w:sz w:val="20"/>
          <w:szCs w:val="20"/>
          <w:color w:val="auto"/>
        </w:rPr>
      </w:pPr>
    </w:p>
    <w:p>
      <w:pPr>
        <w:jc w:val="both"/>
        <w:ind w:left="960" w:right="6" w:hanging="479"/>
        <w:spacing w:after="0" w:line="266" w:lineRule="auto"/>
        <w:tabs>
          <w:tab w:leader="none" w:pos="96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spacing w:after="0" w:line="154"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Pursuant to a forward share purchase agreement (the “Forward Purchase Agreement”) entered into between ArcLight and Meteora and its affiliates (collectively, “Meteora”), prior to the closing of the Business Combination Meteora purchased 2,000,000 Class A common stock of ArcLight from shareholders who had previously tendered such shares for redemption but agreed to reverse their redemption and sell such shares to Meteora at the redemption price, resulting in Meteora holding a total of 2,000,000 Class A common stock, which Meteora agreed not to redeem in connection with the Business Combination. Additionally, ArcLight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xml:space="preserve"> with the change in the fair market value recognized in the statement of operations. As of December 31, 2022, Meteora sold 364,217 shares. Subsequent to the year end, the agreement terminated and the Company performed on its obligation to repurchase the 1,635,783 shares. Please see Note 19.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xml:space="preserve"> for additional information. The fair value of the</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F-23</w:t>
      </w:r>
    </w:p>
    <w:p>
      <w:pPr>
        <w:sectPr>
          <w:pgSz w:w="12240" w:h="15846" w:orient="portrait"/>
          <w:cols w:equalWidth="0" w:num="1">
            <w:col w:w="9366"/>
          </w:cols>
          <w:pgMar w:left="1440" w:top="947" w:right="1440" w:bottom="353" w:gutter="0" w:footer="0" w:header="0"/>
          <w:type w:val="continuous"/>
        </w:sectPr>
      </w:pPr>
    </w:p>
    <w:bookmarkStart w:id="135" w:name="page136"/>
    <w:bookmarkEnd w:id="135"/>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 Business Combination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put option for the remaining 1,635,783 as of December 31, 2022 was estimated at $4,466. For the year ended December 31, 2022, the Company recorded a gain of $134 as change in fair value of derivative instruments, net in its Consolidated Statement of Operations.</w:t>
      </w:r>
    </w:p>
    <w:p>
      <w:pPr>
        <w:spacing w:after="0" w:line="173"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Pursuant to the terms of the Sponsor Letter Agreement entered into on December 2, 2021 among ArcLight, ArcLight CTC Holdings II, L.P. (“Sponsor”), OPAL Fuels and certain other persons concurrently with the execution of the Business Combination Agreement (the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(“Sponsor Earnout Awards”). The Company accounted for the potential earnout shares as a liability at fair value with the change in the fair market value recognized in the statement of operations. The Sponsor Earnout Awards were classified as liability as their settlement terms contained certain variables that precluded them from being considered index to the Company’s common stock under the “fixed-for-fixed” requirement per ASC 815 D</w:t>
      </w:r>
      <w:r>
        <w:rPr>
          <w:rFonts w:ascii="Times New Roman" w:cs="Times New Roman" w:eastAsia="Times New Roman" w:hAnsi="Times New Roman"/>
          <w:sz w:val="19"/>
          <w:szCs w:val="19"/>
          <w:i w:val="1"/>
          <w:iCs w:val="1"/>
          <w:color w:val="auto"/>
        </w:rPr>
        <w:t>erivatives and Hedging</w:t>
      </w:r>
      <w:r>
        <w:rPr>
          <w:rFonts w:ascii="Times New Roman" w:cs="Times New Roman" w:eastAsia="Times New Roman" w:hAnsi="Times New Roman"/>
          <w:sz w:val="19"/>
          <w:szCs w:val="19"/>
          <w:color w:val="auto"/>
        </w:rPr>
        <w:t>. The fair value of Sponsor Earnout Awards as of December 31, 2022 was estimated at $3,790. For the year ended December 31, 2022, the Company recorded a gain of $1,910 as change in fair value of derivative instruments, net in its consolidated statement of operations.</w:t>
      </w:r>
    </w:p>
    <w:p>
      <w:pPr>
        <w:spacing w:after="0" w:line="156"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Effective immediately after the closing, and upon the date on which the Company’s annual adjusted EBITDA for the calendar year 2023 exceeds $238,000, (i) the Company will issue to OPAL Fuels equity holders (the “Earnout Participants”) an aggregate of 5,000,000 shares of the Company’s Class B common stock and Class D common stock and corresponding OPAL Fuels Common Units in accordance with the allocations set forth in the Business Combination Agreement. Additionally, upon the date on which the Company’s annual adjusted EBITDA for the calendar year 2024 exceeds $446,000, (i) the Company will issue to the Earnout Participants an aggregate of 5,000,000 additional shares of the Company’s Class B common stock and Class D common stock and corresponding OPAL Fuels Common Units in accordance with the allocations set forth in the Business Combination Agreement (“OPAL Earnout Awards”). OPAL Earnout Awards were classified as a liability under Topic 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xml:space="preserve"> because they are considered indexed to an obligation to repurchase shares by delivering cash or other assets as a result of certain settlement provisions. The fair value of OPAL Earnout Awards as of December 31, 2022 was estimated at $5,000. For the year ended December 31, 2022, the Company recorded a gain of $35,200 as change in fair value of derivative instruments,net in its consolidated statements of operations.</w:t>
      </w:r>
    </w:p>
    <w:p>
      <w:pPr>
        <w:spacing w:after="0" w:line="17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 xml:space="preserve">Upon the completion of the business combination, the Company assumed the Public Warrants and Private Warrants. In December 2022, the Company successfully converted all the outstanding Warrants and issued shares of Class A common stock. Please see Note 1, </w:t>
      </w:r>
      <w:r>
        <w:rPr>
          <w:rFonts w:ascii="Times New Roman" w:cs="Times New Roman" w:eastAsia="Times New Roman" w:hAnsi="Times New Roman"/>
          <w:sz w:val="20"/>
          <w:szCs w:val="20"/>
          <w:i w:val="1"/>
          <w:iCs w:val="1"/>
          <w:color w:val="auto"/>
        </w:rPr>
        <w:t>Description of Business</w:t>
      </w:r>
      <w:r>
        <w:rPr>
          <w:rFonts w:ascii="Times New Roman" w:cs="Times New Roman" w:eastAsia="Times New Roman" w:hAnsi="Times New Roman"/>
          <w:sz w:val="20"/>
          <w:szCs w:val="20"/>
          <w:color w:val="auto"/>
        </w:rPr>
        <w:t>, for additional information. As of December 31, 2022, there are no Warrants outstanding.</w:t>
      </w:r>
    </w:p>
    <w:p>
      <w:pPr>
        <w:spacing w:after="0" w:line="169"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reconciles the elements of the Business Combination to the consolidated statements of cash flows and the consolidated statements of stockholders’ equity for the year ended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proceeds from Arclight, net of redemptions . . . . . . . . . . . . . . . . . . . . . . . . . . . . . . . . . . . . . .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17,775</w:t>
            </w:r>
          </w:p>
        </w:tc>
        <w:tc>
          <w:tcPr>
            <w:tcW w:w="60" w:type="dxa"/>
            <w:vAlign w:val="bottom"/>
          </w:tcPr>
          <w:p>
            <w:pPr>
              <w:spacing w:after="0"/>
              <w:rPr>
                <w:sz w:val="19"/>
                <w:szCs w:val="19"/>
                <w:color w:val="auto"/>
              </w:rPr>
            </w:pPr>
          </w:p>
        </w:tc>
      </w:tr>
      <w:tr>
        <w:trPr>
          <w:trHeight w:val="260"/>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proceeds from PIPE investors . . . . . . . . . . . . . . . . . . . .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110,806</w:t>
            </w:r>
          </w:p>
        </w:tc>
        <w:tc>
          <w:tcPr>
            <w:tcW w:w="60" w:type="dxa"/>
            <w:vAlign w:val="bottom"/>
          </w:tcPr>
          <w:p>
            <w:pPr>
              <w:spacing w:after="0"/>
              <w:rPr>
                <w:sz w:val="22"/>
                <w:szCs w:val="22"/>
                <w:color w:val="auto"/>
              </w:rPr>
            </w:pPr>
          </w:p>
        </w:tc>
      </w:tr>
      <w:tr>
        <w:trPr>
          <w:trHeight w:val="260"/>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Cash in escrow account for the Forward Purchase Agreement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20,040</w:t>
            </w:r>
          </w:p>
        </w:tc>
        <w:tc>
          <w:tcPr>
            <w:tcW w:w="60" w:type="dxa"/>
            <w:vAlign w:val="bottom"/>
          </w:tcPr>
          <w:p>
            <w:pPr>
              <w:spacing w:after="0"/>
              <w:rPr>
                <w:sz w:val="22"/>
                <w:szCs w:val="22"/>
                <w:color w:val="auto"/>
              </w:rPr>
            </w:pPr>
          </w:p>
        </w:tc>
      </w:tr>
      <w:tr>
        <w:trPr>
          <w:trHeight w:val="262"/>
        </w:trPr>
        <w:tc>
          <w:tcPr>
            <w:tcW w:w="792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w w:val="99"/>
              </w:rPr>
              <w:t>Less: transaction costs and under writing fees paid</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(9,771)</w:t>
            </w:r>
          </w:p>
        </w:tc>
      </w:tr>
      <w:tr>
        <w:trPr>
          <w:trHeight w:val="239"/>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acquired from Business Combination . . . . . . . . . . . . . . . . . . . . . . . . . . . . . . . . . . . . . . . . . . . .</w:t>
            </w: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138,850</w:t>
            </w:r>
          </w:p>
        </w:tc>
        <w:tc>
          <w:tcPr>
            <w:tcW w:w="60" w:type="dxa"/>
            <w:vAlign w:val="bottom"/>
          </w:tcPr>
          <w:p>
            <w:pPr>
              <w:spacing w:after="0"/>
              <w:rPr>
                <w:sz w:val="20"/>
                <w:szCs w:val="20"/>
                <w:color w:val="auto"/>
              </w:rPr>
            </w:pPr>
          </w:p>
        </w:tc>
      </w:tr>
      <w:tr>
        <w:trPr>
          <w:trHeight w:val="239"/>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warrant liabilities . . . . . . . . . . . . . . . . . . . . . . . . . . . . . . . . . . . . . . . . . . . . . . . . . . . . . . . . . . .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(13,524)</w:t>
            </w:r>
          </w:p>
        </w:tc>
      </w:tr>
      <w:tr>
        <w:trPr>
          <w:trHeight w:val="260"/>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earnout liabilities . . . . . . . . . . . . . . . . . . . . . . . . . . . . . .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(45,900)</w:t>
            </w:r>
          </w:p>
        </w:tc>
      </w:tr>
      <w:tr>
        <w:trPr>
          <w:trHeight w:val="260"/>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put option with Meteora . . . . . . . . . . . . . . . . . . . . . . . . . . . . . . . .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(4,600)</w:t>
            </w:r>
          </w:p>
        </w:tc>
      </w:tr>
      <w:tr>
        <w:trPr>
          <w:trHeight w:val="262"/>
        </w:trPr>
        <w:tc>
          <w:tcPr>
            <w:tcW w:w="792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rPr>
              <w:t>Less: Deferred financing costs recorded in additional paid-in-capital</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(6,467)</w:t>
            </w:r>
          </w:p>
        </w:tc>
      </w:tr>
      <w:tr>
        <w:trPr>
          <w:trHeight w:val="239"/>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Net additional paid-in capital from Business Combination recorded in Stockholders’ equity . . . . . .</w:t>
            </w: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68,359</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70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$8,041 of Sponsor specific transaction costs paid at closing.</w:t>
      </w:r>
    </w:p>
    <w:p>
      <w:pPr>
        <w:spacing w:after="0" w:line="21"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$1,630 of transaction costs paid at closing and recorded on OPAL Fuels’ consolidated balance sheet prior to closing.</w:t>
      </w:r>
    </w:p>
    <w:p>
      <w:pPr>
        <w:sectPr>
          <w:pgSz w:w="12240" w:h="15846" w:orient="portrait"/>
          <w:cols w:equalWidth="0" w:num="1">
            <w:col w:w="9366"/>
          </w:cols>
          <w:pgMar w:left="1440" w:top="947" w:right="1440" w:bottom="353" w:gutter="0" w:footer="0" w:header="0"/>
        </w:sectPr>
      </w:pPr>
    </w:p>
    <w:p>
      <w:pPr>
        <w:spacing w:after="0" w:line="23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F-24</w:t>
      </w:r>
    </w:p>
    <w:p>
      <w:pPr>
        <w:sectPr>
          <w:pgSz w:w="12240" w:h="15846" w:orient="portrait"/>
          <w:cols w:equalWidth="0" w:num="1">
            <w:col w:w="9366"/>
          </w:cols>
          <w:pgMar w:left="1440" w:top="947" w:right="1440" w:bottom="353" w:gutter="0" w:footer="0" w:header="0"/>
          <w:type w:val="continuous"/>
        </w:sectPr>
      </w:pPr>
    </w:p>
    <w:bookmarkStart w:id="136" w:name="page137"/>
    <w:bookmarkEnd w:id="136"/>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 Business Combination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The total number of shares of the Company’s Class A common stock outstanding immediately following the closing of the Business Combination was 25,671,390, consisting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2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47"/>
        </w:trPr>
        <w:tc>
          <w:tcPr>
            <w:tcW w:w="7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Class A – Public stockholders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1,752,181</w:t>
            </w:r>
          </w:p>
        </w:tc>
      </w:tr>
      <w:tr>
        <w:trPr>
          <w:trHeight w:val="297"/>
        </w:trPr>
        <w:tc>
          <w:tcPr>
            <w:tcW w:w="7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Class A – Sponsor shares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7,779,076</w:t>
            </w:r>
          </w:p>
        </w:tc>
      </w:tr>
      <w:tr>
        <w:trPr>
          <w:trHeight w:val="223"/>
        </w:trPr>
        <w:tc>
          <w:tcPr>
            <w:tcW w:w="79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w w:val="99"/>
              </w:rPr>
              <w:t>Class A – PIPE investors. . . . . . . . . . . . . . . . . . .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11,080,600</w:t>
            </w:r>
          </w:p>
        </w:tc>
      </w:tr>
      <w:tr>
        <w:trPr>
          <w:trHeight w:val="260"/>
        </w:trPr>
        <w:tc>
          <w:tcPr>
            <w:tcW w:w="7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Class A – Forward Purchase Agreement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r>
      <w:tr>
        <w:trPr>
          <w:trHeight w:val="261"/>
        </w:trPr>
        <w:tc>
          <w:tcPr>
            <w:tcW w:w="7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Class A – Ares . . . . . . . . . . . . . . . . . . . . . . . . . . .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3,059,533</w:t>
            </w:r>
          </w:p>
        </w:tc>
      </w:tr>
      <w:tr>
        <w:trPr>
          <w:trHeight w:val="239"/>
        </w:trPr>
        <w:tc>
          <w:tcPr>
            <w:tcW w:w="88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25,671,390</w:t>
            </w:r>
          </w:p>
        </w:tc>
      </w:tr>
      <w:tr>
        <w:trPr>
          <w:trHeight w:val="241"/>
        </w:trPr>
        <w:tc>
          <w:tcPr>
            <w:tcW w:w="7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 . . . . . . . . . . . . . . . . . . . . . . . . . . . . . . . . . . . . . . . . . . . . . . . .ClassD–OpalFuelsequityholders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144,399,037</w:t>
            </w:r>
          </w:p>
        </w:tc>
      </w:tr>
      <w:tr>
        <w:trPr>
          <w:trHeight w:val="240"/>
        </w:trPr>
        <w:tc>
          <w:tcPr>
            <w:tcW w:w="7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Total shares issued upon closing of Business Combination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170,070,427</w:t>
            </w:r>
          </w:p>
        </w:tc>
      </w:tr>
      <w:tr>
        <w:trPr>
          <w:trHeight w:val="20"/>
        </w:trPr>
        <w:tc>
          <w:tcPr>
            <w:tcW w:w="8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7100" w:type="dxa"/>
            <w:vAlign w:val="bottom"/>
          </w:tcPr>
          <w:p>
            <w:pPr>
              <w:spacing w:after="0"/>
              <w:rPr>
                <w:sz w:val="3"/>
                <w:szCs w:val="3"/>
                <w:color w:val="auto"/>
              </w:rPr>
            </w:pPr>
          </w:p>
        </w:tc>
        <w:tc>
          <w:tcPr>
            <w:tcW w:w="126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763,908 Sponsor Earnout Awards subject to vesting and forfeiture conditions.</w:t>
      </w:r>
    </w:p>
    <w:p>
      <w:pPr>
        <w:spacing w:after="0" w:line="183"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Company incurred $8,097 in transaction costs relating to the Business Combination which were recorded as an offset to additional paid-in capital in the consolidated Statements of Changes in Redeemable preferred units and Stockholders’ equity.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Investment in Other Entities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consolidated balance sheets under the equity method, and the Company’s proportionate net (loss) income, if any, is included in the Company’s consolidated statements of operations as (loss) income from equity method investments.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movement of Investment in other entities: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Pine Bend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Noble Road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GREP</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Beacon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Percentage of ownership . . . . . . . . . .</w:t>
            </w:r>
          </w:p>
        </w:tc>
        <w:tc>
          <w:tcPr>
            <w:tcW w:w="12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00"/>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2020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25,573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25,573</w:t>
            </w:r>
          </w:p>
        </w:tc>
        <w:tc>
          <w:tcPr>
            <w:tcW w:w="60" w:type="dxa"/>
            <w:vAlign w:val="bottom"/>
          </w:tcPr>
          <w:p>
            <w:pPr>
              <w:spacing w:after="0"/>
              <w:rPr>
                <w:sz w:val="24"/>
                <w:szCs w:val="24"/>
                <w:color w:val="auto"/>
              </w:rPr>
            </w:pPr>
          </w:p>
        </w:tc>
      </w:tr>
      <w:tr>
        <w:trPr>
          <w:trHeight w:val="257"/>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Contribution to equity method</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31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investments . . . . . . . . . . . . . . . . . .</w:t>
            </w:r>
          </w:p>
        </w:tc>
        <w:tc>
          <w:tcPr>
            <w:tcW w:w="120" w:type="dxa"/>
            <w:vAlign w:val="bottom"/>
          </w:tcPr>
          <w:p>
            <w:pPr>
              <w:spacing w:after="0"/>
              <w:rPr>
                <w:sz w:val="19"/>
                <w:szCs w:val="19"/>
                <w:color w:val="auto"/>
              </w:rPr>
            </w:pPr>
          </w:p>
        </w:tc>
        <w:tc>
          <w:tcPr>
            <w:tcW w:w="11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1,570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1,570</w:t>
            </w:r>
          </w:p>
        </w:tc>
        <w:tc>
          <w:tcPr>
            <w:tcW w:w="60" w:type="dxa"/>
            <w:vAlign w:val="bottom"/>
          </w:tcPr>
          <w:p>
            <w:pPr>
              <w:spacing w:after="0"/>
              <w:rPr>
                <w:sz w:val="19"/>
                <w:szCs w:val="19"/>
                <w:color w:val="auto"/>
              </w:rPr>
            </w:pPr>
          </w:p>
        </w:tc>
      </w:tr>
      <w:tr>
        <w:trPr>
          <w:trHeight w:val="257"/>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from equity method</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31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investment . . . . . . . . . . . . . . . . . . .</w:t>
            </w:r>
          </w:p>
        </w:tc>
        <w:tc>
          <w:tcPr>
            <w:tcW w:w="120" w:type="dxa"/>
            <w:vAlign w:val="bottom"/>
          </w:tcPr>
          <w:p>
            <w:pPr>
              <w:spacing w:after="0"/>
              <w:rPr>
                <w:sz w:val="19"/>
                <w:szCs w:val="19"/>
                <w:color w:val="auto"/>
              </w:rPr>
            </w:pPr>
          </w:p>
        </w:tc>
        <w:tc>
          <w:tcPr>
            <w:tcW w:w="11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(124)</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2,392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2,268</w:t>
            </w:r>
          </w:p>
        </w:tc>
        <w:tc>
          <w:tcPr>
            <w:tcW w:w="60" w:type="dxa"/>
            <w:vAlign w:val="bottom"/>
          </w:tcPr>
          <w:p>
            <w:pPr>
              <w:spacing w:after="0"/>
              <w:rPr>
                <w:sz w:val="19"/>
                <w:szCs w:val="19"/>
                <w:color w:val="auto"/>
              </w:rPr>
            </w:pPr>
          </w:p>
        </w:tc>
      </w:tr>
      <w:tr>
        <w:trPr>
          <w:trHeight w:val="257"/>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Acquisition of remaining ownership</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3120" w:type="dxa"/>
            <w:vAlign w:val="bottom"/>
            <w:gridSpan w:val="2"/>
          </w:tcPr>
          <w:p>
            <w:pPr>
              <w:ind w:left="200"/>
              <w:spacing w:after="0" w:line="259" w:lineRule="exact"/>
              <w:rPr>
                <w:sz w:val="20"/>
                <w:szCs w:val="20"/>
                <w:color w:val="auto"/>
              </w:rPr>
            </w:pPr>
            <w:r>
              <w:rPr>
                <w:rFonts w:ascii="Times New Roman" w:cs="Times New Roman" w:eastAsia="Times New Roman" w:hAnsi="Times New Roman"/>
                <w:sz w:val="20"/>
                <w:szCs w:val="20"/>
                <w:color w:val="auto"/>
              </w:rPr>
              <w:t>interest in Beacon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w:t>
            </w:r>
          </w:p>
        </w:tc>
        <w:tc>
          <w:tcPr>
            <w:tcW w:w="120" w:type="dxa"/>
            <w:vAlign w:val="bottom"/>
          </w:tcPr>
          <w:p>
            <w:pPr>
              <w:spacing w:after="0"/>
              <w:rPr>
                <w:sz w:val="22"/>
                <w:szCs w:val="22"/>
                <w:color w:val="auto"/>
              </w:rPr>
            </w:pPr>
          </w:p>
        </w:tc>
        <w:tc>
          <w:tcPr>
            <w:tcW w:w="11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(27,965)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(27,965)</w:t>
            </w:r>
          </w:p>
        </w:tc>
      </w:tr>
      <w:tr>
        <w:trPr>
          <w:trHeight w:val="260"/>
        </w:trPr>
        <w:tc>
          <w:tcPr>
            <w:tcW w:w="312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Deconsolidation of VIEs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w:t>
            </w:r>
          </w:p>
        </w:tc>
        <w:tc>
          <w:tcPr>
            <w:tcW w:w="120" w:type="dxa"/>
            <w:vAlign w:val="bottom"/>
          </w:tcPr>
          <w:p>
            <w:pPr>
              <w:spacing w:after="0"/>
              <w:rPr>
                <w:sz w:val="22"/>
                <w:szCs w:val="22"/>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21,188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24,516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45,704</w:t>
            </w:r>
          </w:p>
        </w:tc>
        <w:tc>
          <w:tcPr>
            <w:tcW w:w="60" w:type="dxa"/>
            <w:vAlign w:val="bottom"/>
          </w:tcPr>
          <w:p>
            <w:pPr>
              <w:spacing w:after="0"/>
              <w:rPr>
                <w:sz w:val="22"/>
                <w:szCs w:val="22"/>
                <w:color w:val="auto"/>
              </w:rPr>
            </w:pPr>
          </w:p>
        </w:tc>
      </w:tr>
      <w:tr>
        <w:trPr>
          <w:trHeight w:val="223"/>
        </w:trPr>
        <w:tc>
          <w:tcPr>
            <w:tcW w:w="31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Balance at December 31, 2021 . . . . .</w:t>
            </w:r>
          </w:p>
        </w:tc>
        <w:tc>
          <w:tcPr>
            <w:tcW w:w="12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21,188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24,516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1,446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47,150</w:t>
            </w:r>
          </w:p>
        </w:tc>
      </w:tr>
      <w:tr>
        <w:trPr>
          <w:trHeight w:val="237"/>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Additional investment representing</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0"/>
        </w:trPr>
        <w:tc>
          <w:tcPr>
            <w:tcW w:w="3120" w:type="dxa"/>
            <w:vAlign w:val="bottom"/>
            <w:gridSpan w:val="2"/>
          </w:tcPr>
          <w:p>
            <w:pPr>
              <w:ind w:left="200"/>
              <w:spacing w:after="0" w:line="259" w:lineRule="exact"/>
              <w:rPr>
                <w:sz w:val="20"/>
                <w:szCs w:val="20"/>
                <w:color w:val="auto"/>
              </w:rPr>
            </w:pPr>
            <w:r>
              <w:rPr>
                <w:rFonts w:ascii="Times New Roman" w:cs="Times New Roman" w:eastAsia="Times New Roman" w:hAnsi="Times New Roman"/>
                <w:sz w:val="20"/>
                <w:szCs w:val="20"/>
                <w:color w:val="auto"/>
              </w:rPr>
              <w:t>capitalized interest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w:t>
            </w:r>
          </w:p>
        </w:tc>
        <w:tc>
          <w:tcPr>
            <w:tcW w:w="120" w:type="dxa"/>
            <w:vAlign w:val="bottom"/>
          </w:tcPr>
          <w:p>
            <w:pPr>
              <w:spacing w:after="0"/>
              <w:rPr>
                <w:sz w:val="22"/>
                <w:szCs w:val="22"/>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597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597</w:t>
            </w:r>
          </w:p>
        </w:tc>
        <w:tc>
          <w:tcPr>
            <w:tcW w:w="60" w:type="dxa"/>
            <w:vAlign w:val="bottom"/>
          </w:tcPr>
          <w:p>
            <w:pPr>
              <w:spacing w:after="0"/>
              <w:rPr>
                <w:sz w:val="22"/>
                <w:szCs w:val="22"/>
                <w:color w:val="auto"/>
              </w:rPr>
            </w:pPr>
          </w:p>
        </w:tc>
      </w:tr>
      <w:tr>
        <w:trPr>
          <w:trHeight w:val="260"/>
        </w:trPr>
        <w:tc>
          <w:tcPr>
            <w:tcW w:w="312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Other comprehensive income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w:t>
            </w:r>
          </w:p>
        </w:tc>
        <w:tc>
          <w:tcPr>
            <w:tcW w:w="120" w:type="dxa"/>
            <w:vAlign w:val="bottom"/>
          </w:tcPr>
          <w:p>
            <w:pPr>
              <w:spacing w:after="0"/>
              <w:rPr>
                <w:sz w:val="22"/>
                <w:szCs w:val="22"/>
                <w:color w:val="auto"/>
              </w:rPr>
            </w:pPr>
          </w:p>
        </w:tc>
        <w:tc>
          <w:tcPr>
            <w:tcW w:w="11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334</w:t>
            </w:r>
          </w:p>
        </w:tc>
        <w:tc>
          <w:tcPr>
            <w:tcW w:w="60" w:type="dxa"/>
            <w:vAlign w:val="bottom"/>
          </w:tcPr>
          <w:p>
            <w:pPr>
              <w:spacing w:after="0"/>
              <w:rPr>
                <w:sz w:val="22"/>
                <w:szCs w:val="22"/>
                <w:color w:val="auto"/>
              </w:rPr>
            </w:pPr>
          </w:p>
        </w:tc>
      </w:tr>
      <w:tr>
        <w:trPr>
          <w:trHeight w:val="220"/>
        </w:trPr>
        <w:tc>
          <w:tcPr>
            <w:tcW w:w="31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Net income from equity method</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31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investments . . . . . . . . . . . . . . . . . .</w:t>
            </w:r>
          </w:p>
        </w:tc>
        <w:tc>
          <w:tcPr>
            <w:tcW w:w="12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733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2,749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2,302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5,784</w:t>
            </w:r>
          </w:p>
        </w:tc>
        <w:tc>
          <w:tcPr>
            <w:tcW w:w="60" w:type="dxa"/>
            <w:vAlign w:val="bottom"/>
          </w:tcPr>
          <w:p>
            <w:pPr>
              <w:spacing w:after="0"/>
              <w:rPr>
                <w:sz w:val="19"/>
                <w:szCs w:val="19"/>
                <w:color w:val="auto"/>
              </w:rPr>
            </w:pPr>
          </w:p>
        </w:tc>
      </w:tr>
      <w:tr>
        <w:trPr>
          <w:trHeight w:val="257"/>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Distributions from return of</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312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investment in equity method</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31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investment . . . . . . . . . . . . . . . . . . .</w:t>
            </w:r>
          </w:p>
        </w:tc>
        <w:tc>
          <w:tcPr>
            <w:tcW w:w="120" w:type="dxa"/>
            <w:vAlign w:val="bottom"/>
          </w:tcPr>
          <w:p>
            <w:pPr>
              <w:spacing w:after="0"/>
              <w:rPr>
                <w:sz w:val="19"/>
                <w:szCs w:val="19"/>
                <w:color w:val="auto"/>
              </w:rPr>
            </w:pPr>
          </w:p>
        </w:tc>
        <w:tc>
          <w:tcPr>
            <w:tcW w:w="112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3"/>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(2,100)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(2,100)</w:t>
            </w:r>
          </w:p>
        </w:tc>
      </w:tr>
      <w:tr>
        <w:trPr>
          <w:trHeight w:val="20"/>
        </w:trPr>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2022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22,518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25,165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51,765</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2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ind w:left="480" w:right="6" w:hanging="480"/>
        <w:spacing w:after="0" w:line="245" w:lineRule="auto"/>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50% of the remaining ownership in Beacon in May 2021 and fully consolidated the entity in the consolidated financial statements after May 1, 2021.</w:t>
      </w:r>
    </w:p>
    <w:p>
      <w:pPr>
        <w:sectPr>
          <w:pgSz w:w="12240" w:h="15846" w:orient="portrait"/>
          <w:cols w:equalWidth="0" w:num="1">
            <w:col w:w="9366"/>
          </w:cols>
          <w:pgMar w:left="1440" w:top="947" w:right="1440" w:bottom="353" w:gutter="0" w:footer="0" w:header="0"/>
        </w:sectPr>
      </w:pPr>
    </w:p>
    <w:p>
      <w:pPr>
        <w:spacing w:after="0" w:line="34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F-25</w:t>
      </w:r>
    </w:p>
    <w:p>
      <w:pPr>
        <w:sectPr>
          <w:pgSz w:w="12240" w:h="15846" w:orient="portrait"/>
          <w:cols w:equalWidth="0" w:num="1">
            <w:col w:w="9366"/>
          </w:cols>
          <w:pgMar w:left="1440" w:top="947" w:right="1440" w:bottom="353" w:gutter="0" w:footer="0" w:header="0"/>
          <w:type w:val="continuous"/>
        </w:sectPr>
      </w:pPr>
    </w:p>
    <w:bookmarkStart w:id="137" w:name="page138"/>
    <w:bookmarkEnd w:id="137"/>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4. Investment in Other Entities </w:t>
      </w:r>
      <w:r>
        <w:rPr>
          <w:rFonts w:ascii="Times New Roman" w:cs="Times New Roman" w:eastAsia="Times New Roman" w:hAnsi="Times New Roman"/>
          <w:sz w:val="20"/>
          <w:szCs w:val="20"/>
          <w:color w:val="auto"/>
        </w:rPr>
        <w:t>(cont.)</w:t>
      </w:r>
    </w:p>
    <w:p>
      <w:pPr>
        <w:spacing w:after="0" w:line="181" w:lineRule="exact"/>
        <w:rPr>
          <w:sz w:val="20"/>
          <w:szCs w:val="20"/>
          <w:color w:val="auto"/>
        </w:rPr>
      </w:pPr>
    </w:p>
    <w:p>
      <w:pPr>
        <w:jc w:val="both"/>
        <w:ind w:left="480" w:right="6" w:hanging="480"/>
        <w:spacing w:after="0" w:line="252" w:lineRule="auto"/>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re-assessed its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that entities no longer met any of the characteristics of a variable interest entity primarily because the projects were fully funded and there is sufficient equity at risk as of December 31, 2021. The Company determined that it should account for its interests in both entities under equity method of accounting pursuant to ASC 323, Investments Equity Method and Joint Ventures, as the Company has the ability to exercise significant influence, but not control, over both entities.</w:t>
      </w:r>
    </w:p>
    <w:p>
      <w:pPr>
        <w:spacing w:after="0" w:line="13"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interest is incurred by the Company increasing our basis in Pine Bend. The Company will amortize this amount in future periods over the useful life of the asset.</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our portion of the other comprehensive income recorded by the equity method investee.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 receivable</w:t>
      </w:r>
    </w:p>
    <w:p>
      <w:pPr>
        <w:spacing w:after="0" w:line="19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w:t>
      </w:r>
    </w:p>
    <w:p>
      <w:pPr>
        <w:spacing w:after="0" w:line="18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July 15, 2022, Biotown repaid the total amount outstanding under the Note receivable including paid-in-kind interest and prepayment penalty. The total proceeds received were $11,555 which included $701 paid-in-kind interest accrued from August 2021 to July 15, 2022 and $545 of prepayment penalty. The paid-in-kind interest income accrued during the year ended December 31, 2021 of $288 is shown as cash flow from operations for the year ended December 31, 2022. The Company recorded a gain on repayment of $1,943 as part of Other income in the consolidated statement of operations for the year ended December 31, 2022.</w:t>
      </w:r>
    </w:p>
    <w:p>
      <w:pPr>
        <w:spacing w:after="0" w:line="188"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Company recorded $286 and $406 as a reduction to interest and financing expense, net in its consolidated statements of operations for the years ended December 31, 2022 and 2021, respectively.</w:t>
      </w:r>
    </w:p>
    <w:p>
      <w:pPr>
        <w:spacing w:after="0" w:line="194"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$285 as a reduction to interest and financing expense, net in the consolidated statement of operations for the year ended December 31, 2022, respectively.</w:t>
      </w:r>
    </w:p>
    <w:p>
      <w:pPr>
        <w:spacing w:after="0" w:line="192"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Note receivable — variable fee component of $1,942 and $1,656 is recorded as a long-term asset on its consolidated balance sheets as of December 31, 2022 and December 31, 2021, respectively.</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financial information of the unconsolidated entities: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21,342</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109,414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44,250</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4,235</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Members’ equity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103,388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61,358</w:t>
            </w:r>
          </w:p>
        </w:tc>
      </w:tr>
    </w:tbl>
    <w:p>
      <w:pPr>
        <w:spacing w:after="0" w:line="200" w:lineRule="exact"/>
        <w:rPr>
          <w:sz w:val="20"/>
          <w:szCs w:val="20"/>
          <w:color w:val="auto"/>
        </w:rPr>
      </w:pP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F-26</w:t>
      </w:r>
    </w:p>
    <w:p>
      <w:pPr>
        <w:sectPr>
          <w:pgSz w:w="12240" w:h="15846" w:orient="portrait"/>
          <w:cols w:equalWidth="0" w:num="1">
            <w:col w:w="9366"/>
          </w:cols>
          <w:pgMar w:left="1440" w:top="947" w:right="1440" w:bottom="353" w:gutter="0" w:footer="0" w:header="0"/>
          <w:type w:val="continuous"/>
        </w:sectPr>
      </w:pPr>
    </w:p>
    <w:bookmarkStart w:id="138" w:name="page139"/>
    <w:bookmarkEnd w:id="138"/>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4. Investment in Other Entities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income from equity method investments: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
              <w:spacing w:after="0" w:line="195"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line="195"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8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14,181</w:t>
            </w:r>
          </w:p>
        </w:tc>
      </w:tr>
      <w:tr>
        <w:trPr>
          <w:trHeight w:val="223"/>
        </w:trPr>
        <w:tc>
          <w:tcPr>
            <w:tcW w:w="64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Gross profit . . . . . . .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41,932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6,915</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29,983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5,276</w:t>
            </w:r>
          </w:p>
        </w:tc>
      </w:tr>
      <w:tr>
        <w:trPr>
          <w:trHeight w:val="4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income from equity method investments</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20"/>
                <w:szCs w:val="20"/>
                <w:color w:val="auto"/>
                <w:w w:val="99"/>
              </w:rPr>
              <w:t xml:space="preserve">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ind w:left="480" w:right="6" w:hanging="480"/>
        <w:spacing w:after="0" w:line="245" w:lineRule="auto"/>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include a realized gain of $32,796 from commodity swap contracts on our equity method investment, GREP for the year ended December 31, 2022.</w:t>
      </w:r>
    </w:p>
    <w:p>
      <w:pPr>
        <w:spacing w:after="0" w:line="17" w:lineRule="exact"/>
        <w:rPr>
          <w:rFonts w:ascii="Times New Roman" w:cs="Times New Roman" w:eastAsia="Times New Roman" w:hAnsi="Times New Roman"/>
          <w:sz w:val="18"/>
          <w:szCs w:val="18"/>
          <w:color w:val="auto"/>
        </w:rPr>
      </w:pPr>
    </w:p>
    <w:p>
      <w:pPr>
        <w:jc w:val="both"/>
        <w:ind w:left="480" w:right="6" w:hanging="480"/>
        <w:spacing w:after="0" w:line="250" w:lineRule="auto"/>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equity method investments represents our portion of the net income from equity method investments in Pine Bend, Noble Road and GREP for the year ended December 31, 2022 and GREP and Beacon ( January to April 2021) for the year ended December 31,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Property, Plant, and Equipment, Net</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Property, plant, and equipment, net, consisted of the following as of December 31, 2022 and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47"/>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Plant and equipment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201,655</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161,387</w:t>
            </w:r>
          </w:p>
        </w:tc>
        <w:tc>
          <w:tcPr>
            <w:tcW w:w="60" w:type="dxa"/>
            <w:vAlign w:val="bottom"/>
          </w:tcPr>
          <w:p>
            <w:pPr>
              <w:spacing w:after="0"/>
              <w:rPr>
                <w:sz w:val="21"/>
                <w:szCs w:val="2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CNG/RNG fueling stations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34,567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27,892</w:t>
            </w:r>
          </w:p>
        </w:tc>
        <w:tc>
          <w:tcPr>
            <w:tcW w:w="60" w:type="dxa"/>
            <w:vAlign w:val="bottom"/>
          </w:tcPr>
          <w:p>
            <w:pPr>
              <w:spacing w:after="0"/>
              <w:rPr>
                <w:sz w:val="22"/>
                <w:szCs w:val="22"/>
                <w:color w:val="auto"/>
              </w:rPr>
            </w:pPr>
          </w:p>
        </w:tc>
      </w:tr>
      <w:tr>
        <w:trPr>
          <w:trHeight w:val="297"/>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Construction in progress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152,105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62,616</w:t>
            </w:r>
          </w:p>
        </w:tc>
        <w:tc>
          <w:tcPr>
            <w:tcW w:w="60" w:type="dxa"/>
            <w:vAlign w:val="bottom"/>
          </w:tcPr>
          <w:p>
            <w:pPr>
              <w:spacing w:after="0"/>
              <w:rPr>
                <w:sz w:val="24"/>
                <w:szCs w:val="24"/>
                <w:color w:val="auto"/>
              </w:rPr>
            </w:pPr>
          </w:p>
        </w:tc>
      </w:tr>
      <w:tr>
        <w:trPr>
          <w:trHeight w:val="223"/>
        </w:trPr>
        <w:tc>
          <w:tcPr>
            <w:tcW w:w="65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w w:val="99"/>
              </w:rPr>
              <w:t>Buildings . . . . . .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2,544</w:t>
            </w:r>
          </w:p>
        </w:tc>
        <w:tc>
          <w:tcPr>
            <w:tcW w:w="60" w:type="dxa"/>
            <w:vAlign w:val="bottom"/>
          </w:tcPr>
          <w:p>
            <w:pPr>
              <w:spacing w:after="0"/>
              <w:rPr>
                <w:sz w:val="19"/>
                <w:szCs w:val="19"/>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Land . .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60" w:type="dxa"/>
            <w:vAlign w:val="bottom"/>
          </w:tcPr>
          <w:p>
            <w:pPr>
              <w:spacing w:after="0"/>
              <w:rPr>
                <w:sz w:val="22"/>
                <w:szCs w:val="22"/>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Service equipment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w:t>
            </w:r>
          </w:p>
        </w:tc>
        <w:tc>
          <w:tcPr>
            <w:tcW w:w="60" w:type="dxa"/>
            <w:vAlign w:val="bottom"/>
          </w:tcPr>
          <w:p>
            <w:pPr>
              <w:spacing w:after="0"/>
              <w:rPr>
                <w:sz w:val="22"/>
                <w:szCs w:val="22"/>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Leasehold improvements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60" w:type="dxa"/>
            <w:vAlign w:val="bottom"/>
          </w:tcPr>
          <w:p>
            <w:pPr>
              <w:spacing w:after="0"/>
              <w:rPr>
                <w:sz w:val="22"/>
                <w:szCs w:val="22"/>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Vehicles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60" w:type="dxa"/>
            <w:vAlign w:val="bottom"/>
          </w:tcPr>
          <w:p>
            <w:pPr>
              <w:spacing w:after="0"/>
              <w:rPr>
                <w:sz w:val="22"/>
                <w:szCs w:val="22"/>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Office furniture and equipment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60" w:type="dxa"/>
            <w:vAlign w:val="bottom"/>
          </w:tcPr>
          <w:p>
            <w:pPr>
              <w:spacing w:after="0"/>
              <w:rPr>
                <w:sz w:val="22"/>
                <w:szCs w:val="22"/>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Computer software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60" w:type="dxa"/>
            <w:vAlign w:val="bottom"/>
          </w:tcPr>
          <w:p>
            <w:pPr>
              <w:spacing w:after="0"/>
              <w:rPr>
                <w:sz w:val="22"/>
                <w:szCs w:val="22"/>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Vehicles – finance leases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416</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88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397,538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259,480</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Less: accumulated depreciation .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(100,215)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(89,710)</w:t>
            </w:r>
          </w:p>
        </w:tc>
      </w:tr>
      <w:tr>
        <w:trPr>
          <w:trHeight w:val="24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 . . . . . . . . . . . . . . . . . . . . . . . . . .Property,plant,andequipment,net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297,323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169,770</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ind w:left="480" w:right="6" w:hanging="480"/>
        <w:spacing w:after="0" w:line="245" w:lineRule="auto"/>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$3,081 of interest capitalized from our general borrowings for the year ended December 31, 2022 and $861 of interest capitalized on our Sunoma Loan for the year ended December 31, 2021.</w:t>
      </w:r>
    </w:p>
    <w:p>
      <w:pPr>
        <w:spacing w:after="0" w:line="17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2022, there has been an increase in property, plant and equipment as a result of an increase in the construction of RNG generation facilities including, but not limited to Emerald, Sapphire, and Central Valley RNG dispensing facilities. The majority of these facilities, for which costs are in construction in progress as of December 31, 2022, are expected to be operational during the fourth quarter of 2023 and early 2024.</w:t>
      </w:r>
    </w:p>
    <w:p>
      <w:pPr>
        <w:spacing w:after="0" w:line="169"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Depreciation expense on property, plant, and equipment for the years ended December 31, 2022 and December 31, 2021 was $11,892 and $9,501, respectively.</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F-27</w:t>
      </w:r>
    </w:p>
    <w:p>
      <w:pPr>
        <w:sectPr>
          <w:pgSz w:w="12240" w:h="15846" w:orient="portrait"/>
          <w:cols w:equalWidth="0" w:num="1">
            <w:col w:w="9366"/>
          </w:cols>
          <w:pgMar w:left="1440" w:top="947" w:right="1440" w:bottom="353" w:gutter="0" w:footer="0" w:header="0"/>
          <w:type w:val="continuous"/>
        </w:sectPr>
      </w:pPr>
    </w:p>
    <w:bookmarkStart w:id="139" w:name="page140"/>
    <w:bookmarkEnd w:id="139"/>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 Net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Intangible assets, net, consisted of the following at December 31, 2022 and December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right"/>
              <w:ind w:right="603"/>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7"/>
                <w:szCs w:val="17"/>
                <w:color w:val="auto"/>
              </w:rPr>
            </w:pPr>
          </w:p>
        </w:tc>
      </w:tr>
      <w:tr>
        <w:trPr>
          <w:trHeight w:val="200"/>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00"/>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ind w:left="80"/>
              <w:spacing w:after="0" w:line="200"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80" w:type="dxa"/>
            <w:vAlign w:val="bottom"/>
          </w:tcPr>
          <w:p>
            <w:pPr>
              <w:spacing w:after="0"/>
              <w:rPr>
                <w:sz w:val="17"/>
                <w:szCs w:val="17"/>
                <w:color w:val="auto"/>
              </w:rPr>
            </w:pPr>
          </w:p>
        </w:tc>
        <w:tc>
          <w:tcPr>
            <w:tcW w:w="114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10"/>
        </w:trPr>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Assets, Net</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4"/>
              </w:rPr>
              <w:t>(Years)</w:t>
            </w:r>
          </w:p>
        </w:tc>
        <w:tc>
          <w:tcPr>
            <w:tcW w:w="20" w:type="dxa"/>
            <w:vAlign w:val="bottom"/>
          </w:tcPr>
          <w:p>
            <w:pPr>
              <w:spacing w:after="0"/>
              <w:rPr>
                <w:sz w:val="18"/>
                <w:szCs w:val="18"/>
                <w:color w:val="auto"/>
              </w:rPr>
            </w:pPr>
          </w:p>
        </w:tc>
      </w:tr>
      <w:tr>
        <w:trPr>
          <w:trHeight w:val="247"/>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Power purchase agreements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(7,488)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20" w:type="dxa"/>
            <w:vAlign w:val="bottom"/>
          </w:tcPr>
          <w:p>
            <w:pPr>
              <w:spacing w:after="0"/>
              <w:rPr>
                <w:sz w:val="21"/>
                <w:szCs w:val="21"/>
                <w:color w:val="auto"/>
              </w:rPr>
            </w:pPr>
          </w:p>
        </w:tc>
      </w:tr>
      <w:tr>
        <w:trPr>
          <w:trHeight w:val="260"/>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Transmission/distribution interconnection . . .</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(971)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15.1</w:t>
            </w:r>
          </w:p>
        </w:tc>
      </w:tr>
      <w:tr>
        <w:trPr>
          <w:trHeight w:val="260"/>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CNG sales contract . . . . . . . . . . . . . . . . . . . . .</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22"/>
                <w:szCs w:val="22"/>
                <w:color w:val="auto"/>
              </w:rPr>
            </w:pPr>
          </w:p>
        </w:tc>
      </w:tr>
      <w:tr>
        <w:trPr>
          <w:trHeight w:val="261"/>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Intellectual property . . . . . . . . . . . . . . . . . . . .</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2"/>
                <w:szCs w:val="22"/>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0"/>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intangible assets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(9,282)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3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603"/>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7"/>
                <w:szCs w:val="17"/>
                <w:color w:val="auto"/>
              </w:rPr>
            </w:pPr>
          </w:p>
        </w:tc>
      </w:tr>
      <w:tr>
        <w:trPr>
          <w:trHeight w:val="200"/>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00"/>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ind w:left="80"/>
              <w:spacing w:after="0" w:line="200"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80" w:type="dxa"/>
            <w:vAlign w:val="bottom"/>
          </w:tcPr>
          <w:p>
            <w:pPr>
              <w:spacing w:after="0"/>
              <w:rPr>
                <w:sz w:val="17"/>
                <w:szCs w:val="17"/>
                <w:color w:val="auto"/>
              </w:rPr>
            </w:pPr>
          </w:p>
        </w:tc>
        <w:tc>
          <w:tcPr>
            <w:tcW w:w="114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10"/>
        </w:trPr>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Assets, Net</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c>
          <w:tcPr>
            <w:tcW w:w="20" w:type="dxa"/>
            <w:vAlign w:val="bottom"/>
          </w:tcPr>
          <w:p>
            <w:pPr>
              <w:spacing w:after="0"/>
              <w:rPr>
                <w:sz w:val="18"/>
                <w:szCs w:val="18"/>
                <w:color w:val="auto"/>
              </w:rPr>
            </w:pPr>
          </w:p>
        </w:tc>
      </w:tr>
      <w:tr>
        <w:trPr>
          <w:trHeight w:val="247"/>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Power purchase agreements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(6,986)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20" w:type="dxa"/>
            <w:vAlign w:val="bottom"/>
          </w:tcPr>
          <w:p>
            <w:pPr>
              <w:spacing w:after="0"/>
              <w:rPr>
                <w:sz w:val="21"/>
                <w:szCs w:val="21"/>
                <w:color w:val="auto"/>
              </w:rPr>
            </w:pPr>
          </w:p>
        </w:tc>
      </w:tr>
      <w:tr>
        <w:trPr>
          <w:trHeight w:val="260"/>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Transmission/distribution interconnection . . .</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(865)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15.1</w:t>
            </w:r>
          </w:p>
        </w:tc>
      </w:tr>
      <w:tr>
        <w:trPr>
          <w:trHeight w:val="260"/>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CNG sales contract . . . . . . . . . . . . . . . . . . . . .</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(719)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22"/>
                <w:szCs w:val="22"/>
                <w:color w:val="auto"/>
              </w:rPr>
            </w:pPr>
          </w:p>
        </w:tc>
      </w:tr>
      <w:tr>
        <w:trPr>
          <w:trHeight w:val="261"/>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Intellectual property . . . . . . . . . . . . . . . . . . . .</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2"/>
                <w:szCs w:val="22"/>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0"/>
        </w:trPr>
        <w:tc>
          <w:tcPr>
            <w:tcW w:w="3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intangible assets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(8,588)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2,861</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$76 under the Municipality loan is shown as part of current liabilities on its consolidated balance sheet as of December 31, 2022. Please see Note 8. </w:t>
      </w:r>
      <w:r>
        <w:rPr>
          <w:rFonts w:ascii="Times New Roman" w:cs="Times New Roman" w:eastAsia="Times New Roman" w:hAnsi="Times New Roman"/>
          <w:sz w:val="20"/>
          <w:szCs w:val="20"/>
          <w:i w:val="1"/>
          <w:iCs w:val="1"/>
          <w:color w:val="auto"/>
        </w:rPr>
        <w:t>Borrowings,</w:t>
      </w:r>
      <w:r>
        <w:rPr>
          <w:rFonts w:ascii="Times New Roman" w:cs="Times New Roman" w:eastAsia="Times New Roman" w:hAnsi="Times New Roman"/>
          <w:sz w:val="20"/>
          <w:szCs w:val="20"/>
          <w:color w:val="auto"/>
        </w:rPr>
        <w:t xml:space="preserve"> for additional information.</w:t>
      </w:r>
    </w:p>
    <w:p>
      <w:pPr>
        <w:spacing w:after="0" w:line="172"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Amortization expense for the twelve months ended December 31, 2022 and 2021 was $694 and $346, respectively. At December 31, 2022, estimated future amortization expense for intangible assets is as follows: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Fiscal year:</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2023. . . . . . . . . . . . . . . . . . . . . . . . . . . . . . . . . . . . . . . . . . . . . . . . . . . . . . . . . . . . . . . . . . . . . . . . . . .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548</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267</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267</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239</w:t>
      </w:r>
    </w:p>
    <w:p>
      <w:pPr>
        <w:spacing w:after="0" w:line="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4445</wp:posOffset>
                </wp:positionV>
                <wp:extent cx="8001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0.35pt" to="462pt,0.35pt" o:allowincell="f" strokecolor="#000000" strokeweight="0.5pt"/>
            </w:pict>
          </mc:Fallback>
        </mc:AlternateContent>
      </w:r>
    </w:p>
    <w:p>
      <w:pPr>
        <w:spacing w:after="0" w:line="10" w:lineRule="exact"/>
        <w:rPr>
          <w:sz w:val="20"/>
          <w:szCs w:val="20"/>
          <w:color w:val="auto"/>
        </w:rPr>
      </w:pPr>
    </w:p>
    <w:p>
      <w:pPr>
        <w:ind w:left="7980"/>
        <w:spacing w:after="0"/>
        <w:tabs>
          <w:tab w:leader="none" w:pos="87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2,167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3810</wp:posOffset>
                </wp:positionV>
                <wp:extent cx="8001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0.3pt" to="462pt,0.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17145</wp:posOffset>
                </wp:positionV>
                <wp:extent cx="8001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35pt" to="462pt,1.35pt" o:allowincell="f" strokecolor="#000000" strokeweight="0.499pt"/>
            </w:pict>
          </mc:Fallback>
        </mc:AlternateConten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Goodwill</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changes in goodwill, if any, by reporting segment from the beginning of the period to the end of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5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3"/>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5"/>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5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at December 31, 2021 </w:t>
            </w:r>
            <w:r>
              <w:rPr>
                <w:rFonts w:ascii="Times New Roman" w:cs="Times New Roman" w:eastAsia="Times New Roman" w:hAnsi="Times New Roman"/>
                <w:sz w:val="20"/>
                <w:szCs w:val="20"/>
                <w:color w:val="auto"/>
              </w:rPr>
              <w:t>. . . . . . . . . . . . . . . . . . . . . . .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51,155</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3,453</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r>
      <w:tr>
        <w:trPr>
          <w:trHeight w:val="241"/>
        </w:trPr>
        <w:tc>
          <w:tcPr>
            <w:tcW w:w="5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at December 31, 2022 </w:t>
            </w:r>
            <w:r>
              <w:rPr>
                <w:rFonts w:ascii="Times New Roman" w:cs="Times New Roman" w:eastAsia="Times New Roman" w:hAnsi="Times New Roman"/>
                <w:sz w:val="20"/>
                <w:szCs w:val="20"/>
                <w:color w:val="auto"/>
              </w:rPr>
              <w:t>.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54,608</w:t>
            </w:r>
          </w:p>
        </w:tc>
      </w:tr>
      <w:tr>
        <w:trPr>
          <w:trHeight w:val="20"/>
        </w:trPr>
        <w:tc>
          <w:tcPr>
            <w:tcW w:w="5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F-28</w:t>
      </w:r>
    </w:p>
    <w:p>
      <w:pPr>
        <w:sectPr>
          <w:pgSz w:w="12240" w:h="15846" w:orient="portrait"/>
          <w:cols w:equalWidth="0" w:num="1">
            <w:col w:w="9366"/>
          </w:cols>
          <w:pgMar w:left="1440" w:top="947" w:right="1440" w:bottom="353" w:gutter="0" w:footer="0" w:header="0"/>
          <w:type w:val="continuous"/>
        </w:sectPr>
      </w:pPr>
    </w:p>
    <w:bookmarkStart w:id="140" w:name="page141"/>
    <w:bookmarkEnd w:id="140"/>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Borrowings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borrowings under the various debt facilities as of December 31, 2022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Senior Secured Credit Facility, term loan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15,250</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unamortized debt issuance costs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(15,250)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(73,145)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Senior Secured Credit Facility, term loan, net of debt issuance costs . . . . . . . .</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Senior Secured Credit Facility, working capital facility . . . . . . . . . . . . . . . . . . . .</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Senior Secured Credit Facility, working capital facility . . . . . . . . . . . . . . . . . .</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OPAL Term Loan . . . . . . . . . . . . . . . . . . . . . . . . . . . . . . . . . . . . . . . . . . . . . . . . .</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96,090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unamortized debt issuance costs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(1,758)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(2,485)</w:t>
            </w: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(27,732)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OPAL Term Loan, net of debt issuance costs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59,090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Sunoma Loan . . . . . . . . . . . . .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17,524</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unamortized debt issuance costs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Sunoma Loan, net of debt issuance costs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16,199</w:t>
            </w: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Convertible Note Payable . . . . . . . . . . . . . . . . . . . . . . . . . . . . . . . . . . . . . . . . .</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58,710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(28,528)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Convertible Note Payable . . . . . . . . . . . . . . . . . . . . . . . . . . . . . . . . . . . . . . . . .</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58,710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Municipality Loan . . . . . . . . . . . .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278</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Municipality Loan . . . . . . . . . . . . . . . . . . . . . . . . . . . . . . . . . . . . . . . . . . . . . . .</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Non-current borrowings total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88,312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134,083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2022, principal maturities of debt are expected as follows, excluding any undrawn debt facilities as of the date of the consolidated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0"/>
        </w:trPr>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6"/>
              </w:rPr>
              <w:t>Secured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63"/>
              <w:spacing w:after="0" w:line="200" w:lineRule="exact"/>
              <w:rPr>
                <w:sz w:val="20"/>
                <w:szCs w:val="20"/>
                <w:color w:val="auto"/>
              </w:rPr>
            </w:pPr>
            <w:r>
              <w:rPr>
                <w:rFonts w:ascii="Times New Roman" w:cs="Times New Roman" w:eastAsia="Times New Roman" w:hAnsi="Times New Roman"/>
                <w:sz w:val="18"/>
                <w:szCs w:val="18"/>
                <w:b w:val="1"/>
                <w:bCs w:val="1"/>
                <w:color w:val="auto"/>
              </w:rPr>
              <w:t>OPAL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Convertible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5"/>
              </w:rPr>
              <w:t>Credit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03"/>
              <w:spacing w:after="0" w:line="200" w:lineRule="exact"/>
              <w:rPr>
                <w:sz w:val="20"/>
                <w:szCs w:val="20"/>
                <w:color w:val="auto"/>
              </w:rPr>
            </w:pPr>
            <w:r>
              <w:rPr>
                <w:rFonts w:ascii="Times New Roman" w:cs="Times New Roman" w:eastAsia="Times New Roman" w:hAnsi="Times New Roman"/>
                <w:sz w:val="18"/>
                <w:szCs w:val="18"/>
                <w:b w:val="1"/>
                <w:bCs w:val="1"/>
                <w:color w:val="auto"/>
              </w:rPr>
              <w:t>Term</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83"/>
              <w:spacing w:after="0" w:line="200" w:lineRule="exact"/>
              <w:rPr>
                <w:sz w:val="20"/>
                <w:szCs w:val="20"/>
                <w:color w:val="auto"/>
              </w:rPr>
            </w:pPr>
            <w:r>
              <w:rPr>
                <w:rFonts w:ascii="Times New Roman" w:cs="Times New Roman" w:eastAsia="Times New Roman" w:hAnsi="Times New Roman"/>
                <w:sz w:val="18"/>
                <w:szCs w:val="18"/>
                <w:b w:val="1"/>
                <w:bCs w:val="1"/>
                <w:color w:val="auto"/>
              </w:rPr>
              <w:t>Sunoma</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23"/>
              <w:spacing w:after="0" w:line="200" w:lineRule="exact"/>
              <w:rPr>
                <w:sz w:val="20"/>
                <w:szCs w:val="20"/>
                <w:color w:val="auto"/>
              </w:rPr>
            </w:pPr>
            <w:r>
              <w:rPr>
                <w:rFonts w:ascii="Times New Roman" w:cs="Times New Roman" w:eastAsia="Times New Roman" w:hAnsi="Times New Roman"/>
                <w:sz w:val="18"/>
                <w:szCs w:val="18"/>
                <w:b w:val="1"/>
                <w:bCs w:val="1"/>
                <w:color w:val="auto"/>
                <w:w w:val="99"/>
              </w:rPr>
              <w:t>Note</w:t>
            </w:r>
          </w:p>
        </w:tc>
        <w:tc>
          <w:tcPr>
            <w:tcW w:w="180" w:type="dxa"/>
            <w:vAlign w:val="bottom"/>
          </w:tcPr>
          <w:p>
            <w:pPr>
              <w:spacing w:after="0"/>
              <w:rPr>
                <w:sz w:val="17"/>
                <w:szCs w:val="17"/>
                <w:color w:val="auto"/>
              </w:rPr>
            </w:pPr>
          </w:p>
        </w:tc>
        <w:tc>
          <w:tcPr>
            <w:tcW w:w="10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w w:val="98"/>
              </w:rPr>
              <w:t>Municipality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6"/>
              </w:rPr>
              <w:t>Facility</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3"/>
              <w:spacing w:after="0" w:line="200" w:lineRule="exact"/>
              <w:rPr>
                <w:sz w:val="20"/>
                <w:szCs w:val="20"/>
                <w:color w:val="auto"/>
              </w:rPr>
            </w:pPr>
            <w:r>
              <w:rPr>
                <w:rFonts w:ascii="Times New Roman" w:cs="Times New Roman" w:eastAsia="Times New Roman" w:hAnsi="Times New Roman"/>
                <w:sz w:val="18"/>
                <w:szCs w:val="18"/>
                <w:b w:val="1"/>
                <w:bCs w:val="1"/>
                <w:color w:val="auto"/>
              </w:rPr>
              <w:t>Loan</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3"/>
              <w:spacing w:after="0" w:line="200" w:lineRule="exact"/>
              <w:rPr>
                <w:sz w:val="20"/>
                <w:szCs w:val="20"/>
                <w:color w:val="auto"/>
              </w:rPr>
            </w:pPr>
            <w:r>
              <w:rPr>
                <w:rFonts w:ascii="Times New Roman" w:cs="Times New Roman" w:eastAsia="Times New Roman" w:hAnsi="Times New Roman"/>
                <w:sz w:val="18"/>
                <w:szCs w:val="18"/>
                <w:b w:val="1"/>
                <w:bCs w:val="1"/>
                <w:color w:val="auto"/>
              </w:rPr>
              <w:t>Loan</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3"/>
              <w:spacing w:after="0" w:line="200" w:lineRule="exact"/>
              <w:rPr>
                <w:sz w:val="20"/>
                <w:szCs w:val="20"/>
                <w:color w:val="auto"/>
              </w:rPr>
            </w:pPr>
            <w:r>
              <w:rPr>
                <w:rFonts w:ascii="Times New Roman" w:cs="Times New Roman" w:eastAsia="Times New Roman" w:hAnsi="Times New Roman"/>
                <w:sz w:val="18"/>
                <w:szCs w:val="18"/>
                <w:b w:val="1"/>
                <w:bCs w:val="1"/>
                <w:color w:val="auto"/>
                <w:w w:val="93"/>
              </w:rPr>
              <w:t>Payable</w:t>
            </w:r>
            <w:r>
              <w:rPr>
                <w:rFonts w:ascii="Times New Roman" w:cs="Times New Roman" w:eastAsia="Times New Roman" w:hAnsi="Times New Roman"/>
                <w:sz w:val="20"/>
                <w:szCs w:val="20"/>
                <w:b w:val="1"/>
                <w:bCs w:val="1"/>
                <w:color w:val="auto"/>
                <w:w w:val="93"/>
                <w:vertAlign w:val="superscript"/>
              </w:rPr>
              <w:t>(1)</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1"/>
              <w:spacing w:after="0" w:line="200" w:lineRule="exact"/>
              <w:rPr>
                <w:sz w:val="20"/>
                <w:szCs w:val="20"/>
                <w:color w:val="auto"/>
              </w:rPr>
            </w:pPr>
            <w:r>
              <w:rPr>
                <w:rFonts w:ascii="Times New Roman" w:cs="Times New Roman" w:eastAsia="Times New Roman" w:hAnsi="Times New Roman"/>
                <w:sz w:val="18"/>
                <w:szCs w:val="18"/>
                <w:b w:val="1"/>
                <w:bCs w:val="1"/>
                <w:color w:val="auto"/>
              </w:rPr>
              <w:t>Loan</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1"/>
              <w:spacing w:after="0" w:line="200"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28"/>
        </w:trPr>
        <w:tc>
          <w:tcPr>
            <w:tcW w:w="24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Fiscal year:</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2023. . . . .</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 . . . . . . . . . . .</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22,750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27,732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79,466</w:t>
            </w:r>
          </w:p>
        </w:tc>
      </w:tr>
      <w:tr>
        <w:trPr>
          <w:trHeight w:val="2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2024. . . . .</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 . . . . . . . . . . .</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27,732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29,340</w:t>
            </w:r>
          </w:p>
        </w:tc>
      </w:tr>
      <w:tr>
        <w:trPr>
          <w:trHeight w:val="2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2025. . . . .</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 . . . . . . . . . . .</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40,626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42,369</w:t>
            </w:r>
          </w:p>
        </w:tc>
      </w:tr>
      <w:tr>
        <w:trPr>
          <w:trHeight w:val="2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2026. . . . .</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 . . . . . . . . . . .</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1,883</w:t>
            </w:r>
          </w:p>
        </w:tc>
      </w:tr>
      <w:tr>
        <w:trPr>
          <w:trHeight w:val="261"/>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2027. . . . .</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 . . . . . . . . . . .</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17,386</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17,386</w:t>
            </w:r>
          </w:p>
        </w:tc>
      </w:tr>
      <w:tr>
        <w:trPr>
          <w:trHeight w:val="240"/>
        </w:trPr>
        <w:tc>
          <w:tcPr>
            <w:tcW w:w="248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22,750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96,090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170,444</w:t>
            </w:r>
          </w:p>
        </w:tc>
      </w:tr>
      <w:tr>
        <w:trPr>
          <w:trHeight w:val="20"/>
        </w:trPr>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 Payable is redeemable on demand at the option of the Company or the lender.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Secured Credit Facility</w:t>
      </w:r>
    </w:p>
    <w:p>
      <w:pPr>
        <w:spacing w:after="0" w:line="177"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 “Term Loan Facility”) and a (ii) working capital letter of credit facility (the “Working Capital Facility”) of up to $19,000 and a (iii) debt</w:t>
      </w:r>
    </w:p>
    <w:p>
      <w:pPr>
        <w:sectPr>
          <w:pgSz w:w="12240" w:h="15846" w:orient="portrait"/>
          <w:cols w:equalWidth="0" w:num="1">
            <w:col w:w="9366"/>
          </w:cols>
          <w:pgMar w:left="1440" w:top="947" w:right="1440" w:bottom="353" w:gutter="0" w:footer="0" w:header="0"/>
        </w:sectPr>
      </w:pPr>
    </w:p>
    <w:p>
      <w:pPr>
        <w:spacing w:after="0" w:line="39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F-29</w:t>
      </w:r>
    </w:p>
    <w:p>
      <w:pPr>
        <w:sectPr>
          <w:pgSz w:w="12240" w:h="15846" w:orient="portrait"/>
          <w:cols w:equalWidth="0" w:num="1">
            <w:col w:w="9366"/>
          </w:cols>
          <w:pgMar w:left="1440" w:top="947" w:right="1440" w:bottom="353" w:gutter="0" w:footer="0" w:header="0"/>
          <w:type w:val="continuous"/>
        </w:sectPr>
      </w:pPr>
    </w:p>
    <w:bookmarkStart w:id="141" w:name="page142"/>
    <w:bookmarkEnd w:id="141"/>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8. Borrowings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service reserve and liquidity facility of up to $6,000. The Company paid $14,300 to the lenders in connection with the transaction. As of December 31, 2022 and December 31, 2021, $15,250 and $73,869, respectively, was outstanding under the Senior Secured Credit Facility — term loan.</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the facility, FM3 is required to repay 1.0%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ten days consecutive business days annually. As of both December 31, 2022 and December 31, 2021, the total amount outstanding under the Working Capital Facility was $7,500. Additionally, the Company pays commitment fee of 0.75% on the unused portion of the facility.</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20"/>
          <w:szCs w:val="20"/>
          <w:b w:val="1"/>
          <w:bCs w:val="1"/>
          <w:color w:val="auto"/>
        </w:rPr>
        <w:t>.</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 On March 20, 2023, the Company repaid in full the remaining outstanding loan under this facility. Please see Note.19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xml:space="preserve"> for additional information.</w:t>
      </w:r>
    </w:p>
    <w:p>
      <w:pPr>
        <w:spacing w:after="0" w:line="171"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At December 31, 2022 and December 31, 2021, FM3 had outstanding letters of credit that support obligations of the Company and its subsidiaries of $1,932 and $7,823, respectively. The Senior Secured Credit Facility is collateralized by substantially all the assets of FM3 and assignment of FM3’s rights, title, and interests in purchase and sale agreements and LFG rights agreements.</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Senior Secured Credit Facility contains certain warranties and financial covenants including but not limited to debt service coverage ratio to not be less than 1.0 and restrictions on distributions and additional indebtedness. The lenders only have recourse to the assets of FM3. For the twelve months ended December 31, 2022, FM3 was in compliance with all debt covenants.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Patronage dividends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is eligible to receive annual patronage dividends from one of its lenders, Cobank ACB under a profit sharing program made available to the borrowers. For the year ended December 31, 2022 and 2021, the Company received cash dividends of $126 and $139, respectively, which were recorded as credits to interest expense in its consolidated statements of operations. Additionally, the Company recorded $489 as a long-term asset on its consolidated balance sheet at December 31, 2022 and December 31, 2021, which represents the Company’s equity interest in Cobank SCB which will be redeemed for cash beginning in 2024.</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F-30</w:t>
      </w:r>
    </w:p>
    <w:p>
      <w:pPr>
        <w:sectPr>
          <w:pgSz w:w="12240" w:h="15846" w:orient="portrait"/>
          <w:cols w:equalWidth="0" w:num="1">
            <w:col w:w="9366"/>
          </w:cols>
          <w:pgMar w:left="1440" w:top="947" w:right="1440" w:bottom="353" w:gutter="0" w:footer="0" w:header="0"/>
          <w:type w:val="continuous"/>
        </w:sectPr>
      </w:pPr>
    </w:p>
    <w:bookmarkStart w:id="142" w:name="page143"/>
    <w:bookmarkEnd w:id="142"/>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8. Borrowings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OPAL Term Loan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to be made available as three more RNG facilities become operational. The OPAL Term Loan is secured by a pledge in the equity interest of Beacon Holdco LLC, OPAL Environmental Credit Marketing LLC, OPAL Fuel Station Services LLC (f/k/a Trustar Energy LLC), and OPAL Fuels Services LLC along with cash bank accounts and a security interest in the Company’s environmental credits. A portion of the proceeds of the OPAL Term Loan were used to pay off the outstanding balance under the TruStar revolver credit facility in October 2021 and the remainder will be used for general corporate purposes, including investments in RNG projects being developed by the Company.</w:t>
      </w:r>
    </w:p>
    <w:p>
      <w:pPr>
        <w:spacing w:after="0" w:line="174"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Pursuant to the OPAL Term Loan, the Company borrowed $75,000 in October 2021 and an another $15,000 in February 2022 pursuant to an amendment allowing the Company to drawdown later than the original commitment date.</w:t>
      </w:r>
    </w:p>
    <w:p>
      <w:pPr>
        <w:spacing w:after="0" w:line="173"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On September 29, 2022, OPAL Intermediate Holdco entered into Amendment No. 3 to the OPAL Term Loan (“Amendment No. 3”) that (a) extended the availability period from (i) September 30, 2022 to October 31, 2022 for the borrowing under the Term A-2 Commitments of up to an aggregate of $25 million in Term A-2 Loans, and</w:t>
      </w:r>
    </w:p>
    <w:p>
      <w:pPr>
        <w:spacing w:after="0" w:line="13" w:lineRule="exact"/>
        <w:rPr>
          <w:sz w:val="20"/>
          <w:szCs w:val="20"/>
          <w:color w:val="auto"/>
        </w:rPr>
      </w:pPr>
    </w:p>
    <w:p>
      <w:pPr>
        <w:ind w:right="6" w:firstLine="1"/>
        <w:spacing w:after="0" w:line="243" w:lineRule="auto"/>
        <w:tabs>
          <w:tab w:leader="none" w:pos="31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March 31, 2023 for the borrowing under the Term A-2 Commitments of a single final borrowing of Term A-2 Loans not to exceed $10 million and (b) amended the principal repayment amortization schedule.</w:t>
      </w:r>
    </w:p>
    <w:p>
      <w:pPr>
        <w:spacing w:after="0" w:line="174" w:lineRule="exact"/>
        <w:rPr>
          <w:sz w:val="20"/>
          <w:szCs w:val="20"/>
          <w:color w:val="auto"/>
        </w:rPr>
      </w:pPr>
    </w:p>
    <w:p>
      <w:pPr>
        <w:jc w:val="both"/>
        <w:ind w:right="6" w:firstLine="480"/>
        <w:spacing w:after="0" w:line="268" w:lineRule="auto"/>
        <w:rPr>
          <w:sz w:val="20"/>
          <w:szCs w:val="20"/>
          <w:color w:val="auto"/>
        </w:rPr>
      </w:pPr>
      <w:r>
        <w:rPr>
          <w:rFonts w:ascii="Times New Roman" w:cs="Times New Roman" w:eastAsia="Times New Roman" w:hAnsi="Times New Roman"/>
          <w:sz w:val="19"/>
          <w:szCs w:val="19"/>
          <w:color w:val="auto"/>
        </w:rPr>
        <w:t>During the third and fourth quarter of 2022, two of the RNG projects went operational and the Company borrowed $25,000 under the OPAL Term Loan with an additional commitment of $10,000 remaining under this debt facility.</w:t>
      </w:r>
    </w:p>
    <w:p>
      <w:pPr>
        <w:spacing w:after="0" w:line="152"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OPAL Term Loan contains customary warranties and representations and certain financial covenants which require OPAL Intermediate Holdco to maintain (i) minimum liquidity of $15,000 until March 31, 2022 and $10,000 thereafter and (ii) a leverage ratio not to exceed 4:1. As of December 31, 2022, the Company is in compliance with the financial covenants under the OPAL Term Loan. Additionally, the OPAL Term Loan contains restrictions on distributions and additional indebtedness.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Sunoma Loan</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Sunoma Loan Agreement contains certain financial covenants which require Sunoma to maintain</w:t>
      </w:r>
    </w:p>
    <w:p>
      <w:pPr>
        <w:spacing w:after="0" w:line="17" w:lineRule="exact"/>
        <w:rPr>
          <w:sz w:val="20"/>
          <w:szCs w:val="20"/>
          <w:color w:val="auto"/>
        </w:rPr>
      </w:pPr>
    </w:p>
    <w:p>
      <w:pPr>
        <w:jc w:val="both"/>
        <w:ind w:right="6" w:firstLine="1"/>
        <w:spacing w:after="0" w:line="266" w:lineRule="auto"/>
        <w:tabs>
          <w:tab w:leader="none" w:pos="22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spacing w:after="0" w:line="154"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borrowings under the Sunoma Loan Agreement bear interest at a rate of 7.68% and have a maturity date of July 19, 2033. The Company is required to pay a quarterly amortization of principal of $380 beginning in October 2023. The Company paid $2,798 into interest and debt reserve accounts. This cash is recorded as Restricted cash — current and non-current in the consolidated balance sheet as of December 31, 2022.</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F-31</w:t>
      </w:r>
    </w:p>
    <w:p>
      <w:pPr>
        <w:sectPr>
          <w:pgSz w:w="12240" w:h="15846" w:orient="portrait"/>
          <w:cols w:equalWidth="0" w:num="1">
            <w:col w:w="9366"/>
          </w:cols>
          <w:pgMar w:left="1440" w:top="947" w:right="1440" w:bottom="353" w:gutter="0" w:footer="0" w:header="0"/>
          <w:type w:val="continuous"/>
        </w:sectPr>
      </w:pPr>
    </w:p>
    <w:bookmarkStart w:id="143" w:name="page144"/>
    <w:bookmarkEnd w:id="143"/>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8. Borrowings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 xml:space="preserve">The significant assets of Sunoma are parenthesized in the consolidated balance sheets as December 31, 2022 and 2021. See Note 13. </w:t>
      </w:r>
      <w:r>
        <w:rPr>
          <w:rFonts w:ascii="Times New Roman" w:cs="Times New Roman" w:eastAsia="Times New Roman" w:hAnsi="Times New Roman"/>
          <w:sz w:val="20"/>
          <w:szCs w:val="20"/>
          <w:i w:val="1"/>
          <w:iCs w:val="1"/>
          <w:color w:val="auto"/>
        </w:rPr>
        <w:t>Variable Interest Entities</w:t>
      </w:r>
      <w:r>
        <w:rPr>
          <w:rFonts w:ascii="Times New Roman" w:cs="Times New Roman" w:eastAsia="Times New Roman" w:hAnsi="Times New Roman"/>
          <w:sz w:val="20"/>
          <w:szCs w:val="20"/>
          <w:color w:val="auto"/>
        </w:rPr>
        <w:t xml:space="preserve">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 Payable</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elected to account for the Convertible Note using the fair value option in accordance with ASC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on May 1, 2021, which was determined to be $55,410. The fair value was subsequently remeasured on each reporting date and the change in fair value recorded as interest expense in the consolidated statement of operations for each reporting period. At December 31, 2022, the Convertible Note was classified as a current liability in the consolidated balance sheet at a fair value of $28,528 as it is redeemable on demand by the Company or Ares. At December 31,2021, the Convertible Note was classified as a non-current liability in the consolidated balance sheet at a fair value of $58,710.</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recorded $413 as change in fair value of Convertible Note for the year ended December 31, 2022, as interest and financing expense, net. Upon completion of the Business Combination, the Convertible Note no longer provided for the 10% prepayment penalty. Therefore, the change in fair value attributable to cancellation of prepayment penalty for the year ended December 31, 2022 was ($2,906). The Company recorded $3,319 and $3,300 as payment-in-kind interest expense in the consolidated statement of operations for the years ended December 31, 2022 and 2021,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Municipality loan</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December 31, 2022 and December 31, 2021, $76 and $278, respectively, were outstanding on the loan.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OPAL Term Loan II</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 The transaction costs have been recorded as Deferred financing costs on the consolidated balance sheet as of December 31, 2022.</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F-32</w:t>
      </w:r>
    </w:p>
    <w:p>
      <w:pPr>
        <w:sectPr>
          <w:pgSz w:w="12240" w:h="15846" w:orient="portrait"/>
          <w:cols w:equalWidth="0" w:num="1">
            <w:col w:w="9366"/>
          </w:cols>
          <w:pgMar w:left="1440" w:top="947" w:right="1440" w:bottom="353" w:gutter="0" w:footer="0" w:header="0"/>
          <w:type w:val="continuous"/>
        </w:sectPr>
      </w:pPr>
    </w:p>
    <w:bookmarkStart w:id="144" w:name="page145"/>
    <w:bookmarkEnd w:id="144"/>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8. Borrowings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borrowings under the OPAL Term Loan II will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At December 31, 2022, there was no principal amount outstanding under the OPAL Term Loan 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TruStar revolver credit facility</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September 27, 2021, TruStar, an indirect wholly-owned subsidiary of the Company, renewed its existing revolving credit arrangement (the “TruStar revolver credit facility”) with JP Morgan Chase Bank, N.A., for an aggregate amount of $10,000. The amounts outstanding under this credit facility had an interest rate of 1.00% plus one month LIBOR. In the fourth quarter of 2021, the outstanding balance under this credit facility was fully repaid and the revolving credit facility was cancelled.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2022</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2022, the weighted average effective interest rate including amortization of debt issuance costs on Senior Secured Credit Facility was 6.9% including a margin plus LIBOR.</w:t>
      </w:r>
    </w:p>
    <w:p>
      <w:pPr>
        <w:spacing w:after="0" w:line="17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2022, the weighted average effective interest rate including amortization of debt issuance costs on OPAL Term Loan was 6.1%.</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year ended December 31, 2022, the interest rate on Sunoma Loan was 8.90%.</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For the year ended December 31, 2022, the payment-in-kind interest rate on Convertible Note Payable was 8.00%.</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year ended December 31, 2022, the weighted average interest rate on Municipality loan was 3.6%.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2021</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spacing w:after="0" w:line="173"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2021, the interest rate on TruStar Revolver Credit Facility including a margin plus LIBOR was 1.52%.</w:t>
      </w:r>
    </w:p>
    <w:p>
      <w:pPr>
        <w:spacing w:after="0" w:line="174" w:lineRule="exact"/>
        <w:rPr>
          <w:sz w:val="20"/>
          <w:szCs w:val="20"/>
          <w:color w:val="auto"/>
        </w:rPr>
      </w:pPr>
    </w:p>
    <w:p>
      <w:pPr>
        <w:jc w:val="both"/>
        <w:ind w:right="6" w:firstLine="480"/>
        <w:spacing w:after="0" w:line="268" w:lineRule="auto"/>
        <w:rPr>
          <w:sz w:val="20"/>
          <w:szCs w:val="20"/>
          <w:color w:val="auto"/>
        </w:rPr>
      </w:pPr>
      <w:r>
        <w:rPr>
          <w:rFonts w:ascii="Times New Roman" w:cs="Times New Roman" w:eastAsia="Times New Roman" w:hAnsi="Times New Roman"/>
          <w:sz w:val="19"/>
          <w:szCs w:val="19"/>
          <w:color w:val="auto"/>
        </w:rPr>
        <w:t>For the year ended December 31, 2021, the paid-in-kind interest rate on Convertible note payable was 8%. The change in fair value of the Note recorded as interest expense between May 1, 2021 and December 31, 2021 was $3,300.</w:t>
      </w:r>
    </w:p>
    <w:p>
      <w:pPr>
        <w:spacing w:after="0" w:line="152"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spacing w:after="0" w:line="173"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2021, the weighted average effective interest rate on the Sunoma Credit Facility was 7.75%.</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year ended December 31, 2021, the weighted average interest rate on Municipality Loan was 3.0%.</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F-33</w:t>
      </w:r>
    </w:p>
    <w:p>
      <w:pPr>
        <w:sectPr>
          <w:pgSz w:w="12240" w:h="15846" w:orient="portrait"/>
          <w:cols w:equalWidth="0" w:num="1">
            <w:col w:w="9366"/>
          </w:cols>
          <w:pgMar w:left="1440" w:top="947" w:right="1440" w:bottom="353" w:gutter="0" w:footer="0" w:header="0"/>
          <w:type w:val="continuous"/>
        </w:sectPr>
      </w:pPr>
    </w:p>
    <w:bookmarkStart w:id="145" w:name="page146"/>
    <w:bookmarkEnd w:id="145"/>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8. Borrowings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Company’s total interest expense for the year ended December 31, 2022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18"/>
                <w:szCs w:val="18"/>
                <w:color w:val="auto"/>
              </w:rPr>
            </w:pPr>
          </w:p>
        </w:tc>
      </w:tr>
      <w:tr>
        <w:trPr>
          <w:trHeight w:val="245"/>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Senior Secured Credit Facility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3,779</w:t>
            </w:r>
          </w:p>
        </w:tc>
        <w:tc>
          <w:tcPr>
            <w:tcW w:w="12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w:t>
            </w:r>
          </w:p>
        </w:tc>
        <w:tc>
          <w:tcPr>
            <w:tcW w:w="60" w:type="dxa"/>
            <w:vAlign w:val="bottom"/>
          </w:tcPr>
          <w:p>
            <w:pPr>
              <w:spacing w:after="0"/>
              <w:rPr>
                <w:sz w:val="21"/>
                <w:szCs w:val="21"/>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Municipality loan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2"/>
                <w:szCs w:val="22"/>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TruStar revolver credit facility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2"/>
                <w:szCs w:val="22"/>
                <w:color w:val="auto"/>
              </w:rPr>
            </w:pPr>
          </w:p>
        </w:tc>
      </w:tr>
      <w:tr>
        <w:trPr>
          <w:trHeight w:val="29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Convertible Note Payable mark-to-market</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20"/>
                <w:szCs w:val="20"/>
                <w:color w:val="auto"/>
                <w:w w:val="98"/>
              </w:rPr>
              <w:t xml:space="preserve"> . . . . . . .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3,300</w:t>
            </w:r>
          </w:p>
        </w:tc>
        <w:tc>
          <w:tcPr>
            <w:tcW w:w="60" w:type="dxa"/>
            <w:vAlign w:val="bottom"/>
          </w:tcPr>
          <w:p>
            <w:pPr>
              <w:spacing w:after="0"/>
              <w:rPr>
                <w:sz w:val="24"/>
                <w:szCs w:val="24"/>
                <w:color w:val="auto"/>
              </w:rPr>
            </w:pPr>
          </w:p>
        </w:tc>
      </w:tr>
      <w:tr>
        <w:trPr>
          <w:trHeight w:val="260"/>
        </w:trPr>
        <w:tc>
          <w:tcPr>
            <w:tcW w:w="6440" w:type="dxa"/>
            <w:vAlign w:val="bottom"/>
            <w:gridSpan w:val="2"/>
          </w:tcPr>
          <w:p>
            <w:pPr>
              <w:jc w:val="right"/>
              <w:ind w:right="80"/>
              <w:spacing w:after="0" w:line="259" w:lineRule="exact"/>
              <w:rPr>
                <w:sz w:val="20"/>
                <w:szCs w:val="20"/>
                <w:color w:val="auto"/>
              </w:rPr>
            </w:pPr>
            <w:r>
              <w:rPr>
                <w:rFonts w:ascii="Times New Roman" w:cs="Times New Roman" w:eastAsia="Times New Roman" w:hAnsi="Times New Roman"/>
                <w:sz w:val="20"/>
                <w:szCs w:val="20"/>
                <w:color w:val="auto"/>
                <w:w w:val="99"/>
              </w:rPr>
              <w:t>Sunoma Loan</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20"/>
                <w:szCs w:val="20"/>
                <w:color w:val="auto"/>
                <w:w w:val="99"/>
              </w:rPr>
              <w:t xml:space="preserve">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1,810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gridSpan w:val="2"/>
          </w:tcPr>
          <w:p>
            <w:pPr>
              <w:jc w:val="right"/>
              <w:ind w:right="80"/>
              <w:spacing w:after="0" w:line="259" w:lineRule="exact"/>
              <w:rPr>
                <w:sz w:val="20"/>
                <w:szCs w:val="20"/>
                <w:color w:val="auto"/>
              </w:rPr>
            </w:pPr>
            <w:r>
              <w:rPr>
                <w:rFonts w:ascii="Times New Roman" w:cs="Times New Roman" w:eastAsia="Times New Roman" w:hAnsi="Times New Roman"/>
                <w:sz w:val="20"/>
                <w:szCs w:val="20"/>
                <w:color w:val="auto"/>
                <w:w w:val="98"/>
              </w:rPr>
              <w:t>OPAL Term Loan</w:t>
            </w:r>
            <w:r>
              <w:rPr>
                <w:rFonts w:ascii="Times New Roman" w:cs="Times New Roman" w:eastAsia="Times New Roman" w:hAnsi="Times New Roman"/>
                <w:sz w:val="23"/>
                <w:szCs w:val="23"/>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894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617</w:t>
            </w:r>
          </w:p>
        </w:tc>
        <w:tc>
          <w:tcPr>
            <w:tcW w:w="60" w:type="dxa"/>
            <w:vAlign w:val="bottom"/>
          </w:tcPr>
          <w:p>
            <w:pPr>
              <w:spacing w:after="0"/>
              <w:rPr>
                <w:sz w:val="22"/>
                <w:szCs w:val="22"/>
                <w:color w:val="auto"/>
              </w:rPr>
            </w:pPr>
          </w:p>
        </w:tc>
      </w:tr>
      <w:tr>
        <w:trPr>
          <w:trHeight w:val="223"/>
        </w:trPr>
        <w:tc>
          <w:tcPr>
            <w:tcW w:w="64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Commitment fees and other finance fees . . . . . . . . . . . . . . . . . . . . . . . . . . . . . .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1,027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835</w:t>
            </w:r>
          </w:p>
        </w:tc>
        <w:tc>
          <w:tcPr>
            <w:tcW w:w="60" w:type="dxa"/>
            <w:vAlign w:val="bottom"/>
          </w:tcPr>
          <w:p>
            <w:pPr>
              <w:spacing w:after="0"/>
              <w:rPr>
                <w:sz w:val="19"/>
                <w:szCs w:val="19"/>
                <w:color w:val="auto"/>
              </w:rPr>
            </w:pP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Interest expense on finance leases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Amortization of deferred financing cost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60" w:type="dxa"/>
            <w:vAlign w:val="bottom"/>
          </w:tcPr>
          <w:p>
            <w:pPr>
              <w:spacing w:after="0"/>
              <w:rPr>
                <w:sz w:val="22"/>
                <w:szCs w:val="22"/>
                <w:color w:val="auto"/>
              </w:rPr>
            </w:pPr>
          </w:p>
        </w:tc>
      </w:tr>
      <w:tr>
        <w:trPr>
          <w:trHeight w:val="26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(3,278)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(1,269)</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Total interest expense . . . . . . . . . . . . . . . . . . . . . . . . . . . . . . . . . . . . . . . . . . .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6,640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7,467</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ind w:left="480" w:right="6" w:hanging="480"/>
        <w:spacing w:after="0" w:line="245" w:lineRule="auto"/>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mark-to-market on the Convertible Note Payable is inclusive of fair value change in the Convertible Note due to cancellation of prepayment penalty post Business Combination of ( $2,906).</w:t>
      </w:r>
    </w:p>
    <w:p>
      <w:pPr>
        <w:spacing w:after="0" w:line="17"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on Sunoma Loan was capitalized during the construction phase of the RNG facility. Sunoma became operational in December 2021. Therefore, the interest for the year ended December 31, 2022 has been expensed.</w:t>
      </w:r>
    </w:p>
    <w:p>
      <w:pPr>
        <w:spacing w:after="0" w:line="17"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$3,678 and $861 of interest capitalized and recorded as part of Property, plant and equipment, net for the years ended December 31, 2022 and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Leases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January 1, 2022 (the “Adoption Date”), the Company adopted ASC 842. Under the new lease standard, lessees are required to recognize a right-of-use asset and a lease liability for substantially all leases. The new lease standard will continue to classify leases as either financing or operating, with classification affecting the pattern of expense recognition. The accounting applied by a lessor under the new guidance will be substantially equivalent to current lease accounting guidance.</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are the type of contracts that fall under ASC 842: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Lessor contracts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Provider agreements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w:t>
      </w:r>
    </w:p>
    <w:p>
      <w:pPr>
        <w:spacing w:after="0" w:line="169"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Additionally, the Company currently has two FPAs which have minimum volume requirements. The Company evaluated these two contracts under ASC 840 and classified them as operating leases. The Company elected not to reassess the lease classification on January 1, 2022 due to change in criteria under ASC 842 for these two FPAs. There were no amendments to one of the contracts after the Adoption Date.</w:t>
      </w:r>
    </w:p>
    <w:p>
      <w:pPr>
        <w:spacing w:after="0" w:line="169"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However, one of the FPAs was amended on August 25, 2022. The amendment specifically changed the counter party to another affiliate of our customer and amended the rate for fuel dispensed amongst other things. The Company reassessed the contract under ASC 842 on August 25, 2022 and determined that the contract no longer is considered a lease under ASC 842 because the customer does not substantially get all the economic benefits of the use of the fuel</w:t>
      </w:r>
    </w:p>
    <w:p>
      <w:pPr>
        <w:sectPr>
          <w:pgSz w:w="12240" w:h="15846" w:orient="portrait"/>
          <w:cols w:equalWidth="0" w:num="1">
            <w:col w:w="9366"/>
          </w:cols>
          <w:pgMar w:left="1440" w:top="947" w:right="1440" w:bottom="353" w:gutter="0" w:footer="0" w:header="0"/>
        </w:sectPr>
      </w:pPr>
    </w:p>
    <w:p>
      <w:pPr>
        <w:spacing w:after="0" w:line="3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F-34</w:t>
      </w:r>
    </w:p>
    <w:p>
      <w:pPr>
        <w:sectPr>
          <w:pgSz w:w="12240" w:h="15846" w:orient="portrait"/>
          <w:cols w:equalWidth="0" w:num="1">
            <w:col w:w="9366"/>
          </w:cols>
          <w:pgMar w:left="1440" w:top="947" w:right="1440" w:bottom="353" w:gutter="0" w:footer="0" w:header="0"/>
          <w:type w:val="continuous"/>
        </w:sectPr>
      </w:pPr>
    </w:p>
    <w:bookmarkStart w:id="146" w:name="page147"/>
    <w:bookmarkEnd w:id="146"/>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199"/>
        <w:spacing w:after="0"/>
        <w:tabs>
          <w:tab w:leader="none" w:pos="20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station. This conclusion was reached because the Company retained the right to keep all the environmental attributes and monetize by selling them to a unrelated third party. Therefore, the Company included only the portion of revenue earned from this FPA from January 1, 2022 till August 25, 2022 as part of the lease revenue.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Power Purchase agreements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w:t>
      </w:r>
    </w:p>
    <w:p>
      <w:pPr>
        <w:spacing w:after="0" w:line="158"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adoption of ASC 842 did not materially impact the revenue recognition for the above contracts. Included in RNG fuel revenues are $3,510 and $3561 related to the lease portion of the FPAs for the years ended December 31, 2022 and 2021, respectively. Included in Renewable Power revenues are $1,364 and $1,890 related to the lease element of the PPAs for the years ended December 31, 2022 and 2021,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Lessee contracts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Ground/Site leases</w:t>
      </w:r>
    </w:p>
    <w:p>
      <w:pPr>
        <w:spacing w:after="0" w:line="177" w:lineRule="exact"/>
        <w:rPr>
          <w:sz w:val="20"/>
          <w:szCs w:val="20"/>
          <w:color w:val="auto"/>
        </w:rPr>
      </w:pPr>
    </w:p>
    <w:p>
      <w:pPr>
        <w:jc w:val="both"/>
        <w:ind w:right="6" w:firstLine="480"/>
        <w:spacing w:after="0" w:line="266" w:lineRule="auto"/>
        <w:rPr>
          <w:sz w:val="20"/>
          <w:szCs w:val="20"/>
          <w:color w:val="auto"/>
        </w:rPr>
      </w:pPr>
      <w:r>
        <w:rPr>
          <w:rFonts w:ascii="Times New Roman" w:cs="Times New Roman" w:eastAsia="Times New Roman" w:hAnsi="Times New Roman"/>
          <w:sz w:val="19"/>
          <w:szCs w:val="19"/>
          <w:color w:val="auto"/>
        </w:rPr>
        <w:t>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As of the Adoption Date, the lease at Beacon facility is for 20 years at a monthly rent of $11,050.</w:t>
      </w:r>
    </w:p>
    <w:p>
      <w:pPr>
        <w:spacing w:after="0" w:line="176" w:lineRule="exact"/>
        <w:rPr>
          <w:sz w:val="20"/>
          <w:szCs w:val="20"/>
          <w:color w:val="auto"/>
        </w:rPr>
      </w:pPr>
    </w:p>
    <w:p>
      <w:pPr>
        <w:ind w:left="960" w:right="6" w:hanging="480"/>
        <w:spacing w:after="0" w:line="249" w:lineRule="auto"/>
        <w:rPr>
          <w:sz w:val="20"/>
          <w:szCs w:val="20"/>
          <w:color w:val="auto"/>
        </w:rPr>
      </w:pPr>
      <w:r>
        <w:rPr>
          <w:rFonts w:ascii="Times New Roman" w:cs="Times New Roman" w:eastAsia="Times New Roman" w:hAnsi="Times New Roman"/>
          <w:sz w:val="20"/>
          <w:szCs w:val="20"/>
          <w:color w:val="auto"/>
        </w:rPr>
        <w:t>–As of the Adoption Date, the lease term for MD and VS is for a period of 20 years from their commercial operation date at a quarterly rent of $125,000. As of the Adoption Date, the commercial operation date for MD and VS was expected to be December 31, 2022 and February 1, 2023, respectively. However, as of October 1, 2022, the commercial operation date for both projects was extended to February 1, 2024. The Company accounted the change in the lease term as a lease modification and reassessed the right-of-use assets and corresponding lease liabilities as of that date.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Office lease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the change in the lease term as a lease modification and reassessed the right-of-use assets and corresponding lease liabilities as of March 31, 2022.</w:t>
      </w:r>
    </w:p>
    <w:p>
      <w:pPr>
        <w:spacing w:after="0" w:line="171"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Company currently shares office space with Fortistar and reimburses Fortistar on a monthly basis at a predetermined rate. The Company determined that this is not a lease under ASC 842 as there is no identifiable asset and the Company does not have the right to control the use of the office space.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determined that the 3 site leases and the one office lease as operating leases.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F-35</w:t>
      </w:r>
    </w:p>
    <w:p>
      <w:pPr>
        <w:sectPr>
          <w:pgSz w:w="12240" w:h="15846" w:orient="portrait"/>
          <w:cols w:equalWidth="0" w:num="1">
            <w:col w:w="9366"/>
          </w:cols>
          <w:pgMar w:left="1440" w:top="947" w:right="1440" w:bottom="353" w:gutter="0" w:footer="0" w:header="0"/>
          <w:type w:val="continuous"/>
        </w:sectPr>
      </w:pPr>
    </w:p>
    <w:bookmarkStart w:id="147" w:name="page148"/>
    <w:bookmarkEnd w:id="147"/>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199"/>
        <w:spacing w:after="0"/>
        <w:tabs>
          <w:tab w:leader="none" w:pos="20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the lease is allocated over the lease term, generally on a straight-line basis. Right-of-use assets represent a right to use an underlying asset for the lease term and the related lease liability represents an obligation to make lease payments pursuant to the contractual terms of the lease agreement.</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Based on the above guidance, the lease expense for the site leases is included as part of Cost of sales — RNG Fuel in its consolidated statement of operations for the years ended December 31, 2022 and 2021. The lease expense for the office lease is recorded as part Selling, general and administrative expenses in its consolidated statement of operations for the years ended December 31, 2022 and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Vehicle leases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Company leases approximately 65 vehicles in our FM3 and OPAL Fuel Station Services subsidiaries. The leases contain repurchase options at the end of the lease term and the sum total of the lease payments represents substantially the fair value of the asset.</w:t>
      </w:r>
    </w:p>
    <w:p>
      <w:pPr>
        <w:spacing w:after="0" w:line="173"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statement of operations for the year ended December 31, 2022.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Adoption of ASC 842</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adopted ASC 842 on January 1, 2022, which resulted in the recognition of operating lease right-of-use assets of $13,590 and related lease liabilities for operating leases of $13,302 in Total Assets and Total Liabilities, respectively, on our consolidated balance sheet on January 1, 2022. The Company also recognized $796 of finance lease right-of-use assets and related f lease liabilities for finance leases of $766 in Total Assets and Total Liabilities, respectively, on our consolidated balance sheet on January 1, 2022.</w:t>
      </w:r>
    </w:p>
    <w:p>
      <w:pPr>
        <w:spacing w:after="0" w:line="172"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adopted ASC 842 using the adoption date transition method. Under this method, the Company will apply the guidance to each lease that had commenced as of the beginning of the reporting period in which the entity first applies the leases standard (referred to as the “application date” or the “effective date” under this method) with a cumulative-effect adjustment as of that date. Prior comparative periods would be not be adjusted under this method. The Company will provide necessary disclosures for the comparative periods.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Determination of incremental borrowing rate</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Under ASC 842, at lease commencement, a lessee must develop a discount rate to calculate the present value of the lease payments so that it can determine lease classification and measure the lease liability. When determining the discount rate to be used at lease commencement, a lessee must use the rate implicit in the lease unless that rate cannot be readily determined. When the rate implicit in the lease cannot be readily determined, the lessee should use its incremental borrowing rate. The incremental borrowing rate is the rate that reflects the interest a lessee would have to pay to borrow funds on a collateralized basis over a similar term and in a similar economic environment. The Company determined that its’ lease contracts do not contain an implicit borrowing rate. Therefore, the Company arrived at the incremental borrowing rate by determining the Company’s implied credit rating and interest rates on its current collateralized borrowings as of January 1, 2022. The Company then determined the incremental borrowing rate for each lease based on the remaining lease term on the specific lease. Based on the above methodology, the Company’s incremental borrowing rates ranged from 2.3% to 5.4% for the lease contracts for which the Company recorded right-of-use assets and corresponding lease liabilities. The Company updated the incremental borrowing rate at the end of each reporting period and applied that rate to any new leases entered into in the applicable reporting period.</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F-36</w:t>
      </w:r>
    </w:p>
    <w:p>
      <w:pPr>
        <w:sectPr>
          <w:pgSz w:w="12240" w:h="15846" w:orient="portrait"/>
          <w:cols w:equalWidth="0" w:num="1">
            <w:col w:w="9366"/>
          </w:cols>
          <w:pgMar w:left="1440" w:top="947" w:right="1440" w:bottom="353" w:gutter="0" w:footer="0" w:header="0"/>
          <w:type w:val="continuous"/>
        </w:sectPr>
      </w:pPr>
    </w:p>
    <w:bookmarkStart w:id="148" w:name="page149"/>
    <w:bookmarkEnd w:id="148"/>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199"/>
        <w:spacing w:after="0"/>
        <w:tabs>
          <w:tab w:leader="none" w:pos="20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calculated the net present value of the remaining lease payments as of January 1, 2022 for existing leases as of that date and recorded the right-of-use assets and corresponding liabilities on the Adoption Date. For the leases entered into during 2022, the Company recorded the right-of-use asset and lease liabilities in the reporting period the lease term began. Additionally, the Company recorded lease modifications on three leases where the lease term was extended.</w:t>
      </w:r>
    </w:p>
    <w:p>
      <w:pPr>
        <w:spacing w:after="0" w:line="172"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Prior to January 1, 2022, the Company recognized lease expense in accordance with then-existing ASC 840. Because both ASC 842 and ASC 840 generally recognize operating lease expense as a single line expense on a straight-line basis over the term of the lease arrangement, there were no material differences between the timing and amount of lease expense recognized for the operating leases under the two accounting methodologies for the years ended December 31, 2022 and 2021.</w:t>
      </w:r>
    </w:p>
    <w:p>
      <w:pPr>
        <w:spacing w:after="0" w:line="172"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However, the adoption of ASC 842 changed the expense recognition on finance leases by splitting the lease expense into its individual elements — amortization expense and interest expense. Although there was no material difference in the total expense recognized in its statement of operations for the years ended December 31, 2022 and 2021, the lease expense on finance leases for the year ended December 31, 2022 has been presented as part of Depreciation, amortization and accretion expense and interest and financing expense, net in its consolidated statement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 Disclosures Under ASC 842</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Right-of-use assets and Lease liabilities as of December 31, 2022 and January 1, 2022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0" w:type="dxa"/>
            <w:vAlign w:val="bottom"/>
          </w:tcPr>
          <w:p>
            <w:pPr>
              <w:spacing w:after="0"/>
              <w:rPr>
                <w:sz w:val="1"/>
                <w:szCs w:val="1"/>
                <w:color w:val="auto"/>
              </w:rPr>
            </w:pPr>
          </w:p>
        </w:tc>
      </w:tr>
      <w:tr>
        <w:trPr>
          <w:trHeight w:val="199"/>
        </w:trPr>
        <w:tc>
          <w:tcPr>
            <w:tcW w:w="264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7"/>
                <w:szCs w:val="17"/>
                <w:color w:val="auto"/>
              </w:rPr>
            </w:pPr>
          </w:p>
        </w:tc>
        <w:tc>
          <w:tcPr>
            <w:tcW w:w="3820" w:type="dxa"/>
            <w:vAlign w:val="bottom"/>
            <w:gridSpan w:val="2"/>
          </w:tcPr>
          <w:p>
            <w:pPr>
              <w:ind w:left="820"/>
              <w:spacing w:after="0" w:line="200" w:lineRule="exact"/>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260" w:type="dxa"/>
            <w:vAlign w:val="bottom"/>
          </w:tcPr>
          <w:p>
            <w:pPr>
              <w:spacing w:after="0"/>
              <w:rPr>
                <w:sz w:val="17"/>
                <w:szCs w:val="17"/>
                <w:color w:val="auto"/>
              </w:rPr>
            </w:pPr>
          </w:p>
        </w:tc>
        <w:tc>
          <w:tcPr>
            <w:tcW w:w="960" w:type="dxa"/>
            <w:vAlign w:val="bottom"/>
          </w:tcPr>
          <w:p>
            <w:pPr>
              <w:jc w:val="right"/>
              <w:ind w:right="341"/>
              <w:spacing w:after="0" w:line="200"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1"/>
              <w:spacing w:after="0" w:line="200"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28"/>
        </w:trPr>
        <w:tc>
          <w:tcPr>
            <w:tcW w:w="2640" w:type="dxa"/>
            <w:vAlign w:val="bottom"/>
            <w:tcBorders>
              <w:top w:val="single" w:sz="8" w:color="auto"/>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Assets:</w:t>
            </w:r>
          </w:p>
        </w:tc>
        <w:tc>
          <w:tcPr>
            <w:tcW w:w="180" w:type="dxa"/>
            <w:vAlign w:val="bottom"/>
          </w:tcPr>
          <w:p>
            <w:pPr>
              <w:spacing w:after="0"/>
              <w:rPr>
                <w:sz w:val="19"/>
                <w:szCs w:val="19"/>
                <w:color w:val="auto"/>
              </w:rPr>
            </w:pPr>
          </w:p>
        </w:tc>
        <w:tc>
          <w:tcPr>
            <w:tcW w:w="3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1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Site leases</w:t>
            </w:r>
            <w:r>
              <w:rPr>
                <w:rFonts w:ascii="Times New Roman" w:cs="Times New Roman" w:eastAsia="Times New Roman" w:hAnsi="Times New Roman"/>
                <w:sz w:val="23"/>
                <w:szCs w:val="23"/>
                <w:color w:val="auto"/>
                <w:w w:val="96"/>
                <w:vertAlign w:val="superscript"/>
              </w:rPr>
              <w:t>(2)</w:t>
            </w:r>
            <w:r>
              <w:rPr>
                <w:rFonts w:ascii="Times New Roman" w:cs="Times New Roman" w:eastAsia="Times New Roman" w:hAnsi="Times New Roman"/>
                <w:sz w:val="20"/>
                <w:szCs w:val="20"/>
                <w:color w:val="auto"/>
                <w:w w:val="96"/>
              </w:rPr>
              <w:t xml:space="preserve"> . . . . . . . . . . . . . . . . .</w:t>
            </w:r>
          </w:p>
        </w:tc>
        <w:tc>
          <w:tcPr>
            <w:tcW w:w="4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Right-of-use assets</w:t>
            </w: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13,242</w:t>
            </w: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w w:val="97"/>
              </w:rPr>
              <w:t>Office lease</w:t>
            </w:r>
            <w:r>
              <w:rPr>
                <w:rFonts w:ascii="Times New Roman" w:cs="Times New Roman" w:eastAsia="Times New Roman" w:hAnsi="Times New Roman"/>
                <w:sz w:val="23"/>
                <w:szCs w:val="23"/>
                <w:color w:val="auto"/>
                <w:w w:val="97"/>
                <w:vertAlign w:val="superscript"/>
              </w:rPr>
              <w:t>(3)</w:t>
            </w:r>
            <w:r>
              <w:rPr>
                <w:rFonts w:ascii="Times New Roman" w:cs="Times New Roman" w:eastAsia="Times New Roman" w:hAnsi="Times New Roman"/>
                <w:sz w:val="20"/>
                <w:szCs w:val="20"/>
                <w:color w:val="auto"/>
                <w:w w:val="97"/>
              </w:rPr>
              <w:t xml:space="preserve">  . . . . . . . . . . . . . . .</w:t>
            </w:r>
          </w:p>
        </w:tc>
        <w:tc>
          <w:tcPr>
            <w:tcW w:w="4000" w:type="dxa"/>
            <w:vAlign w:val="bottom"/>
            <w:gridSpan w:val="3"/>
          </w:tcPr>
          <w:p>
            <w:pPr>
              <w:ind w:left="180"/>
              <w:spacing w:after="0" w:line="215" w:lineRule="exact"/>
              <w:rPr>
                <w:sz w:val="20"/>
                <w:szCs w:val="20"/>
                <w:color w:val="auto"/>
              </w:rPr>
            </w:pPr>
            <w:r>
              <w:rPr>
                <w:rFonts w:ascii="Times New Roman" w:cs="Times New Roman" w:eastAsia="Times New Roman" w:hAnsi="Times New Roman"/>
                <w:sz w:val="20"/>
                <w:szCs w:val="20"/>
                <w:color w:val="auto"/>
              </w:rPr>
              <w:t>Right-of-use assets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1,406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348</w:t>
            </w:r>
          </w:p>
        </w:tc>
        <w:tc>
          <w:tcPr>
            <w:tcW w:w="0" w:type="dxa"/>
            <w:vAlign w:val="bottom"/>
          </w:tcPr>
          <w:p>
            <w:pPr>
              <w:spacing w:after="0"/>
              <w:rPr>
                <w:sz w:val="1"/>
                <w:szCs w:val="1"/>
                <w:color w:val="auto"/>
              </w:rPr>
            </w:pPr>
          </w:p>
        </w:tc>
      </w:tr>
      <w:tr>
        <w:trPr>
          <w:trHeight w:val="248"/>
        </w:trPr>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11,744</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13,590</w:t>
            </w:r>
          </w:p>
        </w:tc>
        <w:tc>
          <w:tcPr>
            <w:tcW w:w="0" w:type="dxa"/>
            <w:vAlign w:val="bottom"/>
          </w:tcPr>
          <w:p>
            <w:pPr>
              <w:spacing w:after="0"/>
              <w:rPr>
                <w:sz w:val="1"/>
                <w:szCs w:val="1"/>
                <w:color w:val="auto"/>
              </w:rPr>
            </w:pPr>
          </w:p>
        </w:tc>
      </w:tr>
      <w:tr>
        <w:trPr>
          <w:trHeight w:val="240"/>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40" w:type="dxa"/>
            <w:vAlign w:val="bottom"/>
            <w:gridSpan w:val="2"/>
          </w:tcPr>
          <w:p>
            <w:pPr>
              <w:spacing w:after="0" w:line="252" w:lineRule="exact"/>
              <w:rPr>
                <w:sz w:val="20"/>
                <w:szCs w:val="20"/>
                <w:color w:val="auto"/>
              </w:rPr>
            </w:pPr>
            <w:r>
              <w:rPr>
                <w:rFonts w:ascii="Times New Roman" w:cs="Times New Roman" w:eastAsia="Times New Roman" w:hAnsi="Times New Roman"/>
                <w:sz w:val="20"/>
                <w:szCs w:val="20"/>
                <w:color w:val="auto"/>
                <w:w w:val="96"/>
              </w:rPr>
              <w:t>Vehicle leases</w:t>
            </w:r>
            <w:r>
              <w:rPr>
                <w:rFonts w:ascii="Times New Roman" w:cs="Times New Roman" w:eastAsia="Times New Roman" w:hAnsi="Times New Roman"/>
                <w:sz w:val="23"/>
                <w:szCs w:val="23"/>
                <w:color w:val="auto"/>
                <w:w w:val="96"/>
                <w:vertAlign w:val="superscript"/>
              </w:rPr>
              <w:t>(4)</w:t>
            </w:r>
            <w:r>
              <w:rPr>
                <w:rFonts w:ascii="Times New Roman" w:cs="Times New Roman" w:eastAsia="Times New Roman" w:hAnsi="Times New Roman"/>
                <w:sz w:val="20"/>
                <w:szCs w:val="20"/>
                <w:color w:val="auto"/>
                <w:w w:val="96"/>
              </w:rPr>
              <w:t xml:space="preserve"> . . . . . . . . . . . . . .</w:t>
            </w:r>
          </w:p>
        </w:tc>
        <w:tc>
          <w:tcPr>
            <w:tcW w:w="4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1,236</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796</w:t>
            </w:r>
          </w:p>
        </w:tc>
        <w:tc>
          <w:tcPr>
            <w:tcW w:w="0" w:type="dxa"/>
            <w:vAlign w:val="bottom"/>
          </w:tcPr>
          <w:p>
            <w:pPr>
              <w:spacing w:after="0"/>
              <w:rPr>
                <w:sz w:val="1"/>
                <w:szCs w:val="1"/>
                <w:color w:val="auto"/>
              </w:rPr>
            </w:pPr>
          </w:p>
        </w:tc>
      </w:tr>
      <w:tr>
        <w:trPr>
          <w:trHeight w:val="248"/>
        </w:trPr>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12,980</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14,386</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Sites leases . . . . . . . . . . . . . . . . .</w:t>
            </w:r>
          </w:p>
        </w:tc>
        <w:tc>
          <w:tcPr>
            <w:tcW w:w="4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Lease liabilities – current portion</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60"/>
        </w:trPr>
        <w:tc>
          <w:tcPr>
            <w:tcW w:w="2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Office lease . . . . . . . . . . . . . . . . .</w:t>
            </w:r>
          </w:p>
        </w:tc>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liabilities – current portion</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0" w:type="dxa"/>
            <w:vAlign w:val="bottom"/>
          </w:tcPr>
          <w:p>
            <w:pPr>
              <w:spacing w:after="0"/>
              <w:rPr>
                <w:sz w:val="1"/>
                <w:szCs w:val="1"/>
                <w:color w:val="auto"/>
              </w:rPr>
            </w:pPr>
          </w:p>
        </w:tc>
      </w:tr>
      <w:tr>
        <w:trPr>
          <w:trHeight w:val="252"/>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Vehicle leases . . . . . . . . . . . . . . .</w:t>
            </w:r>
          </w:p>
        </w:tc>
        <w:tc>
          <w:tcPr>
            <w:tcW w:w="4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1,079</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0" w:type="dxa"/>
            <w:vAlign w:val="bottom"/>
          </w:tcPr>
          <w:p>
            <w:pPr>
              <w:spacing w:after="0"/>
              <w:rPr>
                <w:sz w:val="1"/>
                <w:szCs w:val="1"/>
                <w:color w:val="auto"/>
              </w:rPr>
            </w:pPr>
          </w:p>
        </w:tc>
      </w:tr>
      <w:tr>
        <w:trPr>
          <w:trHeight w:val="499"/>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Sites leases . . . . . . . . . . . . . . . . .</w:t>
            </w:r>
          </w:p>
        </w:tc>
        <w:tc>
          <w:tcPr>
            <w:tcW w:w="4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Lease liabilities – non-current portion</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12,895</w:t>
            </w:r>
          </w:p>
        </w:tc>
        <w:tc>
          <w:tcPr>
            <w:tcW w:w="0" w:type="dxa"/>
            <w:vAlign w:val="bottom"/>
          </w:tcPr>
          <w:p>
            <w:pPr>
              <w:spacing w:after="0"/>
              <w:rPr>
                <w:sz w:val="1"/>
                <w:szCs w:val="1"/>
                <w:color w:val="auto"/>
              </w:rPr>
            </w:pPr>
          </w:p>
        </w:tc>
      </w:tr>
      <w:tr>
        <w:trPr>
          <w:trHeight w:val="260"/>
        </w:trPr>
        <w:tc>
          <w:tcPr>
            <w:tcW w:w="2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Office lease . . . . . . . . . . . . . . . . .</w:t>
            </w:r>
          </w:p>
        </w:tc>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liabilities – non-current portion</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1"/>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Vehicle leases . . . . . . . . . . . . . . .</w:t>
            </w:r>
          </w:p>
        </w:tc>
        <w:tc>
          <w:tcPr>
            <w:tcW w:w="4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0" w:type="dxa"/>
            <w:vAlign w:val="bottom"/>
          </w:tcPr>
          <w:p>
            <w:pPr>
              <w:spacing w:after="0"/>
              <w:rPr>
                <w:sz w:val="1"/>
                <w:szCs w:val="1"/>
                <w:color w:val="auto"/>
              </w:rPr>
            </w:pPr>
          </w:p>
        </w:tc>
      </w:tr>
      <w:tr>
        <w:trPr>
          <w:trHeight w:val="231"/>
        </w:trPr>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880" w:type="dxa"/>
            <w:vAlign w:val="bottom"/>
            <w:tcBorders>
              <w:bottom w:val="single" w:sz="8" w:color="auto"/>
            </w:tcBorders>
          </w:tcPr>
          <w:p>
            <w:pPr>
              <w:spacing w:after="0"/>
              <w:rPr>
                <w:sz w:val="4"/>
                <w:szCs w:val="4"/>
                <w:color w:val="auto"/>
              </w:rPr>
            </w:pPr>
          </w:p>
        </w:tc>
        <w:tc>
          <w:tcPr>
            <w:tcW w:w="1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80" w:right="6" w:hanging="480"/>
        <w:spacing w:after="0" w:line="245" w:lineRule="auto"/>
        <w:tabs>
          <w:tab w:leader="none" w:pos="4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lease right-of-use asset and Operating lease liabilities represent the present value of lease payments for the remaining term of the lease. The discount rate used ranged from 2.30% to 5.40%.</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F-37</w:t>
      </w:r>
    </w:p>
    <w:p>
      <w:pPr>
        <w:sectPr>
          <w:pgSz w:w="12240" w:h="15846" w:orient="portrait"/>
          <w:cols w:equalWidth="0" w:num="1">
            <w:col w:w="9366"/>
          </w:cols>
          <w:pgMar w:left="1440" w:top="947" w:right="1440" w:bottom="353" w:gutter="0" w:footer="0" w:header="0"/>
          <w:type w:val="continuous"/>
        </w:sectPr>
      </w:pPr>
    </w:p>
    <w:bookmarkStart w:id="149" w:name="page150"/>
    <w:bookmarkEnd w:id="149"/>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199"/>
        <w:spacing w:after="0"/>
        <w:tabs>
          <w:tab w:leader="none" w:pos="20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81" w:lineRule="exact"/>
        <w:rPr>
          <w:sz w:val="20"/>
          <w:szCs w:val="20"/>
          <w:color w:val="auto"/>
        </w:rPr>
      </w:pPr>
    </w:p>
    <w:p>
      <w:pPr>
        <w:jc w:val="both"/>
        <w:ind w:left="480" w:right="6" w:hanging="480"/>
        <w:spacing w:after="0" w:line="250" w:lineRule="auto"/>
        <w:tabs>
          <w:tab w:leader="none" w:pos="4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lease modifications on two of site leases on October 1, 2022 where the lease term was extended and reduced the right-of-use asset and the corresponding lease liabilities by $2,550 as the incremental borrowing rates increased in the fourth quarter of 2022 when the lease modification was recorded.</w:t>
      </w:r>
    </w:p>
    <w:p>
      <w:pPr>
        <w:spacing w:after="0" w:line="13"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exercised its option to extend the lease in March 2022 which the Company recorded as a lease modification. The Company increased the right-of-use asset and the corresponding lease liability by $1,829.</w:t>
      </w:r>
    </w:p>
    <w:p>
      <w:pPr>
        <w:spacing w:after="0" w:line="17" w:lineRule="exact"/>
        <w:rPr>
          <w:rFonts w:ascii="Times New Roman" w:cs="Times New Roman" w:eastAsia="Times New Roman" w:hAnsi="Times New Roman"/>
          <w:sz w:val="18"/>
          <w:szCs w:val="18"/>
          <w:color w:val="auto"/>
        </w:rPr>
      </w:pPr>
    </w:p>
    <w:p>
      <w:pPr>
        <w:ind w:left="480" w:right="6" w:hanging="480"/>
        <w:spacing w:after="0" w:line="245" w:lineRule="auto"/>
        <w:tabs>
          <w:tab w:leader="none" w:pos="4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multiple vehicle leases during 2022 which were recorded as new leases at the beginning of the lease term. The Company recorded an aggregate of $903 right-of-use assets and corresponding lease liabilities.</w:t>
      </w:r>
    </w:p>
    <w:p>
      <w:pPr>
        <w:spacing w:after="0" w:line="17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table below presents components of the Company’s lease expense for the year ended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9"/>
                <w:szCs w:val="19"/>
                <w:color w:val="auto"/>
              </w:rPr>
            </w:pPr>
          </w:p>
        </w:tc>
        <w:tc>
          <w:tcPr>
            <w:tcW w:w="4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Location in Statement of Operations</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9"/>
              </w:rPr>
              <w:t>Amount</w:t>
            </w:r>
            <w:r>
              <w:rPr>
                <w:rFonts w:ascii="Times New Roman" w:cs="Times New Roman" w:eastAsia="Times New Roman" w:hAnsi="Times New Roman"/>
                <w:sz w:val="20"/>
                <w:szCs w:val="20"/>
                <w:b w:val="1"/>
                <w:bCs w:val="1"/>
                <w:color w:val="auto"/>
                <w:w w:val="99"/>
                <w:vertAlign w:val="superscript"/>
              </w:rPr>
              <w:t>(1)</w:t>
            </w:r>
          </w:p>
        </w:tc>
      </w:tr>
      <w:tr>
        <w:trPr>
          <w:trHeight w:val="248"/>
        </w:trPr>
        <w:tc>
          <w:tcPr>
            <w:tcW w:w="20" w:type="dxa"/>
            <w:vAlign w:val="bottom"/>
          </w:tcPr>
          <w:p>
            <w:pPr>
              <w:spacing w:after="0"/>
              <w:rPr>
                <w:sz w:val="21"/>
                <w:szCs w:val="21"/>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Operating lease expense for site leases . . . . . .</w:t>
            </w:r>
          </w:p>
        </w:tc>
        <w:tc>
          <w:tcPr>
            <w:tcW w:w="4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Cost of sales-RNG Fuel</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w:t>
            </w:r>
          </w:p>
        </w:tc>
      </w:tr>
      <w:tr>
        <w:trPr>
          <w:trHeight w:val="260"/>
        </w:trPr>
        <w:tc>
          <w:tcPr>
            <w:tcW w:w="20" w:type="dxa"/>
            <w:vAlign w:val="bottom"/>
          </w:tcPr>
          <w:p>
            <w:pPr>
              <w:spacing w:after="0"/>
              <w:rPr>
                <w:sz w:val="22"/>
                <w:szCs w:val="22"/>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Operating lease expense for office lease . . . . .</w:t>
            </w:r>
          </w:p>
        </w:tc>
        <w:tc>
          <w:tcPr>
            <w:tcW w:w="4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Selling, general, administrative expenses</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w:t>
            </w:r>
          </w:p>
        </w:tc>
      </w:tr>
      <w:tr>
        <w:trPr>
          <w:trHeight w:val="257"/>
        </w:trPr>
        <w:tc>
          <w:tcPr>
            <w:tcW w:w="20" w:type="dxa"/>
            <w:vAlign w:val="bottom"/>
          </w:tcPr>
          <w:p>
            <w:pPr>
              <w:spacing w:after="0"/>
              <w:rPr>
                <w:sz w:val="22"/>
                <w:szCs w:val="22"/>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right-of-use assets – finance</w:t>
            </w: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w w:val="98"/>
              </w:rPr>
              <w:t>leases . . . . . . . . . . . . . . . . . . . . . . . . . . . . . .</w:t>
            </w:r>
          </w:p>
        </w:tc>
        <w:tc>
          <w:tcPr>
            <w:tcW w:w="42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Depreciation, amortization and accretion expense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429</w:t>
            </w:r>
          </w:p>
        </w:tc>
      </w:tr>
      <w:tr>
        <w:trPr>
          <w:trHeight w:val="257"/>
        </w:trPr>
        <w:tc>
          <w:tcPr>
            <w:tcW w:w="20" w:type="dxa"/>
            <w:vAlign w:val="bottom"/>
          </w:tcPr>
          <w:p>
            <w:pPr>
              <w:spacing w:after="0"/>
              <w:rPr>
                <w:sz w:val="22"/>
                <w:szCs w:val="22"/>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expense on lease liabilities – finance</w:t>
            </w:r>
          </w:p>
        </w:tc>
        <w:tc>
          <w:tcPr>
            <w:tcW w:w="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366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w w:val="98"/>
              </w:rPr>
              <w:t>leases . . . . . . . . . . . . . . . . . . . . . . . . . . . . . .</w:t>
            </w:r>
          </w:p>
        </w:tc>
        <w:tc>
          <w:tcPr>
            <w:tcW w:w="42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Interest and financing expense, net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45</w:t>
            </w:r>
          </w:p>
        </w:tc>
      </w:tr>
      <w:tr>
        <w:trPr>
          <w:trHeight w:val="23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50"/>
        </w:trPr>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r>
    </w:tbl>
    <w:p>
      <w:pPr>
        <w:spacing w:after="0" w:line="75" w:lineRule="exact"/>
        <w:rPr>
          <w:sz w:val="20"/>
          <w:szCs w:val="20"/>
          <w:color w:val="auto"/>
        </w:rPr>
      </w:pPr>
    </w:p>
    <w:p>
      <w:pPr>
        <w:ind w:left="480" w:hanging="480"/>
        <w:spacing w:after="0"/>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material short term lease expense for the year ended December 31, 2022</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did not enter into any operating leases greater than 12 months for the year ended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8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47"/>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leases . . . . . . . . . . . . . . . . . . . . . . . . . . . . . . . . . . . . . . . . . . . . . . . . . . . . . . . . . . . . . . . . .</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18.6 years</w:t>
            </w:r>
          </w:p>
        </w:tc>
      </w:tr>
      <w:tr>
        <w:trPr>
          <w:trHeight w:val="260"/>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Financing leases . . . . . . . . . . . . . . . . . . . . . . . . . . . . . . . . . . . . . . . . . . . . . . . . . . . . . . . . . . . . . . . . .</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 years</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 average discount rate</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Operating leases . . . . . . . . . . . . . . . . . . . . . . . . . . . . . . . . . . . . . . . . . . . . . . . . . . . . . . . . . . . . . . . . .</w:t>
            </w:r>
          </w:p>
        </w:tc>
        <w:tc>
          <w:tcPr>
            <w:tcW w:w="14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7.87%</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Financing leases . . . . . . . . . . . . . . . . . . . . . . . . . . . . . . . . . . . . . . . . . . . . . . . . . . . . . . . . . . . . . . . . .</w:t>
            </w:r>
          </w:p>
        </w:tc>
        <w:tc>
          <w:tcPr>
            <w:tcW w:w="14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5.82%</w:t>
            </w:r>
          </w:p>
        </w:tc>
      </w:tr>
    </w:tbl>
    <w:p>
      <w:pPr>
        <w:spacing w:after="0" w:line="15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The table below provides the total amount of lease payments on an undiscounted basis on our lease contracts as of 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Site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4"/>
              </w:rPr>
              <w:t>Vehicle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4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leases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leases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leases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7"/>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upon adoption . . . . . . . . . . . . . . . . . .</w:t>
            </w:r>
          </w:p>
        </w:tc>
        <w:tc>
          <w:tcPr>
            <w:tcW w:w="2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40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2023. . . . . . . . . . . . . . . . . . . . . . . . . . . . . . . . . . . . .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2024. . . . . . . . . . . . . . . . . . . . . . . . . . . . . . . . . . . . .</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2,003</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2025. . . . . . . . . . . . . . . . . . . . . . . . . . . . . . . . . . . . .</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w:t>
            </w:r>
          </w:p>
        </w:tc>
      </w:tr>
      <w:tr>
        <w:trPr>
          <w:trHeight w:val="261"/>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2027 and beyond . . . . . . . . . . . . . . . . . . . . . . . . . . .</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17,913</w:t>
            </w:r>
          </w:p>
        </w:tc>
      </w:tr>
      <w:tr>
        <w:trPr>
          <w:trHeight w:val="240"/>
        </w:trPr>
        <w:tc>
          <w:tcPr>
            <w:tcW w:w="4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22,089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25,140</w:t>
            </w:r>
          </w:p>
        </w:tc>
      </w:tr>
      <w:tr>
        <w:trPr>
          <w:trHeight w:val="37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lease liability . . . . . . . . . . . . . . . .</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13,149</w:t>
            </w:r>
          </w:p>
        </w:tc>
      </w:tr>
      <w:tr>
        <w:trPr>
          <w:trHeight w:val="40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 current portion . . . . . . . . . . . . . .</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w:t>
            </w:r>
          </w:p>
        </w:tc>
      </w:tr>
      <w:tr>
        <w:trPr>
          <w:trHeight w:val="261"/>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 non-current portion . . . . . . . . . .</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10,135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12,070</w:t>
            </w:r>
          </w:p>
        </w:tc>
      </w:tr>
      <w:tr>
        <w:trPr>
          <w:trHeight w:val="24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liabilities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13,149</w:t>
            </w:r>
          </w:p>
        </w:tc>
      </w:tr>
      <w:tr>
        <w:trPr>
          <w:trHeight w:val="20"/>
        </w:trPr>
        <w:tc>
          <w:tcPr>
            <w:tcW w:w="4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37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Discount based on incremental borrowing rate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11,991</w:t>
            </w:r>
          </w:p>
        </w:tc>
      </w:tr>
    </w:tbl>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office rent expense for the year ended December 31, 2021 was $1,098.</w:t>
      </w:r>
    </w:p>
    <w:p>
      <w:pPr>
        <w:sectPr>
          <w:pgSz w:w="12240" w:h="15846" w:orient="portrait"/>
          <w:cols w:equalWidth="0" w:num="1">
            <w:col w:w="9366"/>
          </w:cols>
          <w:pgMar w:left="1440" w:top="947" w:right="1440" w:bottom="353" w:gutter="0" w:footer="0" w:header="0"/>
        </w:sectPr>
      </w:pPr>
    </w:p>
    <w:p>
      <w:pPr>
        <w:spacing w:after="0" w:line="3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F-38</w:t>
      </w:r>
    </w:p>
    <w:p>
      <w:pPr>
        <w:sectPr>
          <w:pgSz w:w="12240" w:h="15846" w:orient="portrait"/>
          <w:cols w:equalWidth="0" w:num="1">
            <w:col w:w="9366"/>
          </w:cols>
          <w:pgMar w:left="1440" w:top="947" w:right="1440" w:bottom="353" w:gutter="0" w:footer="0" w:header="0"/>
          <w:type w:val="continuous"/>
        </w:sectPr>
      </w:pPr>
    </w:p>
    <w:bookmarkStart w:id="150" w:name="page151"/>
    <w:bookmarkEnd w:id="150"/>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10. Derivative Financial Instruments and Fair Value Measurements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swaps</w:t>
      </w:r>
    </w:p>
    <w:p>
      <w:pPr>
        <w:spacing w:after="0" w:line="177" w:lineRule="exact"/>
        <w:rPr>
          <w:sz w:val="20"/>
          <w:szCs w:val="20"/>
          <w:color w:val="auto"/>
        </w:rPr>
      </w:pPr>
    </w:p>
    <w:p>
      <w:pPr>
        <w:jc w:val="both"/>
        <w:ind w:left="620" w:right="500" w:firstLine="480"/>
        <w:spacing w:after="0" w:line="264" w:lineRule="auto"/>
        <w:rPr>
          <w:sz w:val="20"/>
          <w:szCs w:val="20"/>
          <w:color w:val="auto"/>
        </w:rPr>
      </w:pPr>
      <w:r>
        <w:rPr>
          <w:rFonts w:ascii="Times New Roman" w:cs="Times New Roman" w:eastAsia="Times New Roman" w:hAnsi="Times New Roman"/>
          <w:sz w:val="19"/>
          <w:szCs w:val="19"/>
          <w:color w:val="auto"/>
        </w:rPr>
        <w:t>In connection with our entry into the Senior Secured Credit Facility, the Company entered into certain interest rate swap agreements. These transactions involved the exchange of fixed and floating rate interest payment obligations without the exchange of the underlying principal amounts. The average annual fixed rate ranged from 2.38% in 2020 to 2.50% in 2022. The Company has accounted for these instruments as economic hedges and has included changes in their fair market value in the consolidated statements of operations. The swaps expired in September 2022.</w:t>
      </w:r>
    </w:p>
    <w:p>
      <w:pPr>
        <w:spacing w:after="0" w:line="158" w:lineRule="exact"/>
        <w:rPr>
          <w:sz w:val="20"/>
          <w:szCs w:val="20"/>
          <w:color w:val="auto"/>
        </w:rPr>
      </w:pPr>
    </w:p>
    <w:p>
      <w:pPr>
        <w:jc w:val="both"/>
        <w:ind w:left="620" w:right="500" w:firstLine="480"/>
        <w:spacing w:after="0" w:line="249" w:lineRule="auto"/>
        <w:rPr>
          <w:sz w:val="20"/>
          <w:szCs w:val="20"/>
          <w:color w:val="auto"/>
        </w:rPr>
      </w:pPr>
      <w:r>
        <w:rPr>
          <w:rFonts w:ascii="Times New Roman" w:cs="Times New Roman" w:eastAsia="Times New Roman" w:hAnsi="Times New Roman"/>
          <w:sz w:val="20"/>
          <w:szCs w:val="20"/>
          <w:color w:val="auto"/>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December 30, 2022. The maturity date was extended to March 30, 2023. The Company accounted for the swaption as an economic hedge and included the change in the fair market value in the consolidated statement of operations.</w:t>
      </w:r>
    </w:p>
    <w:p>
      <w:pPr>
        <w:spacing w:after="0" w:line="168" w:lineRule="exact"/>
        <w:rPr>
          <w:sz w:val="20"/>
          <w:szCs w:val="20"/>
          <w:color w:val="auto"/>
        </w:rPr>
      </w:pPr>
    </w:p>
    <w:p>
      <w:pPr>
        <w:jc w:val="both"/>
        <w:ind w:left="620" w:right="500" w:firstLine="480"/>
        <w:spacing w:after="0" w:line="249" w:lineRule="auto"/>
        <w:rPr>
          <w:sz w:val="20"/>
          <w:szCs w:val="20"/>
          <w:color w:val="auto"/>
        </w:rPr>
      </w:pPr>
      <w:r>
        <w:rPr>
          <w:rFonts w:ascii="Times New Roman" w:cs="Times New Roman" w:eastAsia="Times New Roman" w:hAnsi="Times New Roman"/>
          <w:sz w:val="20"/>
          <w:szCs w:val="20"/>
          <w:color w:val="auto"/>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spacing w:after="0" w:line="173" w:lineRule="exact"/>
        <w:rPr>
          <w:sz w:val="20"/>
          <w:szCs w:val="20"/>
          <w:color w:val="auto"/>
        </w:rPr>
      </w:pPr>
    </w:p>
    <w:p>
      <w:pPr>
        <w:jc w:val="both"/>
        <w:ind w:left="620" w:right="500" w:firstLine="480"/>
        <w:spacing w:after="0" w:line="248" w:lineRule="auto"/>
        <w:rPr>
          <w:sz w:val="20"/>
          <w:szCs w:val="20"/>
          <w:color w:val="auto"/>
        </w:rPr>
      </w:pPr>
      <w:r>
        <w:rPr>
          <w:rFonts w:ascii="Times New Roman" w:cs="Times New Roman" w:eastAsia="Times New Roman" w:hAnsi="Times New Roman"/>
          <w:sz w:val="20"/>
          <w:szCs w:val="20"/>
          <w:color w:val="auto"/>
        </w:rPr>
        <w:t>The Company records the fair value of the interest rate swap as an asset or liability on its consolidated balance sheet. The effective portion of the swap is recorded in Accumulated other comprehensive income. No portion of the cash flow hedges were ineffective during the year ended December 31, 2022. There are no amounts that would be released from the Other comprehensive income in the next twelve months.</w:t>
      </w:r>
    </w:p>
    <w:p>
      <w:pPr>
        <w:spacing w:after="0" w:line="1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The following table summarizes the interest rate swaps in place as of December 31, 2022 and December 31,</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swap detail</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Notional Amount</w:t>
            </w:r>
          </w:p>
        </w:tc>
      </w:tr>
      <w:tr>
        <w:trPr>
          <w:trHeight w:val="196"/>
        </w:trPr>
        <w:tc>
          <w:tcPr>
            <w:tcW w:w="2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4"/>
              <w:spacing w:after="0" w:line="19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7"/>
                <w:szCs w:val="17"/>
                <w:color w:val="auto"/>
              </w:rPr>
            </w:pPr>
          </w:p>
        </w:tc>
      </w:tr>
      <w:tr>
        <w:trPr>
          <w:trHeight w:val="210"/>
        </w:trPr>
        <w:tc>
          <w:tcPr>
            <w:tcW w:w="25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Trade date</w:t>
            </w:r>
          </w:p>
        </w:tc>
        <w:tc>
          <w:tcPr>
            <w:tcW w:w="180" w:type="dxa"/>
            <w:vAlign w:val="bottom"/>
          </w:tcPr>
          <w:p>
            <w:pPr>
              <w:spacing w:after="0"/>
              <w:rPr>
                <w:sz w:val="18"/>
                <w:szCs w:val="18"/>
                <w:color w:val="auto"/>
              </w:rPr>
            </w:pPr>
          </w:p>
        </w:tc>
        <w:tc>
          <w:tcPr>
            <w:tcW w:w="1520" w:type="dxa"/>
            <w:vAlign w:val="bottom"/>
            <w:tcBorders>
              <w:bottom w:val="single" w:sz="8" w:color="auto"/>
            </w:tcBorders>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Fixed rate</w:t>
            </w:r>
          </w:p>
        </w:tc>
        <w:tc>
          <w:tcPr>
            <w:tcW w:w="180" w:type="dxa"/>
            <w:vAlign w:val="bottom"/>
          </w:tcPr>
          <w:p>
            <w:pPr>
              <w:spacing w:after="0"/>
              <w:rPr>
                <w:sz w:val="18"/>
                <w:szCs w:val="18"/>
                <w:color w:val="auto"/>
              </w:rPr>
            </w:pPr>
          </w:p>
        </w:tc>
        <w:tc>
          <w:tcPr>
            <w:tcW w:w="1520" w:type="dxa"/>
            <w:vAlign w:val="bottom"/>
            <w:tcBorders>
              <w:bottom w:val="single" w:sz="8" w:color="auto"/>
            </w:tcBorders>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Start date</w:t>
            </w:r>
          </w:p>
        </w:tc>
        <w:tc>
          <w:tcPr>
            <w:tcW w:w="180" w:type="dxa"/>
            <w:vAlign w:val="bottom"/>
          </w:tcPr>
          <w:p>
            <w:pPr>
              <w:spacing w:after="0"/>
              <w:rPr>
                <w:sz w:val="18"/>
                <w:szCs w:val="18"/>
                <w:color w:val="auto"/>
              </w:rPr>
            </w:pPr>
          </w:p>
        </w:tc>
        <w:tc>
          <w:tcPr>
            <w:tcW w:w="1520" w:type="dxa"/>
            <w:vAlign w:val="bottom"/>
            <w:tcBorders>
              <w:bottom w:val="single" w:sz="8" w:color="auto"/>
            </w:tcBorders>
          </w:tcPr>
          <w:p>
            <w:pPr>
              <w:ind w:left="420"/>
              <w:spacing w:after="0" w:line="201" w:lineRule="exact"/>
              <w:rPr>
                <w:sz w:val="20"/>
                <w:szCs w:val="20"/>
                <w:color w:val="auto"/>
              </w:rPr>
            </w:pPr>
            <w:r>
              <w:rPr>
                <w:rFonts w:ascii="Times New Roman" w:cs="Times New Roman" w:eastAsia="Times New Roman" w:hAnsi="Times New Roman"/>
                <w:sz w:val="18"/>
                <w:szCs w:val="18"/>
                <w:b w:val="1"/>
                <w:bCs w:val="1"/>
                <w:color w:val="auto"/>
              </w:rPr>
              <w:t>End date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36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r>
      <w:tr>
        <w:trPr>
          <w:trHeight w:val="247"/>
        </w:trPr>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August 15, 2022 . . . . . . . . . . . .</w:t>
            </w: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2.47%</w:t>
            </w:r>
          </w:p>
        </w:tc>
        <w:tc>
          <w:tcPr>
            <w:tcW w:w="1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June 28, 2024</w:t>
            </w:r>
          </w:p>
        </w:tc>
        <w:tc>
          <w:tcPr>
            <w:tcW w:w="180" w:type="dxa"/>
            <w:vAlign w:val="bottom"/>
          </w:tcPr>
          <w:p>
            <w:pPr>
              <w:spacing w:after="0"/>
              <w:rPr>
                <w:sz w:val="21"/>
                <w:szCs w:val="21"/>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August 4, 2027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4"/>
              </w:rPr>
              <w:t>41,284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w w:val="99"/>
              </w:rPr>
              <w:t>—</w:t>
            </w:r>
          </w:p>
        </w:tc>
      </w:tr>
      <w:tr>
        <w:trPr>
          <w:trHeight w:val="261"/>
        </w:trPr>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August 15, 2022 . . . . . . . . . . . .</w:t>
            </w: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2.47%</w:t>
            </w:r>
          </w:p>
        </w:tc>
        <w:tc>
          <w:tcPr>
            <w:tcW w:w="1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June 28, 2024</w:t>
            </w:r>
          </w:p>
        </w:tc>
        <w:tc>
          <w:tcPr>
            <w:tcW w:w="180" w:type="dxa"/>
            <w:vAlign w:val="bottom"/>
          </w:tcPr>
          <w:p>
            <w:pPr>
              <w:spacing w:after="0"/>
              <w:rPr>
                <w:sz w:val="22"/>
                <w:szCs w:val="22"/>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August 4, 2027</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w w:val="94"/>
              </w:rPr>
              <w:t>20,642</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2"/>
                <w:szCs w:val="22"/>
                <w:color w:val="auto"/>
              </w:rPr>
            </w:pPr>
          </w:p>
        </w:tc>
      </w:tr>
      <w:tr>
        <w:trPr>
          <w:trHeight w:val="240"/>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4"/>
              </w:rPr>
              <w:t>61,926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w w:val="99"/>
              </w:rPr>
              <w:t>—</w:t>
            </w:r>
          </w:p>
        </w:tc>
      </w:tr>
      <w:tr>
        <w:trPr>
          <w:trHeight w:val="20"/>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The location and amounts of derivatives fair values in the consolidated balance sheets are:</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Location of Fair Value</w:t>
            </w:r>
          </w:p>
        </w:tc>
      </w:tr>
      <w:tr>
        <w:trPr>
          <w:trHeight w:val="199"/>
        </w:trPr>
        <w:tc>
          <w:tcPr>
            <w:tcW w:w="4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line="200"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line="200" w:lineRule="exact"/>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Recognized in Balance Sheet</w:t>
            </w: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Derivatives designated as economic hedges: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26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swaption . . . . . . . . . . . . . . . .</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Derivative financial assets, current portion</w:t>
            </w:r>
          </w:p>
        </w:tc>
      </w:tr>
      <w:tr>
        <w:trPr>
          <w:trHeight w:val="26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interest swaps . . . . . . . . . . .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(992)</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Derivative financial liability, current portion</w:t>
            </w:r>
          </w:p>
        </w:tc>
      </w:tr>
      <w:tr>
        <w:trPr>
          <w:trHeight w:val="26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Derivatives designated as cash flow hedges: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61"/>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Non current portion of the interest rate swaps . .</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Derivative financial assets, non-current portion</w:t>
            </w:r>
          </w:p>
        </w:tc>
      </w:tr>
      <w:tr>
        <w:trPr>
          <w:trHeight w:val="231"/>
        </w:trPr>
        <w:tc>
          <w:tcPr>
            <w:tcW w:w="4040" w:type="dxa"/>
            <w:vAlign w:val="bottom"/>
          </w:tcPr>
          <w:p>
            <w:pPr>
              <w:spacing w:after="0"/>
              <w:rPr>
                <w:sz w:val="20"/>
                <w:szCs w:val="20"/>
                <w:color w:val="auto"/>
              </w:rPr>
            </w:pP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(992)</w:t>
            </w:r>
          </w:p>
        </w:tc>
        <w:tc>
          <w:tcPr>
            <w:tcW w:w="6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6" w:orient="portrait"/>
          <w:cols w:equalWidth="0" w:num="1">
            <w:col w:w="10480"/>
          </w:cols>
          <w:pgMar w:left="820" w:top="947" w:right="946"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F-39</w:t>
      </w:r>
    </w:p>
    <w:p>
      <w:pPr>
        <w:sectPr>
          <w:pgSz w:w="12240" w:h="15846" w:orient="portrait"/>
          <w:cols w:equalWidth="0" w:num="1">
            <w:col w:w="10480"/>
          </w:cols>
          <w:pgMar w:left="820" w:top="947" w:right="946" w:bottom="353" w:gutter="0" w:footer="0" w:header="0"/>
          <w:type w:val="continuous"/>
        </w:sectPr>
      </w:pPr>
    </w:p>
    <w:bookmarkStart w:id="151" w:name="page152"/>
    <w:bookmarkEnd w:id="151"/>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10. Derivative Financial Instruments and Fair Value Measurements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The effect of interest rate swaps on the consolidated statement of operations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27"/>
        </w:trPr>
        <w:tc>
          <w:tcPr>
            <w:tcW w:w="406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(Loss) Gain</w:t>
            </w:r>
          </w:p>
        </w:tc>
      </w:tr>
      <w:tr>
        <w:trPr>
          <w:trHeight w:val="199"/>
        </w:trPr>
        <w:tc>
          <w:tcPr>
            <w:tcW w:w="4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3"/>
              <w:spacing w:after="0" w:line="200"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2"/>
              <w:spacing w:after="0" w:line="200" w:lineRule="exact"/>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Recognized in Operations from Derivatives</w:t>
            </w:r>
          </w:p>
        </w:tc>
      </w:tr>
      <w:tr>
        <w:trPr>
          <w:trHeight w:val="248"/>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swaps . . . . . . . . . . . . . . . . . . . . . . . .</w:t>
            </w: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260"/>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Swaption . . . . . . . . . . . . . . . . . . . . . . . . . . . . . . .</w:t>
            </w:r>
          </w:p>
        </w:tc>
        <w:tc>
          <w:tcPr>
            <w:tcW w:w="2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r>
      <w:tr>
        <w:trPr>
          <w:trHeight w:val="261"/>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Net periodic settlements – interest rate swaps . .</w:t>
            </w:r>
          </w:p>
        </w:tc>
        <w:tc>
          <w:tcPr>
            <w:tcW w:w="2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(1,694)</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r>
      <w:tr>
        <w:trPr>
          <w:trHeight w:val="231"/>
        </w:trPr>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120" w:type="dxa"/>
            <w:vAlign w:val="bottom"/>
          </w:tcPr>
          <w:p>
            <w:pPr>
              <w:spacing w:after="0"/>
              <w:rPr>
                <w:sz w:val="20"/>
                <w:szCs w:val="20"/>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20" w:type="dxa"/>
            <w:vAlign w:val="bottom"/>
          </w:tcPr>
          <w:p>
            <w:pPr>
              <w:spacing w:after="0"/>
              <w:rPr>
                <w:sz w:val="20"/>
                <w:szCs w:val="20"/>
                <w:color w:val="auto"/>
              </w:rPr>
            </w:pPr>
          </w:p>
        </w:tc>
        <w:tc>
          <w:tcPr>
            <w:tcW w:w="4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Change in fair value of derivative instruments, net</w:t>
            </w:r>
          </w:p>
        </w:tc>
      </w:tr>
      <w:tr>
        <w:trPr>
          <w:trHeight w:val="20"/>
        </w:trPr>
        <w:tc>
          <w:tcPr>
            <w:tcW w:w="4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left="660" w:right="560" w:firstLine="480"/>
        <w:spacing w:after="0" w:line="249" w:lineRule="auto"/>
        <w:rPr>
          <w:sz w:val="20"/>
          <w:szCs w:val="20"/>
          <w:color w:val="auto"/>
        </w:rPr>
      </w:pPr>
      <w:r>
        <w:rPr>
          <w:rFonts w:ascii="Times New Roman" w:cs="Times New Roman" w:eastAsia="Times New Roman" w:hAnsi="Times New Roman"/>
          <w:sz w:val="20"/>
          <w:szCs w:val="20"/>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70" w:lineRule="exact"/>
        <w:rPr>
          <w:sz w:val="20"/>
          <w:szCs w:val="20"/>
          <w:color w:val="auto"/>
        </w:rPr>
      </w:pPr>
    </w:p>
    <w:p>
      <w:pPr>
        <w:jc w:val="both"/>
        <w:ind w:left="660" w:right="560" w:firstLine="480"/>
        <w:spacing w:after="0" w:line="246" w:lineRule="auto"/>
        <w:rPr>
          <w:sz w:val="20"/>
          <w:szCs w:val="20"/>
          <w:color w:val="auto"/>
        </w:rPr>
      </w:pPr>
      <w:r>
        <w:rPr>
          <w:rFonts w:ascii="Times New Roman" w:cs="Times New Roman" w:eastAsia="Times New Roman" w:hAnsi="Times New Roman"/>
          <w:sz w:val="20"/>
          <w:szCs w:val="20"/>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w:t>
      </w:r>
    </w:p>
    <w:p>
      <w:pPr>
        <w:spacing w:after="0" w:line="173" w:lineRule="exact"/>
        <w:rPr>
          <w:sz w:val="20"/>
          <w:szCs w:val="20"/>
          <w:color w:val="auto"/>
        </w:rPr>
      </w:pPr>
    </w:p>
    <w:p>
      <w:pPr>
        <w:jc w:val="both"/>
        <w:ind w:left="660" w:right="56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fair value of interest rate swaps on the Company’s consolidated balance sheets and the effect of netting arrangements and collateral on its financial position:</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Net Amounts</w:t>
            </w: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line="200" w:lineRule="exact"/>
              <w:rPr>
                <w:sz w:val="20"/>
                <w:szCs w:val="20"/>
                <w:color w:val="auto"/>
              </w:rPr>
            </w:pPr>
            <w:r>
              <w:rPr>
                <w:rFonts w:ascii="Times New Roman" w:cs="Times New Roman" w:eastAsia="Times New Roman" w:hAnsi="Times New Roman"/>
                <w:sz w:val="18"/>
                <w:szCs w:val="18"/>
                <w:b w:val="1"/>
                <w:bCs w:val="1"/>
                <w:color w:val="auto"/>
              </w:rPr>
              <w:t>Amounts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05"/>
              <w:spacing w:after="0" w:line="200"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6"/>
              </w:rPr>
              <w:t>of Assets/</w:t>
            </w: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line="200" w:lineRule="exact"/>
              <w:rPr>
                <w:sz w:val="20"/>
                <w:szCs w:val="20"/>
                <w:color w:val="auto"/>
              </w:rPr>
            </w:pPr>
            <w:r>
              <w:rPr>
                <w:rFonts w:ascii="Times New Roman" w:cs="Times New Roman" w:eastAsia="Times New Roman" w:hAnsi="Times New Roman"/>
                <w:sz w:val="18"/>
                <w:szCs w:val="18"/>
                <w:b w:val="1"/>
                <w:bCs w:val="1"/>
                <w:color w:val="auto"/>
                <w:w w:val="97"/>
              </w:rPr>
              <w:t>Recognized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05"/>
              <w:spacing w:after="0" w:line="200" w:lineRule="exact"/>
              <w:rPr>
                <w:sz w:val="20"/>
                <w:szCs w:val="20"/>
                <w:color w:val="auto"/>
              </w:rPr>
            </w:pPr>
            <w:r>
              <w:rPr>
                <w:rFonts w:ascii="Times New Roman" w:cs="Times New Roman" w:eastAsia="Times New Roman" w:hAnsi="Times New Roman"/>
                <w:sz w:val="18"/>
                <w:szCs w:val="18"/>
                <w:b w:val="1"/>
                <w:bCs w:val="1"/>
                <w:color w:val="auto"/>
                <w:w w:val="97"/>
              </w:rPr>
              <w:t>Offset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line="200"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05"/>
              <w:spacing w:after="0" w:line="200" w:lineRule="exact"/>
              <w:rPr>
                <w:sz w:val="20"/>
                <w:szCs w:val="20"/>
                <w:color w:val="auto"/>
              </w:rPr>
            </w:pPr>
            <w:r>
              <w:rPr>
                <w:rFonts w:ascii="Times New Roman" w:cs="Times New Roman" w:eastAsia="Times New Roman" w:hAnsi="Times New Roman"/>
                <w:sz w:val="18"/>
                <w:szCs w:val="18"/>
                <w:b w:val="1"/>
                <w:bCs w:val="1"/>
                <w:color w:val="auto"/>
                <w:w w:val="96"/>
              </w:rPr>
              <w:t>in the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6"/>
              </w:rPr>
              <w:t>in the</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tcPr>
          <w:p>
            <w:pPr>
              <w:spacing w:after="0"/>
              <w:rPr>
                <w:sz w:val="18"/>
                <w:szCs w:val="18"/>
                <w:color w:val="auto"/>
              </w:rPr>
            </w:pPr>
          </w:p>
        </w:tc>
        <w:tc>
          <w:tcPr>
            <w:tcW w:w="1260" w:type="dxa"/>
            <w:vAlign w:val="bottom"/>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80" w:type="dxa"/>
            <w:vAlign w:val="bottom"/>
          </w:tcPr>
          <w:p>
            <w:pPr>
              <w:spacing w:after="0"/>
              <w:rPr>
                <w:sz w:val="18"/>
                <w:szCs w:val="18"/>
                <w:color w:val="auto"/>
              </w:rPr>
            </w:pPr>
          </w:p>
        </w:tc>
        <w:tc>
          <w:tcPr>
            <w:tcW w:w="1320" w:type="dxa"/>
            <w:vAlign w:val="bottom"/>
            <w:gridSpan w:val="3"/>
          </w:tcPr>
          <w:p>
            <w:pPr>
              <w:jc w:val="center"/>
              <w:ind w:right="6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0" w:type="dxa"/>
            <w:vAlign w:val="bottom"/>
          </w:tcPr>
          <w:p>
            <w:pPr>
              <w:spacing w:after="0"/>
              <w:rPr>
                <w:sz w:val="1"/>
                <w:szCs w:val="1"/>
                <w:color w:val="auto"/>
              </w:rPr>
            </w:pPr>
          </w:p>
        </w:tc>
      </w:tr>
      <w:tr>
        <w:trPr>
          <w:trHeight w:val="248"/>
        </w:trPr>
        <w:tc>
          <w:tcPr>
            <w:tcW w:w="5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December 31, 2022:</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 asset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120" w:type="dxa"/>
            <w:vAlign w:val="bottom"/>
          </w:tcPr>
          <w:p>
            <w:pPr>
              <w:spacing w:after="0"/>
              <w:rPr>
                <w:sz w:val="22"/>
                <w:szCs w:val="22"/>
                <w:color w:val="auto"/>
              </w:rPr>
            </w:pP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Swaption asset . . . . . . . .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rPr>
                <w:sz w:val="1"/>
                <w:szCs w:val="1"/>
                <w:color w:val="auto"/>
              </w:rPr>
            </w:pPr>
          </w:p>
        </w:tc>
      </w:tr>
      <w:tr>
        <w:trPr>
          <w:trHeight w:val="239"/>
        </w:trPr>
        <w:tc>
          <w:tcPr>
            <w:tcW w:w="5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December 31, 2021:</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 liability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(992)</w:t>
            </w: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There were no collateral balances with counterparties outstanding as of the period-end dates.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Commodity swap contracts</w:t>
      </w:r>
    </w:p>
    <w:p>
      <w:pPr>
        <w:spacing w:after="0" w:line="177" w:lineRule="exact"/>
        <w:rPr>
          <w:sz w:val="20"/>
          <w:szCs w:val="20"/>
          <w:color w:val="auto"/>
        </w:rPr>
      </w:pPr>
    </w:p>
    <w:p>
      <w:pPr>
        <w:jc w:val="both"/>
        <w:ind w:left="660" w:right="560" w:firstLine="480"/>
        <w:spacing w:after="0" w:line="264" w:lineRule="auto"/>
        <w:rPr>
          <w:sz w:val="20"/>
          <w:szCs w:val="20"/>
          <w:color w:val="auto"/>
        </w:rPr>
      </w:pPr>
      <w:r>
        <w:rPr>
          <w:rFonts w:ascii="Times New Roman" w:cs="Times New Roman" w:eastAsia="Times New Roman" w:hAnsi="Times New Roman"/>
          <w:sz w:val="19"/>
          <w:szCs w:val="19"/>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w:t>
      </w:r>
    </w:p>
    <w:p>
      <w:pPr>
        <w:sectPr>
          <w:pgSz w:w="12240" w:h="15846" w:orient="portrait"/>
          <w:cols w:equalWidth="0" w:num="1">
            <w:col w:w="10580"/>
          </w:cols>
          <w:pgMar w:left="780" w:top="947" w:right="886"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F-40</w:t>
      </w:r>
    </w:p>
    <w:p>
      <w:pPr>
        <w:sectPr>
          <w:pgSz w:w="12240" w:h="15846" w:orient="portrait"/>
          <w:cols w:equalWidth="0" w:num="1">
            <w:col w:w="10580"/>
          </w:cols>
          <w:pgMar w:left="780" w:top="947" w:right="886" w:bottom="353" w:gutter="0" w:footer="0" w:header="0"/>
          <w:type w:val="continuous"/>
        </w:sectPr>
      </w:pPr>
    </w:p>
    <w:bookmarkStart w:id="152" w:name="page153"/>
    <w:bookmarkEnd w:id="152"/>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173"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The commodity swap contract ended in September 2022 when the facility was shut down.</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 xml:space="preserve">Additionally, the Company entered into an ISDA agreement with Mendocino Capital LLC (“NextEra”), a related party in November 2019. Pursuant to the agreement, the Company entered into swaps with contract prices ranging between $35.75 and $51.25 per MWh. The swaps expired in December 2022. Upon the expiry of these swaps, the Company entered into two additional commodity swaps in October 2022 for a period of two years with contract prices ranging between $65.50 and $68.50 per MWh. The swaps are expected to be settled by physical delivery on a monthly basis. The Company elected the normal purchase normal sale exclusion and will not apply fair value accounting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The Company will continue to assess its normal purchase and normal sale election on a quarterly basis.</w:t>
      </w:r>
    </w:p>
    <w:p>
      <w:pPr>
        <w:spacing w:after="0" w:line="171"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Company entered into a new commodity swap with NextEra in November 2022 for a period of two years at a contract price of $81.50 per MWh.</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commodity swaps in place as of December 31, 2022 and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43"/>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Quantity per</w:t>
            </w:r>
          </w:p>
        </w:tc>
        <w:tc>
          <w:tcPr>
            <w:tcW w:w="1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Contract Price</w:t>
            </w:r>
          </w:p>
        </w:tc>
      </w:tr>
      <w:tr>
        <w:trPr>
          <w:trHeight w:val="210"/>
        </w:trPr>
        <w:tc>
          <w:tcPr>
            <w:tcW w:w="30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Trade Date</w:t>
            </w:r>
          </w:p>
        </w:tc>
        <w:tc>
          <w:tcPr>
            <w:tcW w:w="180" w:type="dxa"/>
            <w:vAlign w:val="bottom"/>
          </w:tcPr>
          <w:p>
            <w:pPr>
              <w:spacing w:after="0"/>
              <w:rPr>
                <w:sz w:val="18"/>
                <w:szCs w:val="18"/>
                <w:color w:val="auto"/>
              </w:rPr>
            </w:pPr>
          </w:p>
        </w:tc>
        <w:tc>
          <w:tcPr>
            <w:tcW w:w="14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80" w:type="dxa"/>
            <w:vAlign w:val="bottom"/>
          </w:tcPr>
          <w:p>
            <w:pPr>
              <w:spacing w:after="0"/>
              <w:rPr>
                <w:sz w:val="18"/>
                <w:szCs w:val="18"/>
                <w:color w:val="auto"/>
              </w:rPr>
            </w:pPr>
          </w:p>
        </w:tc>
        <w:tc>
          <w:tcPr>
            <w:tcW w:w="1740" w:type="dxa"/>
            <w:vAlign w:val="bottom"/>
            <w:gridSpan w:val="2"/>
          </w:tcPr>
          <w:p>
            <w:pPr>
              <w:jc w:val="right"/>
              <w:ind w:right="600"/>
              <w:spacing w:after="0" w:line="201" w:lineRule="exact"/>
              <w:rPr>
                <w:sz w:val="20"/>
                <w:szCs w:val="20"/>
                <w:color w:val="auto"/>
              </w:rPr>
            </w:pPr>
            <w:r>
              <w:rPr>
                <w:rFonts w:ascii="Times New Roman" w:cs="Times New Roman" w:eastAsia="Times New Roman" w:hAnsi="Times New Roman"/>
                <w:sz w:val="18"/>
                <w:szCs w:val="18"/>
                <w:b w:val="1"/>
                <w:bCs w:val="1"/>
                <w:color w:val="auto"/>
              </w:rPr>
              <w:t>Period To</w:t>
            </w:r>
          </w:p>
        </w:tc>
        <w:tc>
          <w:tcPr>
            <w:tcW w:w="12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Year (“MWh”)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43"/>
              <w:spacing w:after="0" w:line="201" w:lineRule="exact"/>
              <w:rPr>
                <w:sz w:val="20"/>
                <w:szCs w:val="20"/>
                <w:color w:val="auto"/>
              </w:rPr>
            </w:pPr>
            <w:r>
              <w:rPr>
                <w:rFonts w:ascii="Times New Roman" w:cs="Times New Roman" w:eastAsia="Times New Roman" w:hAnsi="Times New Roman"/>
                <w:sz w:val="18"/>
                <w:szCs w:val="18"/>
                <w:b w:val="1"/>
                <w:bCs w:val="1"/>
                <w:color w:val="auto"/>
                <w:w w:val="98"/>
              </w:rPr>
              <w:t>(per MWh)</w:t>
            </w:r>
          </w:p>
        </w:tc>
      </w:tr>
      <w:tr>
        <w:trPr>
          <w:trHeight w:val="247"/>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8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6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October 17, 2022 . . . . . . . . . . . . . . . . .</w:t>
            </w:r>
          </w:p>
        </w:tc>
        <w:tc>
          <w:tcPr>
            <w:tcW w:w="33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January 1, 2023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68.50</w:t>
            </w:r>
          </w:p>
        </w:tc>
      </w:tr>
      <w:tr>
        <w:trPr>
          <w:trHeight w:val="26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October 17, 2022 . . . . . . . . . . . . . . . . .</w:t>
            </w:r>
          </w:p>
        </w:tc>
        <w:tc>
          <w:tcPr>
            <w:tcW w:w="33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January 1, 2023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65.50</w:t>
            </w:r>
          </w:p>
        </w:tc>
      </w:tr>
      <w:tr>
        <w:trPr>
          <w:trHeight w:val="26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November 17, 2022 . . . . . . . . . . . . . . .</w:t>
            </w:r>
          </w:p>
        </w:tc>
        <w:tc>
          <w:tcPr>
            <w:tcW w:w="1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January 1, 2023</w:t>
            </w:r>
          </w:p>
        </w:tc>
        <w:tc>
          <w:tcPr>
            <w:tcW w:w="180" w:type="dxa"/>
            <w:vAlign w:val="bottom"/>
          </w:tcPr>
          <w:p>
            <w:pPr>
              <w:spacing w:after="0"/>
              <w:rPr>
                <w:sz w:val="22"/>
                <w:szCs w:val="22"/>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81.50</w:t>
            </w:r>
          </w:p>
        </w:tc>
      </w:tr>
      <w:tr>
        <w:trPr>
          <w:trHeight w:val="400"/>
        </w:trPr>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14, 2018 . . . . . . . . . . . . . . .</w:t>
            </w:r>
          </w:p>
        </w:tc>
        <w:tc>
          <w:tcPr>
            <w:tcW w:w="1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January 1, 2019</w:t>
            </w:r>
          </w:p>
        </w:tc>
        <w:tc>
          <w:tcPr>
            <w:tcW w:w="180" w:type="dxa"/>
            <w:vAlign w:val="bottom"/>
          </w:tcPr>
          <w:p>
            <w:pPr>
              <w:spacing w:after="0"/>
              <w:rPr>
                <w:sz w:val="22"/>
                <w:szCs w:val="22"/>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September 30,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66.12</w:t>
            </w:r>
          </w:p>
        </w:tc>
      </w:tr>
      <w:tr>
        <w:trPr>
          <w:trHeight w:val="260"/>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w w:val="96"/>
              </w:rPr>
              <w:t>October 28, 2021 . . . . . . . . . . . . . . . . .</w:t>
            </w:r>
          </w:p>
        </w:tc>
        <w:tc>
          <w:tcPr>
            <w:tcW w:w="352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November 1, 2021  December 31,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48.75</w:t>
            </w:r>
          </w:p>
        </w:tc>
      </w:tr>
      <w:tr>
        <w:trPr>
          <w:trHeight w:val="26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27, 2021 . . . . . . . . . . . . . . .</w:t>
            </w:r>
          </w:p>
        </w:tc>
        <w:tc>
          <w:tcPr>
            <w:tcW w:w="1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January 1, 2022</w:t>
            </w:r>
          </w:p>
        </w:tc>
        <w:tc>
          <w:tcPr>
            <w:tcW w:w="180" w:type="dxa"/>
            <w:vAlign w:val="bottom"/>
          </w:tcPr>
          <w:p>
            <w:pPr>
              <w:spacing w:after="0"/>
              <w:rPr>
                <w:sz w:val="22"/>
                <w:szCs w:val="22"/>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December 31,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50.75</w:t>
            </w:r>
          </w:p>
        </w:tc>
      </w:tr>
    </w:tbl>
    <w:p>
      <w:pPr>
        <w:spacing w:after="0" w:line="15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effect of commodity swaps on the consolidated statements of operations for the years ended December 31, 2022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9"/>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180" w:type="dxa"/>
            <w:vAlign w:val="bottom"/>
          </w:tcPr>
          <w:p>
            <w:pPr>
              <w:spacing w:after="0"/>
              <w:rPr>
                <w:sz w:val="19"/>
                <w:szCs w:val="19"/>
                <w:color w:val="auto"/>
              </w:rPr>
            </w:pPr>
          </w:p>
        </w:tc>
        <w:tc>
          <w:tcPr>
            <w:tcW w:w="2500" w:type="dxa"/>
            <w:vAlign w:val="bottom"/>
            <w:tcBorders>
              <w:bottom w:val="single" w:sz="8" w:color="auto"/>
            </w:tcBorders>
            <w:gridSpan w:val="3"/>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9"/>
        </w:trPr>
        <w:tc>
          <w:tcPr>
            <w:tcW w:w="400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80" w:type="dxa"/>
            <w:vAlign w:val="bottom"/>
          </w:tcPr>
          <w:p>
            <w:pPr>
              <w:spacing w:after="0"/>
              <w:rPr>
                <w:sz w:val="17"/>
                <w:szCs w:val="17"/>
                <w:color w:val="auto"/>
              </w:rPr>
            </w:pPr>
          </w:p>
        </w:tc>
        <w:tc>
          <w:tcPr>
            <w:tcW w:w="2380" w:type="dxa"/>
            <w:vAlign w:val="bottom"/>
            <w:tcBorders>
              <w:bottom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gain recognized</w:t>
            </w:r>
          </w:p>
        </w:tc>
        <w:tc>
          <w:tcPr>
            <w:tcW w:w="180" w:type="dxa"/>
            <w:vAlign w:val="bottom"/>
          </w:tcPr>
          <w:p>
            <w:pPr>
              <w:spacing w:after="0"/>
              <w:rPr>
                <w:sz w:val="17"/>
                <w:szCs w:val="17"/>
                <w:color w:val="auto"/>
              </w:rPr>
            </w:pPr>
          </w:p>
        </w:tc>
        <w:tc>
          <w:tcPr>
            <w:tcW w:w="1160" w:type="dxa"/>
            <w:vAlign w:val="bottom"/>
            <w:tcBorders>
              <w:bottom w:val="single" w:sz="8" w:color="auto"/>
            </w:tcBorders>
          </w:tcPr>
          <w:p>
            <w:pPr>
              <w:ind w:left="400"/>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7"/>
                <w:szCs w:val="17"/>
                <w:color w:val="auto"/>
              </w:rPr>
            </w:pPr>
          </w:p>
        </w:tc>
        <w:tc>
          <w:tcPr>
            <w:tcW w:w="1160" w:type="dxa"/>
            <w:vAlign w:val="bottom"/>
            <w:tcBorders>
              <w:bottom w:val="single" w:sz="8" w:color="auto"/>
            </w:tcBorders>
          </w:tcPr>
          <w:p>
            <w:pPr>
              <w:jc w:val="right"/>
              <w:ind w:right="310"/>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r>
    </w:tbl>
    <w:p>
      <w:pPr>
        <w:spacing w:after="0" w:line="18" w:lineRule="exact"/>
        <w:rPr>
          <w:sz w:val="20"/>
          <w:szCs w:val="20"/>
          <w:color w:val="auto"/>
        </w:rPr>
      </w:pPr>
    </w:p>
    <w:p>
      <w:pPr>
        <w:sectPr>
          <w:pgSz w:w="12240" w:h="15846" w:orient="portrait"/>
          <w:cols w:equalWidth="0" w:num="1">
            <w:col w:w="9366"/>
          </w:cols>
          <w:pgMar w:left="1440" w:top="947" w:right="1440" w:bottom="353"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Commodity swaps – realized loss . . . . . . . . . . . . . .  Revenues – Renewable power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Commodity swaps – unrealized gain (loss) . . . . . .  Revenues – Renewable power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 realized and unrealized gain (loss) . . . . . . . . .  Revenues – Renewable power</w:t>
      </w:r>
    </w:p>
    <w:p>
      <w:pPr>
        <w:spacing w:after="0" w:line="20" w:lineRule="exact"/>
        <w:rPr>
          <w:sz w:val="20"/>
          <w:szCs w:val="20"/>
          <w:color w:val="auto"/>
        </w:rPr>
      </w:pPr>
      <w:r>
        <w:rPr>
          <w:sz w:val="20"/>
          <w:szCs w:val="20"/>
          <w:color w:val="auto"/>
        </w:rPr>
        <w:br w:type="column"/>
      </w:r>
    </w:p>
    <w:p>
      <w:pPr>
        <w:spacing w:after="0"/>
        <w:tabs>
          <w:tab w:leader="none" w:pos="620" w:val="left"/>
          <w:tab w:leader="none" w:pos="22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(1,757) $</w:t>
      </w:r>
      <w:r>
        <w:rPr>
          <w:sz w:val="20"/>
          <w:szCs w:val="20"/>
          <w:color w:val="auto"/>
        </w:rPr>
        <w:tab/>
      </w:r>
      <w:r>
        <w:rPr>
          <w:rFonts w:ascii="Times New Roman" w:cs="Times New Roman" w:eastAsia="Times New Roman" w:hAnsi="Times New Roman"/>
          <w:sz w:val="20"/>
          <w:szCs w:val="20"/>
          <w:color w:val="auto"/>
        </w:rPr>
        <w:t>(22)</w:t>
      </w:r>
    </w:p>
    <w:p>
      <w:pPr>
        <w:spacing w:after="0" w:line="37" w:lineRule="exact"/>
        <w:rPr>
          <w:sz w:val="20"/>
          <w:szCs w:val="20"/>
          <w:color w:val="auto"/>
        </w:rPr>
      </w:pPr>
    </w:p>
    <w:p>
      <w:pPr>
        <w:ind w:left="1980" w:hanging="1193"/>
        <w:spacing w:after="0"/>
        <w:tabs>
          <w:tab w:leader="none" w:pos="198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(1,148)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6985</wp:posOffset>
                </wp:positionV>
                <wp:extent cx="7366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5pt" to="58pt,0.5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850900</wp:posOffset>
                </wp:positionH>
                <wp:positionV relativeFrom="paragraph">
                  <wp:posOffset>6985</wp:posOffset>
                </wp:positionV>
                <wp:extent cx="7366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pt,0.55pt" to="125pt,0.55pt" o:allowincell="f" strokecolor="#000000" strokeweight="0.5pt"/>
            </w:pict>
          </mc:Fallback>
        </mc:AlternateContent>
      </w:r>
    </w:p>
    <w:p>
      <w:pPr>
        <w:spacing w:after="0" w:line="15" w:lineRule="exact"/>
        <w:rPr>
          <w:sz w:val="20"/>
          <w:szCs w:val="20"/>
          <w:color w:val="auto"/>
        </w:rPr>
      </w:pPr>
    </w:p>
    <w:p>
      <w:pPr>
        <w:spacing w:after="0"/>
        <w:tabs>
          <w:tab w:leader="none" w:pos="620" w:val="left"/>
          <w:tab w:leader="none" w:pos="19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(2,269) $</w:t>
      </w:r>
      <w:r>
        <w:rPr>
          <w:sz w:val="20"/>
          <w:szCs w:val="20"/>
          <w:color w:val="auto"/>
        </w:rPr>
        <w:tab/>
      </w:r>
      <w:r>
        <w:rPr>
          <w:rFonts w:ascii="Times New Roman" w:cs="Times New Roman" w:eastAsia="Times New Roman" w:hAnsi="Times New Roman"/>
          <w:sz w:val="19"/>
          <w:szCs w:val="19"/>
          <w:color w:val="auto"/>
        </w:rPr>
        <w:t>(1,170)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7366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58pt,0.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7366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58pt,1.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850900</wp:posOffset>
                </wp:positionH>
                <wp:positionV relativeFrom="paragraph">
                  <wp:posOffset>3810</wp:posOffset>
                </wp:positionV>
                <wp:extent cx="7366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pt,0.3pt" to="125pt,0.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850900</wp:posOffset>
                </wp:positionH>
                <wp:positionV relativeFrom="paragraph">
                  <wp:posOffset>17145</wp:posOffset>
                </wp:positionV>
                <wp:extent cx="7366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pt,1.35pt" to="125pt,1.35pt" o:allowincell="f" strokecolor="#000000" strokeweight="0.499pt"/>
            </w:pict>
          </mc:Fallback>
        </mc:AlternateContent>
      </w:r>
    </w:p>
    <w:p>
      <w:pPr>
        <w:spacing w:after="0" w:line="200" w:lineRule="exact"/>
        <w:rPr>
          <w:sz w:val="20"/>
          <w:szCs w:val="20"/>
          <w:color w:val="auto"/>
        </w:rPr>
      </w:pPr>
    </w:p>
    <w:p>
      <w:pPr>
        <w:sectPr>
          <w:pgSz w:w="12240" w:h="15846" w:orient="portrait"/>
          <w:cols w:equalWidth="0" w:num="2">
            <w:col w:w="6560" w:space="180"/>
            <w:col w:w="2626"/>
          </w:cols>
          <w:pgMar w:left="1440" w:top="947"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F-41</w:t>
      </w:r>
    </w:p>
    <w:p>
      <w:pPr>
        <w:sectPr>
          <w:pgSz w:w="12240" w:h="15846" w:orient="portrait"/>
          <w:cols w:equalWidth="0" w:num="1">
            <w:col w:w="9366"/>
          </w:cols>
          <w:pgMar w:left="1440" w:top="947" w:right="1440" w:bottom="353" w:gutter="0" w:footer="0" w:header="0"/>
          <w:type w:val="continuous"/>
        </w:sectPr>
      </w:pPr>
    </w:p>
    <w:bookmarkStart w:id="153" w:name="page154"/>
    <w:bookmarkEnd w:id="153"/>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derivative assets and liabilities related to commodity swaps as of December 31, 2022 and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7"/>
        </w:trPr>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08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2"/>
          </w:tcPr>
          <w:p>
            <w:pPr>
              <w:jc w:val="center"/>
              <w:ind w:right="40"/>
              <w:spacing w:after="0" w:line="187" w:lineRule="exact"/>
              <w:rPr>
                <w:sz w:val="20"/>
                <w:szCs w:val="20"/>
                <w:color w:val="auto"/>
              </w:rPr>
            </w:pPr>
            <w:r>
              <w:rPr>
                <w:rFonts w:ascii="Times New Roman" w:cs="Times New Roman" w:eastAsia="Times New Roman" w:hAnsi="Times New Roman"/>
                <w:sz w:val="18"/>
                <w:szCs w:val="18"/>
                <w:b w:val="1"/>
                <w:bCs w:val="1"/>
                <w:color w:val="auto"/>
                <w:w w:val="98"/>
              </w:rPr>
              <w:t>Location of Fair value recognized in</w:t>
            </w:r>
          </w:p>
        </w:tc>
      </w:tr>
      <w:tr>
        <w:trPr>
          <w:trHeight w:val="199"/>
        </w:trPr>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65"/>
              <w:spacing w:after="0" w:line="200"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263"/>
              <w:spacing w:after="0" w:line="200"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r>
      <w:tr>
        <w:trPr>
          <w:trHeight w:val="205"/>
        </w:trPr>
        <w:tc>
          <w:tcPr>
            <w:tcW w:w="31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Derivatives designated as economic</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31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hedges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1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Current portion of unrealized gain 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1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commodity swaps . . . . . . . . . . . . . .</w:t>
            </w:r>
          </w:p>
        </w:tc>
        <w:tc>
          <w:tcPr>
            <w:tcW w:w="32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382</w:t>
            </w:r>
          </w:p>
        </w:tc>
        <w:tc>
          <w:tcPr>
            <w:tcW w:w="20" w:type="dxa"/>
            <w:vAlign w:val="bottom"/>
          </w:tcPr>
          <w:p>
            <w:pPr>
              <w:spacing w:after="0"/>
              <w:rPr>
                <w:sz w:val="19"/>
                <w:szCs w:val="19"/>
                <w:color w:val="auto"/>
              </w:rPr>
            </w:pPr>
          </w:p>
        </w:tc>
        <w:tc>
          <w:tcPr>
            <w:tcW w:w="3700" w:type="dxa"/>
            <w:vAlign w:val="bottom"/>
            <w:gridSpan w:val="3"/>
          </w:tcPr>
          <w:p>
            <w:pPr>
              <w:ind w:left="160"/>
              <w:spacing w:after="0" w:line="220" w:lineRule="exact"/>
              <w:rPr>
                <w:sz w:val="20"/>
                <w:szCs w:val="20"/>
                <w:color w:val="auto"/>
              </w:rPr>
            </w:pPr>
            <w:r>
              <w:rPr>
                <w:rFonts w:ascii="Times New Roman" w:cs="Times New Roman" w:eastAsia="Times New Roman" w:hAnsi="Times New Roman"/>
                <w:sz w:val="20"/>
                <w:szCs w:val="20"/>
                <w:color w:val="auto"/>
              </w:rPr>
              <w:t>Derivative financial asset, current portion</w:t>
            </w:r>
          </w:p>
        </w:tc>
      </w:tr>
      <w:tr>
        <w:trPr>
          <w:trHeight w:val="220"/>
        </w:trPr>
        <w:tc>
          <w:tcPr>
            <w:tcW w:w="31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Current portion of unrealized loss 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1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commodity swaps . . . . . . . . . . . . .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(130)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700" w:type="dxa"/>
            <w:vAlign w:val="bottom"/>
            <w:gridSpan w:val="3"/>
          </w:tcPr>
          <w:p>
            <w:pPr>
              <w:jc w:val="center"/>
              <w:ind w:left="60"/>
              <w:spacing w:after="0" w:line="223" w:lineRule="exact"/>
              <w:rPr>
                <w:sz w:val="20"/>
                <w:szCs w:val="20"/>
                <w:color w:val="auto"/>
              </w:rPr>
            </w:pPr>
            <w:r>
              <w:rPr>
                <w:rFonts w:ascii="Times New Roman" w:cs="Times New Roman" w:eastAsia="Times New Roman" w:hAnsi="Times New Roman"/>
                <w:sz w:val="20"/>
                <w:szCs w:val="20"/>
                <w:color w:val="auto"/>
                <w:w w:val="99"/>
              </w:rPr>
              <w:t>Derivative financial liability, current portion</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derivative liabilities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 xml:space="preserve">On July 21, 2022, the Company recorded derivative liabilities for the outstanding Public Warrants and Private Warrants, put option to Meteora, the Sponsor Earnout Awards and the OPAL Earnout Awards. Please see Note 3.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 xml:space="preserve"> for additional information. The change in fair value on these derivative instruments in recorded as change in fair value of derivative instruments, net in the consolidated statement of operations for the year ended December 31, 2022.</w:t>
      </w:r>
    </w:p>
    <w:p>
      <w:pPr>
        <w:spacing w:after="0" w:line="172"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effect of change in fair value of other derivative liabilities on the consolidated statements of operations for the years ended December 31,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9"/>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38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w w:val="99"/>
              </w:rPr>
              <w:t>Location of (Loss) Gain Recognized</w:t>
            </w: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Derivative liability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63"/>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8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in Operations from Derivatives</w:t>
            </w:r>
          </w:p>
        </w:tc>
      </w:tr>
      <w:tr>
        <w:trPr>
          <w:trHeight w:val="225"/>
        </w:trPr>
        <w:tc>
          <w:tcPr>
            <w:tcW w:w="376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Contingent liability payable to non-controlling</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Borders>
              <w:top w:val="single" w:sz="8" w:color="auto"/>
            </w:tcBorders>
          </w:tcPr>
          <w:p>
            <w:pPr>
              <w:spacing w:after="0"/>
              <w:rPr>
                <w:sz w:val="19"/>
                <w:szCs w:val="19"/>
                <w:color w:val="auto"/>
              </w:rPr>
            </w:pPr>
          </w:p>
        </w:tc>
      </w:tr>
      <w:tr>
        <w:trPr>
          <w:trHeight w:val="223"/>
        </w:trPr>
        <w:tc>
          <w:tcPr>
            <w:tcW w:w="37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w w:val="98"/>
              </w:rPr>
              <w:t>interest . . . . . . . . . . . . . . . . . . . . . . . . . . . . . .</w:t>
            </w:r>
          </w:p>
        </w:tc>
        <w:tc>
          <w:tcPr>
            <w:tcW w:w="38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4,365</w:t>
            </w:r>
          </w:p>
        </w:tc>
        <w:tc>
          <w:tcPr>
            <w:tcW w:w="120" w:type="dxa"/>
            <w:vAlign w:val="bottom"/>
          </w:tcPr>
          <w:p>
            <w:pPr>
              <w:spacing w:after="0"/>
              <w:rPr>
                <w:sz w:val="19"/>
                <w:szCs w:val="19"/>
                <w:color w:val="auto"/>
              </w:rPr>
            </w:pPr>
          </w:p>
        </w:tc>
        <w:tc>
          <w:tcPr>
            <w:tcW w:w="880" w:type="dxa"/>
            <w:vAlign w:val="bottom"/>
            <w:gridSpan w:val="2"/>
          </w:tcPr>
          <w:p>
            <w:pPr>
              <w:jc w:val="right"/>
              <w:ind w:right="7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220" w:type="dxa"/>
            <w:vAlign w:val="bottom"/>
            <w:gridSpan w:val="3"/>
          </w:tcPr>
          <w:p>
            <w:pPr>
              <w:ind w:left="6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0"/>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w w:val="99"/>
              </w:rPr>
              <w:t>Put option to Meteora . . . . . . . . . . . . . . . . . . . .</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w w:val="98"/>
              </w:rPr>
              <w:t>Sponsor Earnout Awards . . . . . . . . . . . . . . . . . .</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w w:val="98"/>
              </w:rPr>
              <w:t>OPAL Earnout Awards . . . . . . . . . . . . . . . . . . .</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w w:val="99"/>
              </w:rPr>
              <w:t>Public and Private Warrants . . . . . . . . . . . . . . .</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(9,027)</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t>
            </w:r>
          </w:p>
        </w:tc>
      </w:tr>
      <w:tr>
        <w:trPr>
          <w:trHeight w:val="237"/>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9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Change in fair value of derivative</w:t>
            </w:r>
          </w:p>
        </w:tc>
      </w:tr>
      <w:tr>
        <w:trPr>
          <w:trHeight w:val="215"/>
        </w:trPr>
        <w:tc>
          <w:tcPr>
            <w:tcW w:w="3760" w:type="dxa"/>
            <w:vAlign w:val="bottom"/>
          </w:tcPr>
          <w:p>
            <w:pPr>
              <w:spacing w:after="0"/>
              <w:rPr>
                <w:sz w:val="18"/>
                <w:szCs w:val="18"/>
                <w:color w:val="auto"/>
              </w:rPr>
            </w:pPr>
          </w:p>
        </w:tc>
        <w:tc>
          <w:tcPr>
            <w:tcW w:w="380" w:type="dxa"/>
            <w:vAlign w:val="bottom"/>
            <w:gridSpan w:val="2"/>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32,583</w:t>
            </w:r>
          </w:p>
        </w:tc>
        <w:tc>
          <w:tcPr>
            <w:tcW w:w="120" w:type="dxa"/>
            <w:vAlign w:val="bottom"/>
          </w:tcPr>
          <w:p>
            <w:pPr>
              <w:spacing w:after="0"/>
              <w:rPr>
                <w:sz w:val="18"/>
                <w:szCs w:val="18"/>
                <w:color w:val="auto"/>
              </w:rPr>
            </w:pPr>
          </w:p>
        </w:tc>
        <w:tc>
          <w:tcPr>
            <w:tcW w:w="880" w:type="dxa"/>
            <w:vAlign w:val="bottom"/>
            <w:gridSpan w:val="2"/>
          </w:tcPr>
          <w:p>
            <w:pPr>
              <w:jc w:val="right"/>
              <w:ind w:right="7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3220" w:type="dxa"/>
            <w:vAlign w:val="bottom"/>
            <w:gridSpan w:val="3"/>
          </w:tcPr>
          <w:p>
            <w:pPr>
              <w:ind w:left="60"/>
              <w:spacing w:after="0" w:line="215" w:lineRule="exact"/>
              <w:rPr>
                <w:sz w:val="20"/>
                <w:szCs w:val="20"/>
                <w:color w:val="auto"/>
              </w:rPr>
            </w:pPr>
            <w:r>
              <w:rPr>
                <w:rFonts w:ascii="Times New Roman" w:cs="Times New Roman" w:eastAsia="Times New Roman" w:hAnsi="Times New Roman"/>
                <w:sz w:val="20"/>
                <w:szCs w:val="20"/>
                <w:color w:val="auto"/>
              </w:rPr>
              <w:t>—  instruments, net</w:t>
            </w:r>
          </w:p>
        </w:tc>
      </w:tr>
      <w:tr>
        <w:trPr>
          <w:trHeight w:val="20"/>
        </w:trPr>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69"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carrying value of the Company’s long-term debt of $88,312 and $134,083 as of December 31, 2022 and December 31, 2021, respectively, represents the total amount to be repaid if the debt has to be discharged in full and therefore approximates its fair value.</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F-42</w:t>
      </w:r>
    </w:p>
    <w:p>
      <w:pPr>
        <w:sectPr>
          <w:pgSz w:w="12240" w:h="15846" w:orient="portrait"/>
          <w:cols w:equalWidth="0" w:num="1">
            <w:col w:w="9366"/>
          </w:cols>
          <w:pgMar w:left="1440" w:top="947" w:right="1440" w:bottom="353" w:gutter="0" w:footer="0" w:header="0"/>
          <w:type w:val="continuous"/>
        </w:sectPr>
      </w:pPr>
    </w:p>
    <w:bookmarkStart w:id="154" w:name="page155"/>
    <w:bookmarkEnd w:id="154"/>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 xml:space="preserve">The Company follows ASC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regarding fair value measurements which establishes a three-tier fair value hierarchy and prioritizes the inputs used in valuation techniques that measure fair value. These tiers include:</w:t>
      </w:r>
    </w:p>
    <w:p>
      <w:pPr>
        <w:spacing w:after="0" w:line="206" w:lineRule="exact"/>
        <w:rPr>
          <w:sz w:val="20"/>
          <w:szCs w:val="20"/>
          <w:color w:val="auto"/>
        </w:rPr>
      </w:pPr>
    </w:p>
    <w:p>
      <w:pPr>
        <w:ind w:left="540"/>
        <w:spacing w:after="0"/>
        <w:tabs>
          <w:tab w:leader="none" w:pos="1520" w:val="left"/>
        </w:tabs>
        <w:rPr>
          <w:sz w:val="20"/>
          <w:szCs w:val="20"/>
          <w:color w:val="auto"/>
        </w:rPr>
      </w:pPr>
      <w:r>
        <w:rPr>
          <w:rFonts w:ascii="Times New Roman" w:cs="Times New Roman" w:eastAsia="Times New Roman" w:hAnsi="Times New Roman"/>
          <w:sz w:val="20"/>
          <w:szCs w:val="20"/>
          <w:color w:val="auto"/>
        </w:rPr>
        <w:t>Level 1 —</w:t>
      </w:r>
      <w:r>
        <w:rPr>
          <w:sz w:val="20"/>
          <w:szCs w:val="20"/>
          <w:color w:val="auto"/>
        </w:rPr>
        <w:tab/>
      </w:r>
      <w:r>
        <w:rPr>
          <w:rFonts w:ascii="Times New Roman" w:cs="Times New Roman" w:eastAsia="Times New Roman" w:hAnsi="Times New Roman"/>
          <w:sz w:val="19"/>
          <w:szCs w:val="19"/>
          <w:color w:val="auto"/>
        </w:rPr>
        <w:t>defined as observable inputs such as quoted prices for identical instruments in active markets;</w:t>
      </w:r>
    </w:p>
    <w:p>
      <w:pPr>
        <w:spacing w:after="0" w:line="177" w:lineRule="exact"/>
        <w:rPr>
          <w:sz w:val="20"/>
          <w:szCs w:val="20"/>
          <w:color w:val="auto"/>
        </w:rPr>
      </w:pPr>
    </w:p>
    <w:p>
      <w:pPr>
        <w:jc w:val="both"/>
        <w:ind w:left="1540" w:right="86" w:hanging="999"/>
        <w:spacing w:after="0" w:line="246" w:lineRule="auto"/>
        <w:tabs>
          <w:tab w:leader="none" w:pos="1520" w:val="left"/>
        </w:tabs>
        <w:rPr>
          <w:sz w:val="20"/>
          <w:szCs w:val="20"/>
          <w:color w:val="auto"/>
        </w:rPr>
      </w:pPr>
      <w:r>
        <w:rPr>
          <w:rFonts w:ascii="Times New Roman" w:cs="Times New Roman" w:eastAsia="Times New Roman" w:hAnsi="Times New Roman"/>
          <w:sz w:val="20"/>
          <w:szCs w:val="20"/>
          <w:color w:val="auto"/>
        </w:rPr>
        <w:t>Level 2 —</w:t>
        <w:tab/>
        <w:t>defined as quoted prices for similar instruments in active market, quoted prices for identical or similar instruments in markets that are not active, or model-derived valuations for which all significant inputs are observable market data;</w:t>
      </w:r>
    </w:p>
    <w:p>
      <w:pPr>
        <w:spacing w:after="0" w:line="173" w:lineRule="exact"/>
        <w:rPr>
          <w:sz w:val="20"/>
          <w:szCs w:val="20"/>
          <w:color w:val="auto"/>
        </w:rPr>
      </w:pPr>
    </w:p>
    <w:p>
      <w:pPr>
        <w:jc w:val="both"/>
        <w:ind w:left="1540" w:right="86" w:hanging="999"/>
        <w:spacing w:after="0" w:line="243" w:lineRule="auto"/>
        <w:tabs>
          <w:tab w:leader="none" w:pos="1520" w:val="left"/>
        </w:tabs>
        <w:rPr>
          <w:sz w:val="20"/>
          <w:szCs w:val="20"/>
          <w:color w:val="auto"/>
        </w:rPr>
      </w:pPr>
      <w:r>
        <w:rPr>
          <w:rFonts w:ascii="Times New Roman" w:cs="Times New Roman" w:eastAsia="Times New Roman" w:hAnsi="Times New Roman"/>
          <w:sz w:val="20"/>
          <w:szCs w:val="20"/>
          <w:color w:val="auto"/>
        </w:rPr>
        <w:t>Level 3 —</w:t>
        <w:tab/>
        <w:t>defined as unobservable inputs in which little or no market data exists, therefore requiring an entity to develop its own assumptions.</w:t>
      </w:r>
    </w:p>
    <w:p>
      <w:pPr>
        <w:spacing w:after="0" w:line="154"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spacing w:after="0" w:line="171"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5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78"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Company accounts for the Convertible Note Payable at fair value at each reporting period. As of December 31, 2022, the Company recorded the Convertible Note Payable at par plus accrued interest as it is payable on demand by either party and therefore represents fair value. The fair value as of December 31, 2021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w:t>
      </w:r>
    </w:p>
    <w:p>
      <w:pPr>
        <w:sectPr>
          <w:pgSz w:w="12240" w:h="15846" w:orient="portrait"/>
          <w:cols w:equalWidth="0" w:num="1">
            <w:col w:w="9366"/>
          </w:cols>
          <w:pgMar w:left="1440" w:top="947" w:right="1440" w:bottom="353" w:gutter="0" w:footer="0" w:header="0"/>
        </w:sectPr>
      </w:pPr>
    </w:p>
    <w:p>
      <w:pPr>
        <w:spacing w:after="0" w:line="29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F-43</w:t>
      </w:r>
    </w:p>
    <w:p>
      <w:pPr>
        <w:sectPr>
          <w:pgSz w:w="12240" w:h="15846" w:orient="portrait"/>
          <w:cols w:equalWidth="0" w:num="1">
            <w:col w:w="9366"/>
          </w:cols>
          <w:pgMar w:left="1440" w:top="947" w:right="1440" w:bottom="353" w:gutter="0" w:footer="0" w:header="0"/>
          <w:type w:val="continuous"/>
        </w:sectPr>
      </w:pPr>
    </w:p>
    <w:bookmarkStart w:id="155" w:name="page156"/>
    <w:bookmarkEnd w:id="155"/>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9" w:lineRule="auto"/>
        <w:rPr>
          <w:sz w:val="20"/>
          <w:szCs w:val="20"/>
          <w:color w:val="auto"/>
        </w:rPr>
      </w:pPr>
      <w:r>
        <w:rPr>
          <w:rFonts w:ascii="Times New Roman" w:cs="Times New Roman" w:eastAsia="Times New Roman" w:hAnsi="Times New Roman"/>
          <w:sz w:val="20"/>
          <w:szCs w:val="20"/>
          <w:color w:val="auto"/>
        </w:rPr>
        <w:t>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Payable as of December 31, 2021 based on discount rates ranging from 7.0% to 7.5%.</w:t>
      </w:r>
    </w:p>
    <w:p>
      <w:pPr>
        <w:spacing w:after="0" w:line="171"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accounted for its outstanding warrants by recording its fair value of a liability on the Closing Date of the Business Combination and recording the change in the fair value at the balance sheet date in the consolidated statement of operations. The Company redeemed the outstanding Private and Public Warrants by issuing 3,309,296 and 497,080 shares of Class A common stock in exchange for the 100% of the outstanding Warrants and recorded $25,920 as fair value of shares of Class A common stock issued based on the weighted average closing share price of $6.80 on December 22, 2022 and $6.87 on December 23, 2022, respectively. The Company recorded $3,368 as loss on exchange of warrants in its consolidated statement of operations for the year ended December 31, 2022.</w:t>
      </w:r>
    </w:p>
    <w:p>
      <w:pPr>
        <w:spacing w:after="0" w:line="171"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Sponsor Earnout Awards as of December 31, 2022 was determined using a Monte Carlo valuation model with a distribution of potential outcomes on a daily basis over the five year post-close period. Assumptions used in the valuation are as follows:</w:t>
      </w:r>
    </w:p>
    <w:p>
      <w:pPr>
        <w:spacing w:after="0" w:line="166" w:lineRule="exact"/>
        <w:rPr>
          <w:sz w:val="20"/>
          <w:szCs w:val="20"/>
          <w:color w:val="auto"/>
        </w:rPr>
      </w:pPr>
    </w:p>
    <w:p>
      <w:pPr>
        <w:ind w:left="960" w:hanging="479"/>
        <w:spacing w:after="0"/>
        <w:tabs>
          <w:tab w:leader="none" w:pos="9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stock price — The Company’s closing stock price of $7.28 as of December 31, 2022;</w:t>
      </w:r>
    </w:p>
    <w:p>
      <w:pPr>
        <w:spacing w:after="0" w:line="176" w:lineRule="exact"/>
        <w:rPr>
          <w:rFonts w:ascii="Times New Roman" w:cs="Times New Roman" w:eastAsia="Times New Roman" w:hAnsi="Times New Roman"/>
          <w:sz w:val="20"/>
          <w:szCs w:val="20"/>
          <w:color w:val="auto"/>
        </w:rPr>
      </w:pPr>
    </w:p>
    <w:p>
      <w:pPr>
        <w:ind w:left="960" w:right="6" w:hanging="479"/>
        <w:spacing w:after="0" w:line="243" w:lineRule="auto"/>
        <w:tabs>
          <w:tab w:leader="none" w:pos="9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volatility — 65% based on historical and implied volatilities of selected industry peers deemed to be comparable to our business corresponding to the expected term of the awards;</w:t>
      </w:r>
    </w:p>
    <w:p>
      <w:pPr>
        <w:spacing w:after="0" w:line="174" w:lineRule="exact"/>
        <w:rPr>
          <w:rFonts w:ascii="Times New Roman" w:cs="Times New Roman" w:eastAsia="Times New Roman" w:hAnsi="Times New Roman"/>
          <w:sz w:val="20"/>
          <w:szCs w:val="20"/>
          <w:color w:val="auto"/>
        </w:rPr>
      </w:pPr>
    </w:p>
    <w:p>
      <w:pPr>
        <w:jc w:val="both"/>
        <w:ind w:left="960" w:right="6" w:hanging="479"/>
        <w:spacing w:after="0" w:line="246" w:lineRule="auto"/>
        <w:tabs>
          <w:tab w:leader="none" w:pos="9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 4.0% based on the U.S. Treasury yield curve in effect at the time of issuance for zero-coupon U.S. Treasury notes with maturities corresponding to the expected 4.5 year term of the earnout period;</w:t>
      </w:r>
    </w:p>
    <w:p>
      <w:pPr>
        <w:spacing w:after="0" w:line="166" w:lineRule="exact"/>
        <w:rPr>
          <w:rFonts w:ascii="Times New Roman" w:cs="Times New Roman" w:eastAsia="Times New Roman" w:hAnsi="Times New Roman"/>
          <w:sz w:val="20"/>
          <w:szCs w:val="20"/>
          <w:color w:val="auto"/>
        </w:rPr>
      </w:pPr>
    </w:p>
    <w:p>
      <w:pPr>
        <w:ind w:left="960" w:hanging="479"/>
        <w:spacing w:after="0"/>
        <w:tabs>
          <w:tab w:leader="none" w:pos="9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yield — zero.</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OPAL Earnout Awards as of December 31, 2022 was determined using a Monte Carlo valuation model with a distribution of potential outcomes for stock price and EBITDA over the 2-year period commencing on January 1, 2023 and ending on December 31, 2024.</w:t>
      </w:r>
    </w:p>
    <w:p>
      <w:pPr>
        <w:spacing w:after="0" w:line="173"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change in fair value of the OPAL Earnout Awards for the year ended December 31, 2022 resulted in a gain of $35,200 due to decrease in stock price and the EBITDA projections over the 2-year period. Assumptions used in the valuation are as follows:</w:t>
      </w:r>
    </w:p>
    <w:p>
      <w:pPr>
        <w:spacing w:after="0" w:line="166" w:lineRule="exact"/>
        <w:rPr>
          <w:sz w:val="20"/>
          <w:szCs w:val="20"/>
          <w:color w:val="auto"/>
        </w:rPr>
      </w:pPr>
    </w:p>
    <w:p>
      <w:pPr>
        <w:ind w:left="960" w:hanging="479"/>
        <w:spacing w:after="0"/>
        <w:tabs>
          <w:tab w:leader="none" w:pos="9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stock price — The Company’s closing stock price of $7.28 as of December 31, 2022;</w:t>
      </w:r>
    </w:p>
    <w:p>
      <w:pPr>
        <w:spacing w:after="0" w:line="176" w:lineRule="exact"/>
        <w:rPr>
          <w:rFonts w:ascii="Times New Roman" w:cs="Times New Roman" w:eastAsia="Times New Roman" w:hAnsi="Times New Roman"/>
          <w:sz w:val="20"/>
          <w:szCs w:val="20"/>
          <w:color w:val="auto"/>
        </w:rPr>
      </w:pPr>
    </w:p>
    <w:p>
      <w:pPr>
        <w:ind w:left="960" w:right="6" w:hanging="479"/>
        <w:spacing w:after="0" w:line="243" w:lineRule="auto"/>
        <w:tabs>
          <w:tab w:leader="none" w:pos="9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Weighted average cost of capital — 16% based on an average of historical volatilities of selected industry peers deemed to be comparable to our business.</w:t>
      </w:r>
    </w:p>
    <w:p>
      <w:pPr>
        <w:spacing w:after="0" w:line="174" w:lineRule="exact"/>
        <w:rPr>
          <w:rFonts w:ascii="Times New Roman" w:cs="Times New Roman" w:eastAsia="Times New Roman" w:hAnsi="Times New Roman"/>
          <w:sz w:val="20"/>
          <w:szCs w:val="20"/>
          <w:color w:val="auto"/>
        </w:rPr>
      </w:pPr>
    </w:p>
    <w:p>
      <w:pPr>
        <w:ind w:left="960" w:right="6" w:hanging="479"/>
        <w:spacing w:after="0" w:line="243" w:lineRule="auto"/>
        <w:tabs>
          <w:tab w:leader="none" w:pos="9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volatility — 65% based on historical and implied volatilities of selected industry peers deemed to be comparable to our business corresponding to the expected term of the awards;</w:t>
      </w:r>
    </w:p>
    <w:p>
      <w:pPr>
        <w:spacing w:after="0" w:line="174" w:lineRule="exact"/>
        <w:rPr>
          <w:rFonts w:ascii="Times New Roman" w:cs="Times New Roman" w:eastAsia="Times New Roman" w:hAnsi="Times New Roman"/>
          <w:sz w:val="20"/>
          <w:szCs w:val="20"/>
          <w:color w:val="auto"/>
        </w:rPr>
      </w:pPr>
    </w:p>
    <w:p>
      <w:pPr>
        <w:jc w:val="both"/>
        <w:ind w:left="960" w:right="6" w:hanging="479"/>
        <w:spacing w:after="0" w:line="246" w:lineRule="auto"/>
        <w:tabs>
          <w:tab w:leader="none" w:pos="9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 4.0% based on the U.S. Treasury yield curve in effect at the time of issuance for zero-coupon U.S. Treasury notes with maturities corresponding to the expected 1.8 year term of the earnout period;</w:t>
      </w:r>
    </w:p>
    <w:p>
      <w:pPr>
        <w:spacing w:after="0" w:line="166" w:lineRule="exact"/>
        <w:rPr>
          <w:rFonts w:ascii="Times New Roman" w:cs="Times New Roman" w:eastAsia="Times New Roman" w:hAnsi="Times New Roman"/>
          <w:sz w:val="20"/>
          <w:szCs w:val="20"/>
          <w:color w:val="auto"/>
        </w:rPr>
      </w:pPr>
    </w:p>
    <w:p>
      <w:pPr>
        <w:ind w:left="960" w:hanging="479"/>
        <w:spacing w:after="0"/>
        <w:tabs>
          <w:tab w:leader="none" w:pos="9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yield — zero.</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F-44</w:t>
      </w:r>
    </w:p>
    <w:p>
      <w:pPr>
        <w:sectPr>
          <w:pgSz w:w="12240" w:h="15846" w:orient="portrait"/>
          <w:cols w:equalWidth="0" w:num="1">
            <w:col w:w="9366"/>
          </w:cols>
          <w:pgMar w:left="1440" w:top="947" w:right="1440" w:bottom="353" w:gutter="0" w:footer="0" w:header="0"/>
          <w:type w:val="continuous"/>
        </w:sectPr>
      </w:pPr>
    </w:p>
    <w:bookmarkStart w:id="156" w:name="page157"/>
    <w:bookmarkEnd w:id="156"/>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Company’s put option with Meteora as of December 31, 2022 was determined using a Monte Carlo valuation model with a distribution of potential outcomes on a daily basis over the 6 month post-close period. Assumptions used in the valuation are as follows:</w:t>
      </w:r>
    </w:p>
    <w:p>
      <w:pPr>
        <w:spacing w:after="0" w:line="146" w:lineRule="exact"/>
        <w:rPr>
          <w:sz w:val="20"/>
          <w:szCs w:val="20"/>
          <w:color w:val="auto"/>
        </w:rPr>
      </w:pPr>
    </w:p>
    <w:p>
      <w:pPr>
        <w:ind w:left="960" w:hanging="480"/>
        <w:spacing w:after="0"/>
        <w:tabs>
          <w:tab w:leader="none" w:pos="9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stock price — The Company’s closing stock price of $7.28 as of December 31, 2022;</w:t>
      </w:r>
    </w:p>
    <w:p>
      <w:pPr>
        <w:spacing w:after="0" w:line="156" w:lineRule="exact"/>
        <w:rPr>
          <w:rFonts w:ascii="Times New Roman" w:cs="Times New Roman" w:eastAsia="Times New Roman" w:hAnsi="Times New Roman"/>
          <w:sz w:val="20"/>
          <w:szCs w:val="20"/>
          <w:color w:val="auto"/>
        </w:rPr>
      </w:pPr>
    </w:p>
    <w:p>
      <w:pPr>
        <w:ind w:left="960" w:right="6" w:hanging="480"/>
        <w:spacing w:after="0" w:line="243" w:lineRule="auto"/>
        <w:tabs>
          <w:tab w:leader="none" w:pos="9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volatility — 65% based on historical and implied volatilities of selected industry peers deemed to be comparable to our business corresponding to the expected term of the awards;</w:t>
      </w:r>
    </w:p>
    <w:p>
      <w:pPr>
        <w:spacing w:after="0" w:line="154" w:lineRule="exact"/>
        <w:rPr>
          <w:rFonts w:ascii="Times New Roman" w:cs="Times New Roman" w:eastAsia="Times New Roman" w:hAnsi="Times New Roman"/>
          <w:sz w:val="20"/>
          <w:szCs w:val="20"/>
          <w:color w:val="auto"/>
        </w:rPr>
      </w:pPr>
    </w:p>
    <w:p>
      <w:pPr>
        <w:jc w:val="both"/>
        <w:ind w:left="960" w:right="6" w:hanging="480"/>
        <w:spacing w:after="0" w:line="246" w:lineRule="auto"/>
        <w:tabs>
          <w:tab w:leader="none" w:pos="9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 4.0% based on the U.S. Treasury yield curve in effect at the time of issuance for zero-coupon U.S. Treasury notes with maturities corresponding to the expected 0.1 year term of the Forward Purchase Agreement;</w:t>
      </w:r>
    </w:p>
    <w:p>
      <w:pPr>
        <w:spacing w:after="0" w:line="14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yield — zero.</w:t>
      </w:r>
    </w:p>
    <w:p>
      <w:pPr>
        <w:spacing w:after="0" w:line="17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The Company’s assets and liabilities that are measured at fair value on a recurring basis include the following as of December 31, 2022 and December 31, 2021, set forth by level, within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2022</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440"/>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6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7"/>
                <w:szCs w:val="17"/>
                <w:color w:val="auto"/>
              </w:rPr>
            </w:pPr>
          </w:p>
        </w:tc>
      </w:tr>
      <w:tr>
        <w:trPr>
          <w:trHeight w:val="248"/>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0"/>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 retirement obligation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6,256</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6,256</w:t>
            </w:r>
          </w:p>
        </w:tc>
        <w:tc>
          <w:tcPr>
            <w:tcW w:w="20" w:type="dxa"/>
            <w:vAlign w:val="bottom"/>
          </w:tcPr>
          <w:p>
            <w:pPr>
              <w:spacing w:after="0"/>
              <w:rPr>
                <w:sz w:val="22"/>
                <w:szCs w:val="22"/>
                <w:color w:val="auto"/>
              </w:rPr>
            </w:pPr>
          </w:p>
        </w:tc>
      </w:tr>
      <w:tr>
        <w:trPr>
          <w:trHeight w:val="297"/>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Convertible Note Payable</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20"/>
                <w:szCs w:val="20"/>
                <w:color w:val="auto"/>
                <w:w w:val="98"/>
              </w:rPr>
              <w:t xml:space="preserve"> . . . . . . . . . . . . . . . .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28,528</w:t>
            </w:r>
          </w:p>
        </w:tc>
        <w:tc>
          <w:tcPr>
            <w:tcW w:w="20" w:type="dxa"/>
            <w:vAlign w:val="bottom"/>
          </w:tcPr>
          <w:p>
            <w:pPr>
              <w:spacing w:after="0"/>
              <w:rPr>
                <w:sz w:val="24"/>
                <w:szCs w:val="24"/>
                <w:color w:val="auto"/>
              </w:rPr>
            </w:pPr>
          </w:p>
        </w:tc>
      </w:tr>
      <w:tr>
        <w:trPr>
          <w:trHeight w:val="223"/>
        </w:trPr>
        <w:tc>
          <w:tcPr>
            <w:tcW w:w="41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Put option with Meteora . . . . . . . . . . . . . . . . . .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4,466</w:t>
            </w:r>
          </w:p>
        </w:tc>
        <w:tc>
          <w:tcPr>
            <w:tcW w:w="20" w:type="dxa"/>
            <w:vAlign w:val="bottom"/>
          </w:tcPr>
          <w:p>
            <w:pPr>
              <w:spacing w:after="0"/>
              <w:rPr>
                <w:sz w:val="19"/>
                <w:szCs w:val="19"/>
                <w:color w:val="auto"/>
              </w:rPr>
            </w:pPr>
          </w:p>
        </w:tc>
      </w:tr>
      <w:tr>
        <w:trPr>
          <w:trHeight w:val="260"/>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Commodity swap contracts . . . . . . . . . . . . . . . .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0" w:type="dxa"/>
            <w:vAlign w:val="bottom"/>
          </w:tcPr>
          <w:p>
            <w:pPr>
              <w:spacing w:after="0"/>
              <w:rPr>
                <w:sz w:val="22"/>
                <w:szCs w:val="22"/>
                <w:color w:val="auto"/>
              </w:rPr>
            </w:pPr>
          </w:p>
        </w:tc>
      </w:tr>
      <w:tr>
        <w:trPr>
          <w:trHeight w:val="260"/>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Earnout liabilities . . . . . . . . . . . . . . . . . . . . . . .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8,790</w:t>
            </w:r>
          </w:p>
        </w:tc>
        <w:tc>
          <w:tcPr>
            <w:tcW w:w="20" w:type="dxa"/>
            <w:vAlign w:val="bottom"/>
          </w:tcPr>
          <w:p>
            <w:pPr>
              <w:spacing w:after="0"/>
              <w:rPr>
                <w:sz w:val="22"/>
                <w:szCs w:val="22"/>
                <w:color w:val="auto"/>
              </w:rPr>
            </w:pPr>
          </w:p>
        </w:tc>
      </w:tr>
      <w:tr>
        <w:trPr>
          <w:trHeight w:val="26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0"/>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 term investments . . . . . . . . . . . . . . . . . . .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64,976</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64,976</w:t>
            </w:r>
          </w:p>
        </w:tc>
        <w:tc>
          <w:tcPr>
            <w:tcW w:w="20" w:type="dxa"/>
            <w:vAlign w:val="bottom"/>
          </w:tcPr>
          <w:p>
            <w:pPr>
              <w:spacing w:after="0"/>
              <w:rPr>
                <w:sz w:val="22"/>
                <w:szCs w:val="22"/>
                <w:color w:val="auto"/>
              </w:rPr>
            </w:pPr>
          </w:p>
        </w:tc>
      </w:tr>
      <w:tr>
        <w:trPr>
          <w:trHeight w:val="260"/>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Swaption . . . . . . . . . . . . . . . . . . . . . . . . . . . . . .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182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182</w:t>
            </w:r>
          </w:p>
        </w:tc>
      </w:tr>
      <w:tr>
        <w:trPr>
          <w:trHeight w:val="260"/>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swaps . .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10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jc w:val="both"/>
        <w:ind w:left="480" w:right="6" w:hanging="480"/>
        <w:spacing w:after="0" w:line="271" w:lineRule="auto"/>
        <w:tabs>
          <w:tab w:leader="none" w:pos="47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Convertible Note Payable as of December 31, 2022, represents the outstanding principal and paid-in-kind interest. Therefore it did not have any unobservable inputs which required the Company to develop its own assumptions. The methodology for calculating the fair value has changed as of December 31, 2022 as the prepayment penalty was cancelled upon consummation of Business Combination. Therefore, the Convertible Note Payable has been transferred from Level 3 to Level 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December 31, 2021</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5"/>
        </w:trPr>
        <w:tc>
          <w:tcPr>
            <w:tcW w:w="424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7"/>
                <w:szCs w:val="17"/>
                <w:color w:val="auto"/>
              </w:rPr>
            </w:pPr>
          </w:p>
        </w:tc>
        <w:tc>
          <w:tcPr>
            <w:tcW w:w="900" w:type="dxa"/>
            <w:vAlign w:val="bottom"/>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8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60"/>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 retirement obligation . . . . . . . . . . . . . . . . .</w:t>
            </w:r>
          </w:p>
        </w:tc>
        <w:tc>
          <w:tcPr>
            <w:tcW w:w="860" w:type="dxa"/>
            <w:vAlign w:val="bottom"/>
          </w:tcPr>
          <w:p>
            <w:pPr>
              <w:jc w:val="right"/>
              <w:ind w:right="665"/>
              <w:spacing w:after="0"/>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  $</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5,738</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5,738</w:t>
            </w:r>
          </w:p>
        </w:tc>
      </w:tr>
      <w:tr>
        <w:trPr>
          <w:trHeight w:val="257"/>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Contingent consideration on acquisition of</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0"/>
        </w:trPr>
        <w:tc>
          <w:tcPr>
            <w:tcW w:w="4240" w:type="dxa"/>
            <w:vAlign w:val="bottom"/>
          </w:tcPr>
          <w:p>
            <w:pPr>
              <w:ind w:left="400"/>
              <w:spacing w:after="0" w:line="259" w:lineRule="exact"/>
              <w:rPr>
                <w:sz w:val="20"/>
                <w:szCs w:val="20"/>
                <w:color w:val="auto"/>
              </w:rPr>
            </w:pPr>
            <w:r>
              <w:rPr>
                <w:rFonts w:ascii="Times New Roman" w:cs="Times New Roman" w:eastAsia="Times New Roman" w:hAnsi="Times New Roman"/>
                <w:sz w:val="20"/>
                <w:szCs w:val="20"/>
                <w:color w:val="auto"/>
              </w:rPr>
              <w:t>non-controlling interest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w:t>
            </w:r>
          </w:p>
        </w:tc>
        <w:tc>
          <w:tcPr>
            <w:tcW w:w="860" w:type="dxa"/>
            <w:vAlign w:val="bottom"/>
          </w:tcPr>
          <w:p>
            <w:pPr>
              <w:spacing w:after="0"/>
              <w:rPr>
                <w:sz w:val="22"/>
                <w:szCs w:val="22"/>
                <w:color w:val="auto"/>
              </w:rPr>
            </w:pPr>
          </w:p>
        </w:tc>
        <w:tc>
          <w:tcPr>
            <w:tcW w:w="28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right"/>
              <w:ind w:right="3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4,456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4,456</w:t>
            </w:r>
          </w:p>
        </w:tc>
      </w:tr>
      <w:tr>
        <w:trPr>
          <w:trHeight w:val="223"/>
        </w:trPr>
        <w:tc>
          <w:tcPr>
            <w:tcW w:w="42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Convertible Note Payable . . . . . . . . . . . . . . . . . .</w:t>
            </w:r>
          </w:p>
        </w:tc>
        <w:tc>
          <w:tcPr>
            <w:tcW w:w="860" w:type="dxa"/>
            <w:vAlign w:val="bottom"/>
          </w:tcPr>
          <w:p>
            <w:pPr>
              <w:spacing w:after="0"/>
              <w:rPr>
                <w:sz w:val="19"/>
                <w:szCs w:val="19"/>
                <w:color w:val="auto"/>
              </w:rPr>
            </w:pPr>
          </w:p>
        </w:tc>
        <w:tc>
          <w:tcPr>
            <w:tcW w:w="28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3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58,710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58,710</w:t>
            </w:r>
          </w:p>
        </w:tc>
      </w:tr>
      <w:tr>
        <w:trPr>
          <w:trHeight w:val="260"/>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 . . . . . . . . . . . . . . . . . . . . . . . .</w:t>
            </w:r>
          </w:p>
        </w:tc>
        <w:tc>
          <w:tcPr>
            <w:tcW w:w="860" w:type="dxa"/>
            <w:vAlign w:val="bottom"/>
          </w:tcPr>
          <w:p>
            <w:pPr>
              <w:spacing w:after="0"/>
              <w:rPr>
                <w:sz w:val="22"/>
                <w:szCs w:val="22"/>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r>
      <w:tr>
        <w:trPr>
          <w:trHeight w:val="26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0"/>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Commodity swap contracts . . . . . . . . . . . . . . . . .</w:t>
            </w:r>
          </w:p>
        </w:tc>
        <w:tc>
          <w:tcPr>
            <w:tcW w:w="860" w:type="dxa"/>
            <w:vAlign w:val="bottom"/>
          </w:tcPr>
          <w:p>
            <w:pPr>
              <w:spacing w:after="0"/>
              <w:rPr>
                <w:sz w:val="22"/>
                <w:szCs w:val="22"/>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75" w:lineRule="exact"/>
        <w:rPr>
          <w:sz w:val="20"/>
          <w:szCs w:val="20"/>
          <w:color w:val="auto"/>
        </w:rPr>
      </w:pPr>
    </w:p>
    <w:p>
      <w:pPr>
        <w:jc w:val="both"/>
        <w:ind w:left="480" w:right="6" w:hanging="480"/>
        <w:spacing w:after="0" w:line="250"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2022, the Company determined that it is no longer required to pay the contingent consideration as the applicable criteria for payment are no longer met and the Company recognized a gain of $4,365 which was recorded as part of change in fair value of derivative instruments, net.</w:t>
      </w:r>
    </w:p>
    <w:p>
      <w:pPr>
        <w:spacing w:after="0" w:line="155"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A summary of changes in the fair values of the Company’s Level 3 instruments, attributable to asset retirement obligations, for the year ended December 31, 2022 is included in Note 2.</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w:t>
      </w:r>
    </w:p>
    <w:p>
      <w:pPr>
        <w:spacing w:after="0" w:line="24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F-45</w:t>
      </w:r>
    </w:p>
    <w:p>
      <w:pPr>
        <w:sectPr>
          <w:pgSz w:w="12240" w:h="15846" w:orient="portrait"/>
          <w:cols w:equalWidth="0" w:num="1">
            <w:col w:w="9366"/>
          </w:cols>
          <w:pgMar w:left="1440" w:top="947" w:right="1440" w:bottom="348" w:gutter="0" w:footer="0" w:header="0"/>
        </w:sectPr>
      </w:pPr>
    </w:p>
    <w:bookmarkStart w:id="157" w:name="page158"/>
    <w:bookmarkEnd w:id="15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Related Parties</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Related parties are represented by Fortistar and other affiliates, subsidiaries and entities under common control with Fortistar or NextEra.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contributions and distribution from and to members</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2022 and 2021, the Company received contributions from Fortistar of $0 and $7,531, respectively. Additionally, the Company made distributions to Fortistar of $0 and $3,695 for the year ended December 31, 2022 and 2021,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 of non-controlling interests to Related Parties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$2,526 and $210 for the years ended December 31, 2022 and 2021, respectively. Please see Note 14. </w:t>
      </w:r>
      <w:r>
        <w:rPr>
          <w:rFonts w:ascii="Times New Roman" w:cs="Times New Roman" w:eastAsia="Times New Roman" w:hAnsi="Times New Roman"/>
          <w:sz w:val="20"/>
          <w:szCs w:val="20"/>
          <w:i w:val="1"/>
          <w:iCs w:val="1"/>
          <w:color w:val="auto"/>
        </w:rPr>
        <w:t>Redeemable Preferred Units and Equity,</w:t>
      </w:r>
      <w:r>
        <w:rPr>
          <w:rFonts w:ascii="Times New Roman" w:cs="Times New Roman" w:eastAsia="Times New Roman" w:hAnsi="Times New Roman"/>
          <w:sz w:val="20"/>
          <w:szCs w:val="20"/>
          <w:color w:val="auto"/>
        </w:rPr>
        <w:t xml:space="preserve"> for additional information.</w:t>
      </w:r>
    </w:p>
    <w:p>
      <w:pPr>
        <w:spacing w:after="0" w:line="168"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During 2021, the Company sold non-controlling interests to NextEra in four RNG projects (Pine Bend, Noble Road, Emerald and Sapphire) subsidiaries for 50% ownership interest. For the year ended December 31, 2022, the Company received $23,143 as contributions from the sale of such non-controlling interests in Emerald and Sapphire.</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2021, the Company received $38,218 as contributions from the sale of non-controlling interests.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Issuance of Redeemable preferred non-controlling interests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w:t>
      </w:r>
      <w:r>
        <w:rPr>
          <w:rFonts w:ascii="Times New Roman" w:cs="Times New Roman" w:eastAsia="Times New Roman" w:hAnsi="Times New Roman"/>
          <w:sz w:val="20"/>
          <w:szCs w:val="20"/>
          <w:i w:val="1"/>
          <w:iCs w:val="1"/>
          <w:color w:val="auto"/>
        </w:rPr>
        <w:t>Redeemable non-controlling interests,Redeemable preferred non-controlling interests and Stockholders’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Equity, </w:t>
      </w:r>
      <w:r>
        <w:rPr>
          <w:rFonts w:ascii="Times New Roman" w:cs="Times New Roman" w:eastAsia="Times New Roman" w:hAnsi="Times New Roman"/>
          <w:sz w:val="20"/>
          <w:szCs w:val="20"/>
          <w:color w:val="auto"/>
        </w:rPr>
        <w:t>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and sale agreement for environmental attributes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w:t>
      </w:r>
      <w:r>
        <w:rPr>
          <w:rFonts w:ascii="Times New Roman" w:cs="Times New Roman" w:eastAsia="Times New Roman" w:hAnsi="Times New Roman"/>
          <w:sz w:val="20"/>
          <w:szCs w:val="20"/>
          <w:i w:val="1"/>
          <w:iCs w:val="1"/>
          <w:color w:val="auto"/>
        </w:rPr>
        <w:t>Summary of significant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policies </w:t>
      </w:r>
      <w:r>
        <w:rPr>
          <w:rFonts w:ascii="Times New Roman" w:cs="Times New Roman" w:eastAsia="Times New Roman" w:hAnsi="Times New Roman"/>
          <w:sz w:val="20"/>
          <w:szCs w:val="20"/>
          <w:color w:val="auto"/>
        </w:rPr>
        <w:t>for additional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Commodity swap contracts under ISDA</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w:t>
      </w:r>
    </w:p>
    <w:p>
      <w:pPr>
        <w:sectPr>
          <w:pgSz w:w="12240" w:h="15846" w:orient="portrait"/>
          <w:cols w:equalWidth="0" w:num="1">
            <w:col w:w="9380"/>
          </w:cols>
          <w:pgMar w:left="1440" w:top="947" w:right="1426"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F-46</w:t>
      </w:r>
    </w:p>
    <w:p>
      <w:pPr>
        <w:sectPr>
          <w:pgSz w:w="12240" w:h="15846" w:orient="portrait"/>
          <w:cols w:equalWidth="0" w:num="1">
            <w:col w:w="9380"/>
          </w:cols>
          <w:pgMar w:left="1440" w:top="947" w:right="1426" w:bottom="353" w:gutter="0" w:footer="0" w:header="0"/>
          <w:type w:val="continuous"/>
        </w:sectPr>
      </w:pPr>
    </w:p>
    <w:bookmarkStart w:id="158" w:name="page159"/>
    <w:bookmarkEnd w:id="158"/>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 Related Parties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46" w:lineRule="auto"/>
        <w:rPr>
          <w:sz w:val="20"/>
          <w:szCs w:val="20"/>
          <w:color w:val="auto"/>
        </w:rPr>
      </w:pPr>
      <w:r>
        <w:rPr>
          <w:rFonts w:ascii="Times New Roman" w:cs="Times New Roman" w:eastAsia="Times New Roman" w:hAnsi="Times New Roman"/>
          <w:sz w:val="20"/>
          <w:szCs w:val="20"/>
          <w:color w:val="auto"/>
        </w:rPr>
        <w:t xml:space="preserve">these commodity swap contracts as part of Revenues — Renewable Power. Please see Note 10. </w:t>
      </w:r>
      <w:r>
        <w:rPr>
          <w:rFonts w:ascii="Times New Roman" w:cs="Times New Roman" w:eastAsia="Times New Roman" w:hAnsi="Times New Roman"/>
          <w:sz w:val="20"/>
          <w:szCs w:val="20"/>
          <w:i w:val="1"/>
          <w:iCs w:val="1"/>
          <w:color w:val="auto"/>
        </w:rPr>
        <w:t>Derivative instruments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Fair value measurements </w:t>
      </w:r>
      <w:r>
        <w:rPr>
          <w:rFonts w:ascii="Times New Roman" w:cs="Times New Roman" w:eastAsia="Times New Roman" w:hAnsi="Times New Roman"/>
          <w:sz w:val="20"/>
          <w:szCs w:val="20"/>
          <w:color w:val="auto"/>
        </w:rPr>
        <w:t>for additional information. The Company recorded $5,495 and $3,008 as revenues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earned under the commodity swap contracts.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Issuance of shares of Class A common stock for PIPE investment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 xml:space="preserve">In July 2022, the Company raised $138,850 in cash net of transaction expenses of $9,700 representing cash received from the closing of Business Combination and PIPE Investment. NextEra subscribed to the PIPE investment and was issued 2,500,000 shares of Class A common stock at $10.0 per share. Please see Note 3.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 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of investments from Related Parties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August 2021, the Company acquired a 100% of the ownership interests in Reynolds, an RNG production facility for $12,020 which was funded with cash on hand. Reynolds held an equity investment of 1,570 Class B units in GREP representing 10%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an income of $2,302 and net loss of $(124) as its share of net income (loss) for the years ended December 31, 2022 and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contracts with Related Parties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In June 2020, OPAL Fuel Station Services (“OFSS”), an indirect wholly-owned subsidiary of the Company, contracted with Beacon to dispense Beacon’s RNG and to generate and market the resulting RINs created on behalf of Beacon. The term of this contract runs from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are eliminated in the consolidated statements of operations effective May 1, 2021. The Company accounted for Beacon under equity method for the period between January 1, 2021 and April 30, 2021 prior to the acquisition of remaining interests. Therefore, all environmental fees earned after May 1, 2021 are eliminated in the consolidated statement of operations. For the period between January 1, 2021 and April 30, 2021, the company earned environmental processing fees of $632, net of intersegment elimination.</w:t>
      </w:r>
    </w:p>
    <w:p>
      <w:pPr>
        <w:spacing w:after="0" w:line="15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In August 2020, OFSS contracted with Sunoma to dispense RNG and to generate and market the resulting RINs created on behalf of the entity. Additionally, OFSS contracted with Pine Bend in December 2020 and Noble Road in March 2021 to provide the same services.</w:t>
      </w:r>
    </w:p>
    <w:p>
      <w:pPr>
        <w:spacing w:after="0" w:line="173"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term of this contract runs for a term of 10 years. The Company receives non-cash consideration in the form of RINs or LCFSs for providing these services and recognizes the RINs or LCFSs received as inventory based on their estimated fair value at contract inception. The Pine Bend and Noble road came online in the first and third quarter of 2022. Sunoma came online in the fourth quarter For the year ended December 31, 2022, the Company earned environmental processing fees of $709, net of intersegment elimination, under this agreement which are included in Fuel Station Services revenues in the consolidated statements of operations. For the year ended December 31, 2021, the Company earned $0, net of intersegment elimination under this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Service agreements with Related Parties</w:t>
      </w:r>
    </w:p>
    <w:p>
      <w:pPr>
        <w:spacing w:after="0" w:line="177"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On December 31, 2020, OPAL Fuels signed a management, operations, and maintenance services agreement (“Administrative Services Agreement”) with a subsidiary of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w:t>
      </w:r>
    </w:p>
    <w:p>
      <w:pPr>
        <w:sectPr>
          <w:pgSz w:w="12240" w:h="15846" w:orient="portrait"/>
          <w:cols w:equalWidth="0" w:num="1">
            <w:col w:w="9366"/>
          </w:cols>
          <w:pgMar w:left="1440" w:top="947" w:right="1440" w:bottom="353" w:gutter="0" w:footer="0" w:header="0"/>
        </w:sectPr>
      </w:pPr>
    </w:p>
    <w:p>
      <w:pPr>
        <w:spacing w:after="0" w:line="39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F-47</w:t>
      </w:r>
    </w:p>
    <w:p>
      <w:pPr>
        <w:sectPr>
          <w:pgSz w:w="12240" w:h="15846" w:orient="portrait"/>
          <w:cols w:equalWidth="0" w:num="1">
            <w:col w:w="9366"/>
          </w:cols>
          <w:pgMar w:left="1440" w:top="947" w:right="1440" w:bottom="353" w:gutter="0" w:footer="0" w:header="0"/>
          <w:type w:val="continuous"/>
        </w:sectPr>
      </w:pPr>
    </w:p>
    <w:bookmarkStart w:id="159" w:name="page160"/>
    <w:bookmarkEnd w:id="159"/>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 Related Parties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spacing w:after="0" w:line="265" w:lineRule="auto"/>
        <w:rPr>
          <w:sz w:val="20"/>
          <w:szCs w:val="20"/>
          <w:color w:val="auto"/>
        </w:rPr>
      </w:pPr>
      <w:r>
        <w:rPr>
          <w:rFonts w:ascii="Times New Roman" w:cs="Times New Roman" w:eastAsia="Times New Roman" w:hAnsi="Times New Roman"/>
          <w:sz w:val="19"/>
          <w:szCs w:val="19"/>
          <w:color w:val="auto"/>
        </w:rPr>
        <w:t>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year ended December 31, 2022 and 2021, there have been no material services provided by the Company’s employees to Fortistar.</w:t>
      </w:r>
    </w:p>
    <w:p>
      <w:pPr>
        <w:spacing w:after="0" w:line="155"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spacing w:after="0" w:line="170"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following table summarizes the various fees recorded under the agreements described above which are included in “Selling, general, and administrative” expenses except for $1,518 incurred as transaction costs for the Business Combination recorded in additional paid-in capital and $29 recorded as Deferred financing costs as of December 31,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82"/>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Staffing,management services and office costs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2,758</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8,393</w:t>
            </w:r>
          </w:p>
        </w:tc>
      </w:tr>
      <w:tr>
        <w:trPr>
          <w:trHeight w:val="223"/>
        </w:trPr>
        <w:tc>
          <w:tcPr>
            <w:tcW w:w="65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IT services . . . . . . . . . . . . . . . . . . . . . . . . . . . . . . . . . . . . . . . . . . . . . . . . . . . . . . .</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2,205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1,497</w:t>
            </w: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Guarantee fees . . . . . . . . . . . . . . . . . . . . . . . . . . . . . . . . . . . . . . . . . . . . . . . . . . . .</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w:t>
            </w:r>
          </w:p>
        </w:tc>
      </w:tr>
      <w:tr>
        <w:trPr>
          <w:trHeight w:val="261"/>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Environmental processing fees . . . . . . . . . . . . . . . . . . . . . . . . . . . . . . . . . . . . . . .</w:t>
            </w:r>
          </w:p>
        </w:tc>
        <w:tc>
          <w:tcPr>
            <w:tcW w:w="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w:t>
            </w: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4,963</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10,953</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bl>
    <w:p>
      <w:pPr>
        <w:spacing w:after="0" w:line="83" w:lineRule="exact"/>
        <w:rPr>
          <w:sz w:val="20"/>
          <w:szCs w:val="20"/>
          <w:color w:val="auto"/>
        </w:rPr>
      </w:pPr>
    </w:p>
    <w:p>
      <w:pPr>
        <w:ind w:left="480" w:right="6" w:hanging="480"/>
        <w:spacing w:after="0" w:line="245" w:lineRule="auto"/>
        <w:tabs>
          <w:tab w:leader="none" w:pos="4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reimbursement of $600 and $378 for the use of office space for the years ended December 31, 2022 and 2021, respectively.</w:t>
      </w:r>
    </w:p>
    <w:p>
      <w:pPr>
        <w:spacing w:after="0" w:line="179"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2022 and December 31, 2021, the Company had Accounts payable, related party in the amounts of $1,346 and $166, respectively. As of December 31, 2022 and 2021, the Company had Accounts receivable, related party of $12,421 and $—,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Reportable Segments and Geographic Information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executive leadership team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67" w:lineRule="exact"/>
        <w:rPr>
          <w:sz w:val="20"/>
          <w:szCs w:val="20"/>
          <w:color w:val="auto"/>
        </w:rPr>
      </w:pPr>
    </w:p>
    <w:p>
      <w:pPr>
        <w:ind w:left="960" w:right="6" w:hanging="480"/>
        <w:spacing w:after="0" w:line="244" w:lineRule="auto"/>
        <w:tabs>
          <w:tab w:leader="none" w:pos="9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The RNG Fuel segment relates to all RNG supply and dispensing activities directly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generation and sale of brown gas and environmental credits, and consists of</w:t>
      </w:r>
    </w:p>
    <w:p>
      <w:pPr>
        <w:spacing w:after="0" w:line="173" w:lineRule="exact"/>
        <w:rPr>
          <w:rFonts w:ascii="Times New Roman" w:cs="Times New Roman" w:eastAsia="Times New Roman" w:hAnsi="Times New Roman"/>
          <w:sz w:val="20"/>
          <w:szCs w:val="20"/>
          <w:color w:val="auto"/>
        </w:rPr>
      </w:pPr>
    </w:p>
    <w:p>
      <w:pPr>
        <w:ind w:left="1440" w:right="6" w:hanging="480"/>
        <w:spacing w:after="0" w:line="243" w:lineRule="auto"/>
        <w:tabs>
          <w:tab w:leader="none" w:pos="14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and construction — RNG facilities in which long term gas right contracts have been, or are in the process of being ratified and the construction of RNG generation facilities.</w:t>
      </w:r>
    </w:p>
    <w:p>
      <w:pPr>
        <w:spacing w:after="0" w:line="174" w:lineRule="exact"/>
        <w:rPr>
          <w:rFonts w:ascii="Times New Roman" w:cs="Times New Roman" w:eastAsia="Times New Roman" w:hAnsi="Times New Roman"/>
          <w:sz w:val="20"/>
          <w:szCs w:val="20"/>
          <w:color w:val="auto"/>
        </w:rPr>
      </w:pPr>
    </w:p>
    <w:p>
      <w:pPr>
        <w:ind w:left="1440" w:right="6" w:hanging="480"/>
        <w:spacing w:after="0" w:line="243" w:lineRule="auto"/>
        <w:tabs>
          <w:tab w:leader="none" w:pos="14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supply operating facilities — This includes the generation, extraction, and sale of RNG — plus associated RINs and LCFSs from landfills.</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F-48</w:t>
      </w:r>
    </w:p>
    <w:p>
      <w:pPr>
        <w:sectPr>
          <w:pgSz w:w="12240" w:h="15846" w:orient="portrait"/>
          <w:cols w:equalWidth="0" w:num="1">
            <w:col w:w="9366"/>
          </w:cols>
          <w:pgMar w:left="1440" w:top="947" w:right="1440" w:bottom="353" w:gutter="0" w:footer="0" w:header="0"/>
          <w:type w:val="continuous"/>
        </w:sectPr>
      </w:pPr>
    </w:p>
    <w:bookmarkStart w:id="160" w:name="page161"/>
    <w:bookmarkEnd w:id="160"/>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 Reportable Segments and Geographic Information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1440" w:right="6" w:hanging="480"/>
        <w:spacing w:after="0" w:line="248" w:lineRule="auto"/>
        <w:tabs>
          <w:tab w:leader="none" w:pos="14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w:t>
      </w:r>
    </w:p>
    <w:p>
      <w:pPr>
        <w:spacing w:after="0" w:line="169"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2022, the Company has accounted for its interests in Pine Bend, Reynolds and Noble Road under the equity method of accounting and the results of operations of Beacon, New River, Central Valley, Emerald, Sapphire and Sunoma were consolidated in its consolidated statement of operations. The Company has accounted for its interest in Beacon under the equity method of accounting for the period between January 1, 2021 and April 30, 2021 and had consolidated for the period between May 1, 2021 and September 30, 2021. The results of operations of Noble Road, Pine Bend, Sunoma and Beacon for the year ended December 31, 2021 were consolidated in its consolidated statement of operations. As of December 31, 2022, Central Valley, Emerald, and Sapphire are not operational. Sunoma became operational in December 2021, Noble Road in January 2022, Pine Bend in September 2022 and New River in April 2022.</w:t>
      </w:r>
    </w:p>
    <w:p>
      <w:pPr>
        <w:spacing w:after="0" w:line="151" w:lineRule="exact"/>
        <w:rPr>
          <w:sz w:val="20"/>
          <w:szCs w:val="20"/>
          <w:color w:val="auto"/>
        </w:rPr>
      </w:pPr>
    </w:p>
    <w:p>
      <w:pPr>
        <w:ind w:left="960" w:right="6" w:hanging="480"/>
        <w:spacing w:after="0" w:line="244" w:lineRule="auto"/>
        <w:tabs>
          <w:tab w:leader="none" w:pos="9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Fuel Station Services. </w:t>
      </w:r>
      <w:r>
        <w:rPr>
          <w:rFonts w:ascii="Times New Roman" w:cs="Times New Roman" w:eastAsia="Times New Roman" w:hAnsi="Times New Roman"/>
          <w:sz w:val="20"/>
          <w:szCs w:val="20"/>
          <w:color w:val="auto"/>
        </w:rPr>
        <w:t>Through its Fuel Station Services segment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20"/>
          <w:szCs w:val="20"/>
          <w:color w:val="auto"/>
        </w:rPr>
        <w:t>he Company provides construction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maintenance services to third-party owners of vehicle Fueling Stations. This segment includes:</w:t>
      </w:r>
    </w:p>
    <w:p>
      <w:pPr>
        <w:spacing w:after="0" w:line="153" w:lineRule="exact"/>
        <w:rPr>
          <w:rFonts w:ascii="Times New Roman" w:cs="Times New Roman" w:eastAsia="Times New Roman" w:hAnsi="Times New Roman"/>
          <w:sz w:val="20"/>
          <w:szCs w:val="20"/>
          <w:color w:val="auto"/>
        </w:rPr>
      </w:pPr>
    </w:p>
    <w:p>
      <w:pPr>
        <w:ind w:left="1440" w:right="6" w:hanging="480"/>
        <w:spacing w:after="0" w:line="243" w:lineRule="auto"/>
        <w:tabs>
          <w:tab w:leader="none" w:pos="14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and maintenance contracts for RNG/CNG fueling sites. Includes a manufacturing division that builds Compact Fueling Systems and Defueling systems.</w:t>
      </w:r>
    </w:p>
    <w:p>
      <w:pPr>
        <w:spacing w:after="0" w:line="154" w:lineRule="exact"/>
        <w:rPr>
          <w:rFonts w:ascii="Times New Roman" w:cs="Times New Roman" w:eastAsia="Times New Roman" w:hAnsi="Times New Roman"/>
          <w:sz w:val="20"/>
          <w:szCs w:val="20"/>
          <w:color w:val="auto"/>
        </w:rPr>
      </w:pPr>
    </w:p>
    <w:p>
      <w:pPr>
        <w:jc w:val="both"/>
        <w:ind w:left="1440" w:right="6" w:hanging="480"/>
        <w:spacing w:after="0" w:line="246" w:lineRule="auto"/>
        <w:tabs>
          <w:tab w:leader="none" w:pos="14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Party CNG Construction of Fueling Stations — Design/build and serve as general contractor for typically Guarantee Maximum Price or fixed priced contracts for customers typically lasting less than one year.</w:t>
      </w:r>
    </w:p>
    <w:p>
      <w:pPr>
        <w:spacing w:after="0" w:line="151" w:lineRule="exact"/>
        <w:rPr>
          <w:rFonts w:ascii="Times New Roman" w:cs="Times New Roman" w:eastAsia="Times New Roman" w:hAnsi="Times New Roman"/>
          <w:sz w:val="20"/>
          <w:szCs w:val="20"/>
          <w:color w:val="auto"/>
        </w:rPr>
      </w:pPr>
    </w:p>
    <w:p>
      <w:pPr>
        <w:jc w:val="both"/>
        <w:ind w:left="960" w:right="6" w:hanging="480"/>
        <w:spacing w:after="0" w:line="247" w:lineRule="auto"/>
        <w:tabs>
          <w:tab w:leader="none" w:pos="9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Renewable Power Portfolio. </w:t>
      </w:r>
      <w:r>
        <w:rPr>
          <w:rFonts w:ascii="Times New Roman" w:cs="Times New Roman" w:eastAsia="Times New Roman" w:hAnsi="Times New Roman"/>
          <w:sz w:val="20"/>
          <w:szCs w:val="20"/>
          <w:color w:val="auto"/>
        </w:rPr>
        <w:t>The Renewable Power portfolio segment generates renewable power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methane-rich landfills and digester gas collection systems which is then sold to public utilities throughout the United States. The Renewable Power portfolio operates primarily in Southern California.</w:t>
      </w:r>
    </w:p>
    <w:p>
      <w:pPr>
        <w:spacing w:after="0" w:line="149" w:lineRule="exact"/>
        <w:rPr>
          <w:rFonts w:ascii="Times New Roman" w:cs="Times New Roman" w:eastAsia="Times New Roman" w:hAnsi="Times New Roman"/>
          <w:sz w:val="20"/>
          <w:szCs w:val="20"/>
          <w:color w:val="auto"/>
        </w:rPr>
      </w:pPr>
    </w:p>
    <w:p>
      <w:pPr>
        <w:ind w:left="960" w:right="6" w:hanging="480"/>
        <w:spacing w:after="0" w:line="244" w:lineRule="auto"/>
        <w:tabs>
          <w:tab w:leader="none" w:pos="9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Corporate. </w:t>
      </w:r>
      <w:r>
        <w:rPr>
          <w:rFonts w:ascii="Times New Roman" w:cs="Times New Roman" w:eastAsia="Times New Roman" w:hAnsi="Times New Roman"/>
          <w:sz w:val="20"/>
          <w:szCs w:val="20"/>
          <w:color w:val="auto"/>
        </w:rPr>
        <w:t>This segment consists of activities managed and maintained at the Company corporate level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primarily including but not limited to:</w:t>
      </w:r>
    </w:p>
    <w:p>
      <w:pPr>
        <w:spacing w:after="0" w:line="153" w:lineRule="exact"/>
        <w:rPr>
          <w:rFonts w:ascii="Times New Roman" w:cs="Times New Roman" w:eastAsia="Times New Roman" w:hAnsi="Times New Roman"/>
          <w:sz w:val="20"/>
          <w:szCs w:val="20"/>
          <w:color w:val="auto"/>
        </w:rPr>
      </w:pPr>
    </w:p>
    <w:p>
      <w:pPr>
        <w:ind w:left="1440" w:right="6" w:hanging="480"/>
        <w:spacing w:after="0" w:line="243" w:lineRule="auto"/>
        <w:tabs>
          <w:tab w:leader="none" w:pos="14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accounting, finance, sales activities such as: payroll, stock compensation expense, travel and other related costs.</w:t>
      </w:r>
    </w:p>
    <w:p>
      <w:pPr>
        <w:spacing w:after="0" w:line="147"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professional fees (audit, tax, legal etc.).</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17"/>
                <w:szCs w:val="17"/>
                <w:color w:val="auto"/>
              </w:rPr>
            </w:pPr>
          </w:p>
        </w:tc>
      </w:tr>
      <w:tr>
        <w:trPr>
          <w:trHeight w:val="248"/>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41,713</w:t>
            </w:r>
          </w:p>
        </w:tc>
        <w:tc>
          <w:tcPr>
            <w:tcW w:w="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47,317</w:t>
            </w:r>
          </w:p>
        </w:tc>
        <w:tc>
          <w:tcPr>
            <w:tcW w:w="60" w:type="dxa"/>
            <w:vAlign w:val="bottom"/>
          </w:tcPr>
          <w:p>
            <w:pPr>
              <w:spacing w:after="0"/>
              <w:rPr>
                <w:sz w:val="22"/>
                <w:szCs w:val="22"/>
                <w:color w:val="auto"/>
              </w:rPr>
            </w:pP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90,482</w:t>
            </w:r>
          </w:p>
        </w:tc>
        <w:tc>
          <w:tcPr>
            <w:tcW w:w="60" w:type="dxa"/>
            <w:vAlign w:val="bottom"/>
          </w:tcPr>
          <w:p>
            <w:pPr>
              <w:spacing w:after="0"/>
              <w:rPr>
                <w:sz w:val="22"/>
                <w:szCs w:val="22"/>
                <w:color w:val="auto"/>
              </w:rPr>
            </w:pP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70,766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50,443</w:t>
            </w:r>
          </w:p>
        </w:tc>
        <w:tc>
          <w:tcPr>
            <w:tcW w:w="60" w:type="dxa"/>
            <w:vAlign w:val="bottom"/>
          </w:tcPr>
          <w:p>
            <w:pPr>
              <w:spacing w:after="0"/>
              <w:rPr>
                <w:sz w:val="22"/>
                <w:szCs w:val="22"/>
                <w:color w:val="auto"/>
              </w:rPr>
            </w:pPr>
          </w:p>
        </w:tc>
      </w:tr>
      <w:tr>
        <w:trPr>
          <w:trHeight w:val="297"/>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 . . . . . . . . . . .</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60" w:type="dxa"/>
            <w:vAlign w:val="bottom"/>
          </w:tcPr>
          <w:p>
            <w:pPr>
              <w:spacing w:after="0"/>
              <w:rPr>
                <w:sz w:val="24"/>
                <w:szCs w:val="24"/>
                <w:color w:val="auto"/>
              </w:rPr>
            </w:pPr>
          </w:p>
        </w:tc>
      </w:tr>
      <w:tr>
        <w:trPr>
          <w:trHeight w:val="223"/>
        </w:trPr>
        <w:tc>
          <w:tcPr>
            <w:tcW w:w="65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Intersegment . . . . . . . . . . . . . . . . . . . . . . . . . . . . . . . . . . . . . . . . . . . . . . . . . . . . .</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(13,435)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(8,066)</w:t>
            </w:r>
          </w:p>
        </w:tc>
      </w:tr>
      <w:tr>
        <w:trPr>
          <w:trHeight w:val="261"/>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Method Investment(s) . . . . . . . . . . . . . .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(58,013)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(14,181)</w:t>
            </w:r>
          </w:p>
        </w:tc>
      </w:tr>
      <w:tr>
        <w:trPr>
          <w:trHeight w:val="240"/>
        </w:trPr>
        <w:tc>
          <w:tcPr>
            <w:tcW w:w="88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235,531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166,124</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revenues of Fortistar Contracting LLC.</w:t>
      </w:r>
    </w:p>
    <w:p>
      <w:pPr>
        <w:sectPr>
          <w:pgSz w:w="12240" w:h="15846" w:orient="portrait"/>
          <w:cols w:equalWidth="0" w:num="1">
            <w:col w:w="9366"/>
          </w:cols>
          <w:pgMar w:left="1440" w:top="947" w:right="1440" w:bottom="353" w:gutter="0" w:footer="0" w:header="0"/>
        </w:sectPr>
      </w:pPr>
    </w:p>
    <w:p>
      <w:pPr>
        <w:spacing w:after="0" w:line="3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F-49</w:t>
      </w:r>
    </w:p>
    <w:p>
      <w:pPr>
        <w:sectPr>
          <w:pgSz w:w="12240" w:h="15846" w:orient="portrait"/>
          <w:cols w:equalWidth="0" w:num="1">
            <w:col w:w="9366"/>
          </w:cols>
          <w:pgMar w:left="1440" w:top="947" w:right="1440" w:bottom="353" w:gutter="0" w:footer="0" w:header="0"/>
          <w:type w:val="continuous"/>
        </w:sectPr>
      </w:pPr>
    </w:p>
    <w:bookmarkStart w:id="161" w:name="page162"/>
    <w:bookmarkEnd w:id="161"/>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 Reportable Segments and Geographic Information </w:t>
      </w:r>
      <w:r>
        <w:rPr>
          <w:rFonts w:ascii="Times New Roman" w:cs="Times New Roman" w:eastAsia="Times New Roman" w:hAnsi="Times New Roman"/>
          <w:sz w:val="20"/>
          <w:szCs w:val="20"/>
          <w:color w:val="auto"/>
        </w:rPr>
        <w:t>(cont.)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4"/>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17"/>
                <w:szCs w:val="17"/>
                <w:color w:val="auto"/>
              </w:rPr>
            </w:pPr>
          </w:p>
        </w:tc>
      </w:tr>
      <w:tr>
        <w:trPr>
          <w:trHeight w:val="252"/>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and Financing Expense,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(5,261)</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(3,606)</w:t>
            </w: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2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(899)</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60" w:type="dxa"/>
            <w:vAlign w:val="bottom"/>
          </w:tcPr>
          <w:p>
            <w:pPr>
              <w:spacing w:after="0"/>
              <w:rPr>
                <w:sz w:val="23"/>
                <w:szCs w:val="23"/>
                <w:color w:val="auto"/>
              </w:rPr>
            </w:pPr>
          </w:p>
        </w:tc>
      </w:tr>
      <w:tr>
        <w:trPr>
          <w:trHeight w:val="269"/>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Corporate . . . . . . . . . . . . . . . . . . . . . . . . . . . . . . . . . . . . . . . . . . . . . . . . . . . . .</w:t>
            </w:r>
          </w:p>
        </w:tc>
        <w:tc>
          <w:tcPr>
            <w:tcW w:w="2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(480)</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(3,861)</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8"/>
        </w:trPr>
        <w:tc>
          <w:tcPr>
            <w:tcW w:w="88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(6,640)</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(7,467)</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2"/>
        </w:trPr>
        <w:tc>
          <w:tcPr>
            <w:tcW w:w="8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4"/>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17"/>
                <w:szCs w:val="17"/>
                <w:color w:val="auto"/>
              </w:rPr>
            </w:pPr>
          </w:p>
        </w:tc>
      </w:tr>
      <w:tr>
        <w:trPr>
          <w:trHeight w:val="252"/>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Amortization, and Accretion: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5,696</w:t>
            </w:r>
          </w:p>
        </w:tc>
        <w:tc>
          <w:tcPr>
            <w:tcW w:w="1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6,072</w:t>
            </w:r>
          </w:p>
        </w:tc>
        <w:tc>
          <w:tcPr>
            <w:tcW w:w="60" w:type="dxa"/>
            <w:vAlign w:val="bottom"/>
          </w:tcPr>
          <w:p>
            <w:pPr>
              <w:spacing w:after="0"/>
              <w:rPr>
                <w:sz w:val="23"/>
                <w:szCs w:val="23"/>
                <w:color w:val="auto"/>
              </w:rPr>
            </w:pP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8,542</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4,968</w:t>
            </w:r>
          </w:p>
        </w:tc>
        <w:tc>
          <w:tcPr>
            <w:tcW w:w="60" w:type="dxa"/>
            <w:vAlign w:val="bottom"/>
          </w:tcPr>
          <w:p>
            <w:pPr>
              <w:spacing w:after="0"/>
              <w:rPr>
                <w:sz w:val="23"/>
                <w:szCs w:val="23"/>
                <w:color w:val="auto"/>
              </w:rPr>
            </w:pP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60" w:type="dxa"/>
            <w:vAlign w:val="bottom"/>
          </w:tcPr>
          <w:p>
            <w:pPr>
              <w:spacing w:after="0"/>
              <w:rPr>
                <w:sz w:val="23"/>
                <w:szCs w:val="23"/>
                <w:color w:val="auto"/>
              </w:rPr>
            </w:pPr>
          </w:p>
        </w:tc>
      </w:tr>
      <w:tr>
        <w:trPr>
          <w:trHeight w:val="307"/>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 . . . . . . . . .</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tcPr>
          <w:p>
            <w:pPr>
              <w:spacing w:after="0"/>
              <w:rPr>
                <w:sz w:val="24"/>
                <w:szCs w:val="24"/>
                <w:color w:val="auto"/>
              </w:rPr>
            </w:pPr>
          </w:p>
        </w:tc>
      </w:tr>
      <w:tr>
        <w:trPr>
          <w:trHeight w:val="230"/>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Equity Method Investment(s) . . . . . . . . . . . . . . . . . . . . . . . . . . . . . . . . . . . . . .</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(2,073)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(1,060)</w:t>
            </w:r>
          </w:p>
        </w:tc>
      </w:tr>
      <w:tr>
        <w:trPr>
          <w:trHeight w:val="248"/>
        </w:trPr>
        <w:tc>
          <w:tcPr>
            <w:tcW w:w="88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13,136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10,653</w:t>
            </w:r>
          </w:p>
        </w:tc>
        <w:tc>
          <w:tcPr>
            <w:tcW w:w="6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amortization of intangible assets and depreciation expense not allocated to any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4"/>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17"/>
                <w:szCs w:val="17"/>
                <w:color w:val="auto"/>
              </w:rPr>
            </w:pPr>
          </w:p>
        </w:tc>
      </w:tr>
      <w:tr>
        <w:trPr>
          <w:trHeight w:val="252"/>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(816)</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(7,245)</w:t>
            </w: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38,250</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61,700</w:t>
            </w:r>
          </w:p>
        </w:tc>
        <w:tc>
          <w:tcPr>
            <w:tcW w:w="60" w:type="dxa"/>
            <w:vAlign w:val="bottom"/>
          </w:tcPr>
          <w:p>
            <w:pPr>
              <w:spacing w:after="0"/>
              <w:rPr>
                <w:sz w:val="23"/>
                <w:szCs w:val="23"/>
                <w:color w:val="auto"/>
              </w:rPr>
            </w:pP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8,607</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7,149</w:t>
            </w:r>
          </w:p>
        </w:tc>
        <w:tc>
          <w:tcPr>
            <w:tcW w:w="60" w:type="dxa"/>
            <w:vAlign w:val="bottom"/>
          </w:tcPr>
          <w:p>
            <w:pPr>
              <w:spacing w:after="0"/>
              <w:rPr>
                <w:sz w:val="23"/>
                <w:szCs w:val="23"/>
                <w:color w:val="auto"/>
              </w:rPr>
            </w:pP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Corporate . . . . . . . . . . . . . . . . . . . . . . . . . . . . . . . . . . . . . . . . . . . . . . . . . . . . .</w:t>
            </w:r>
          </w:p>
        </w:tc>
        <w:tc>
          <w:tcPr>
            <w:tcW w:w="2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(19,246)</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(23,103)</w:t>
            </w:r>
          </w:p>
        </w:tc>
      </w:tr>
      <w:tr>
        <w:trPr>
          <w:trHeight w:val="269"/>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Equity Method Investment(s) . . . . . . . . . . . . . . . . . . . . . . . . . . . . . . . . . . . . . .</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5,784</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2,268</w:t>
            </w:r>
          </w:p>
        </w:tc>
      </w:tr>
      <w:tr>
        <w:trPr>
          <w:trHeight w:val="248"/>
        </w:trPr>
        <w:tc>
          <w:tcPr>
            <w:tcW w:w="88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32,579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40,769</w:t>
            </w:r>
          </w:p>
        </w:tc>
        <w:tc>
          <w:tcPr>
            <w:tcW w:w="6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2"/>
        </w:trPr>
        <w:tc>
          <w:tcPr>
            <w:tcW w:w="8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444"/>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17"/>
                <w:szCs w:val="17"/>
                <w:color w:val="auto"/>
              </w:rPr>
            </w:pPr>
          </w:p>
        </w:tc>
      </w:tr>
      <w:tr>
        <w:trPr>
          <w:trHeight w:val="252"/>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paid for Purchases of Property, Plant, and Equipment: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8"/>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w:t>
            </w:r>
          </w:p>
        </w:tc>
        <w:tc>
          <w:tcPr>
            <w:tcW w:w="1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Fuel Station Services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10,792</w:t>
            </w:r>
          </w:p>
        </w:tc>
        <w:tc>
          <w:tcPr>
            <w:tcW w:w="60" w:type="dxa"/>
            <w:vAlign w:val="bottom"/>
          </w:tcPr>
          <w:p>
            <w:pPr>
              <w:spacing w:after="0"/>
              <w:rPr>
                <w:sz w:val="24"/>
                <w:szCs w:val="24"/>
                <w:color w:val="auto"/>
              </w:rPr>
            </w:pPr>
          </w:p>
        </w:tc>
      </w:tr>
      <w:tr>
        <w:trPr>
          <w:trHeight w:val="230"/>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121,844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78,854</w:t>
            </w:r>
          </w:p>
        </w:tc>
      </w:tr>
      <w:tr>
        <w:trPr>
          <w:trHeight w:val="248"/>
        </w:trPr>
        <w:tc>
          <w:tcPr>
            <w:tcW w:w="88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131,410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89,646</w:t>
            </w:r>
          </w:p>
        </w:tc>
        <w:tc>
          <w:tcPr>
            <w:tcW w:w="6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paid for finance leases of $863 and $0 for the years ended December 31, 2022 and 2021.</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F-50</w:t>
      </w:r>
    </w:p>
    <w:p>
      <w:pPr>
        <w:sectPr>
          <w:pgSz w:w="12240" w:h="15846" w:orient="portrait"/>
          <w:cols w:equalWidth="0" w:num="1">
            <w:col w:w="9366"/>
          </w:cols>
          <w:pgMar w:left="1440" w:top="947" w:right="1440" w:bottom="353" w:gutter="0" w:footer="0" w:header="0"/>
          <w:type w:val="continuous"/>
        </w:sectPr>
      </w:pPr>
    </w:p>
    <w:bookmarkStart w:id="162" w:name="page163"/>
    <w:bookmarkEnd w:id="162"/>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 Reportable Segments and Geographic Information </w:t>
      </w:r>
      <w:r>
        <w:rPr>
          <w:rFonts w:ascii="Times New Roman" w:cs="Times New Roman" w:eastAsia="Times New Roman" w:hAnsi="Times New Roman"/>
          <w:sz w:val="20"/>
          <w:szCs w:val="20"/>
          <w:color w:val="auto"/>
        </w:rPr>
        <w:t>(cont.)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5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8"/>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Renewable Power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43,728</w:t>
            </w:r>
          </w:p>
        </w:tc>
      </w:tr>
      <w:tr>
        <w:trPr>
          <w:trHeight w:val="268"/>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RNG Fuel . . . . . . . . . . . . . . . . . . . . . . . . . . . . . . . . . . . . . . . . . . . . . . . . . . . . .</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376,933</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215,512</w:t>
            </w:r>
          </w:p>
        </w:tc>
      </w:tr>
      <w:tr>
        <w:trPr>
          <w:trHeight w:val="268"/>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Fuel Station Services . . . . . . . . . . . . . . . . . . . . . . . . . . . . . . . . . . . . . . . . . . . .</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90,486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56,567</w:t>
            </w:r>
          </w:p>
        </w:tc>
      </w:tr>
      <w:tr>
        <w:trPr>
          <w:trHeight w:val="268"/>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other . . . . . . . . . . . . . . . . . . . . . . . . . . . . . . . . . . . . . . . . . . . . .</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82,204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17,887</w:t>
            </w:r>
          </w:p>
        </w:tc>
      </w:tr>
      <w:tr>
        <w:trPr>
          <w:trHeight w:val="269"/>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Equity Method Investment(s) . . . . . . . . . . . . . . . . . . . . . . . . . . . . . . . . . . . . . .</w:t>
            </w: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51,765</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47,150</w:t>
            </w:r>
          </w:p>
        </w:tc>
      </w:tr>
      <w:tr>
        <w:trPr>
          <w:trHeight w:val="248"/>
        </w:trPr>
        <w:tc>
          <w:tcPr>
            <w:tcW w:w="65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644,856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380,844</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Geographic Information: The Company’s assets and revenue generating activities are domiciled in the United States.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Variable Interest Entities</w:t>
      </w:r>
    </w:p>
    <w:p>
      <w:pPr>
        <w:spacing w:after="0" w:line="187" w:lineRule="exact"/>
        <w:rPr>
          <w:sz w:val="20"/>
          <w:szCs w:val="20"/>
          <w:color w:val="auto"/>
        </w:rPr>
      </w:pPr>
    </w:p>
    <w:p>
      <w:pPr>
        <w:jc w:val="both"/>
        <w:ind w:right="6" w:firstLine="480"/>
        <w:spacing w:after="0" w:line="260" w:lineRule="auto"/>
        <w:rPr>
          <w:sz w:val="20"/>
          <w:szCs w:val="20"/>
          <w:color w:val="auto"/>
        </w:rPr>
      </w:pPr>
      <w:r>
        <w:rPr>
          <w:rFonts w:ascii="Times New Roman" w:cs="Times New Roman" w:eastAsia="Times New Roman" w:hAnsi="Times New Roman"/>
          <w:sz w:val="20"/>
          <w:szCs w:val="20"/>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169" w:lineRule="exact"/>
        <w:rPr>
          <w:sz w:val="20"/>
          <w:szCs w:val="20"/>
          <w:color w:val="auto"/>
        </w:rPr>
      </w:pPr>
    </w:p>
    <w:p>
      <w:pPr>
        <w:jc w:val="both"/>
        <w:ind w:right="6" w:firstLine="480"/>
        <w:spacing w:after="0" w:line="259" w:lineRule="auto"/>
        <w:rPr>
          <w:sz w:val="20"/>
          <w:szCs w:val="20"/>
          <w:color w:val="auto"/>
        </w:rPr>
      </w:pPr>
      <w:r>
        <w:rPr>
          <w:rFonts w:ascii="Times New Roman" w:cs="Times New Roman" w:eastAsia="Times New Roman" w:hAnsi="Times New Roman"/>
          <w:sz w:val="20"/>
          <w:szCs w:val="20"/>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71" w:lineRule="exact"/>
        <w:rPr>
          <w:sz w:val="20"/>
          <w:szCs w:val="20"/>
          <w:color w:val="auto"/>
        </w:rPr>
      </w:pPr>
    </w:p>
    <w:p>
      <w:pPr>
        <w:jc w:val="both"/>
        <w:ind w:right="6" w:firstLine="480"/>
        <w:spacing w:after="0" w:line="257" w:lineRule="auto"/>
        <w:rPr>
          <w:sz w:val="20"/>
          <w:szCs w:val="20"/>
          <w:color w:val="auto"/>
        </w:rPr>
      </w:pPr>
      <w:r>
        <w:rPr>
          <w:rFonts w:ascii="Times New Roman" w:cs="Times New Roman" w:eastAsia="Times New Roman" w:hAnsi="Times New Roman"/>
          <w:sz w:val="20"/>
          <w:szCs w:val="20"/>
          <w:color w:val="auto"/>
        </w:rPr>
        <w:t>As of December 31, 2022 and December 31, 2021, the Company held equity interests in five VIEs — Sunoma, GREP, Emerald, Sapphire, and Central Valley. GREP has been presented as an equity method investment and the remaining four VIEs Sunoma, Emerald, Sapphire, and Central Valley are consolidated by the Company.</w:t>
      </w:r>
    </w:p>
    <w:p>
      <w:pPr>
        <w:spacing w:after="0" w:line="171" w:lineRule="exact"/>
        <w:rPr>
          <w:sz w:val="20"/>
          <w:szCs w:val="20"/>
          <w:color w:val="auto"/>
        </w:rPr>
      </w:pPr>
    </w:p>
    <w:p>
      <w:pPr>
        <w:jc w:val="both"/>
        <w:ind w:right="6" w:firstLine="480"/>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2022, the Company determined that it will no longer be liable to pay $4,365, which was previously recorded as part of other liabilities — long term, to a non-controlling interest in one of our VIEs as the applicable criteria for payment are no longer met. Therefore, the Company reversed the liability on its consolidated balance sheet as of December 31, 2022 and recorded $4,365 as change in fair value of derivative instruments,net in its consolidated statement of operations for the year ended December 31, 2022.</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F-51</w:t>
      </w:r>
    </w:p>
    <w:p>
      <w:pPr>
        <w:sectPr>
          <w:pgSz w:w="12240" w:h="15846" w:orient="portrait"/>
          <w:cols w:equalWidth="0" w:num="1">
            <w:col w:w="9366"/>
          </w:cols>
          <w:pgMar w:left="1440" w:top="947" w:right="1440" w:bottom="353" w:gutter="0" w:footer="0" w:header="0"/>
          <w:type w:val="continuous"/>
        </w:sectPr>
      </w:pPr>
    </w:p>
    <w:bookmarkStart w:id="163" w:name="page164"/>
    <w:bookmarkEnd w:id="163"/>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 Variable Interest Entities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consolidated balance sheets as of December 31, 2022 and December 31, 2021.</w:t>
      </w:r>
    </w:p>
    <w:p>
      <w:pPr>
        <w:spacing w:after="0" w:line="172"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193" w:lineRule="exact"/>
        <w:rPr>
          <w:sz w:val="20"/>
          <w:szCs w:val="20"/>
          <w:color w:val="auto"/>
        </w:rPr>
      </w:pPr>
    </w:p>
    <w:p>
      <w:pPr>
        <w:jc w:val="both"/>
        <w:ind w:left="960" w:right="6" w:hanging="479"/>
        <w:spacing w:after="0" w:line="246" w:lineRule="auto"/>
        <w:tabs>
          <w:tab w:leader="none" w:pos="9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as a managing member, has the power to order the activities that significantly impact the economic performance of the four entities including establishment of strategic, operating, and capital decisions for each of these entities; and</w:t>
      </w:r>
    </w:p>
    <w:p>
      <w:pPr>
        <w:spacing w:after="0" w:line="192" w:lineRule="exact"/>
        <w:rPr>
          <w:rFonts w:ascii="Times New Roman" w:cs="Times New Roman" w:eastAsia="Times New Roman" w:hAnsi="Times New Roman"/>
          <w:sz w:val="20"/>
          <w:szCs w:val="20"/>
          <w:color w:val="auto"/>
        </w:rPr>
      </w:pPr>
    </w:p>
    <w:p>
      <w:pPr>
        <w:ind w:left="960" w:right="6" w:hanging="479"/>
        <w:spacing w:after="0" w:line="243" w:lineRule="auto"/>
        <w:tabs>
          <w:tab w:leader="none" w:pos="9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the obligation to absorb the potential losses for the right to receive potential benefits, which could be significant to the VIE;</w:t>
      </w:r>
    </w:p>
    <w:p>
      <w:pPr>
        <w:spacing w:after="0" w:line="19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consolidated financial statements.</w:t>
      </w:r>
    </w:p>
    <w:p>
      <w:pPr>
        <w:spacing w:after="0" w:line="188"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93"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major consolidated balance sheet items for consolidated VIEs as of December 31, 2022 and December 31, 2021. The information below is presented on an aggregate basis based on similar risk and reward characteristics and the nature of our involvement with the VIEs, such as:</w:t>
      </w:r>
    </w:p>
    <w:p>
      <w:pPr>
        <w:spacing w:after="0" w:line="186" w:lineRule="exact"/>
        <w:rPr>
          <w:sz w:val="20"/>
          <w:szCs w:val="20"/>
          <w:color w:val="auto"/>
        </w:rPr>
      </w:pPr>
    </w:p>
    <w:p>
      <w:pPr>
        <w:ind w:left="960" w:hanging="479"/>
        <w:spacing w:after="0"/>
        <w:tabs>
          <w:tab w:leader="none" w:pos="9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VIEs are RNG facilities and they are reported under the RNG Fuel Supply segment;</w:t>
      </w:r>
    </w:p>
    <w:p>
      <w:pPr>
        <w:spacing w:after="0" w:line="196" w:lineRule="exact"/>
        <w:rPr>
          <w:rFonts w:ascii="Times New Roman" w:cs="Times New Roman" w:eastAsia="Times New Roman" w:hAnsi="Times New Roman"/>
          <w:sz w:val="20"/>
          <w:szCs w:val="20"/>
          <w:color w:val="auto"/>
        </w:rPr>
      </w:pPr>
    </w:p>
    <w:p>
      <w:pPr>
        <w:ind w:left="960" w:right="6" w:hanging="479"/>
        <w:spacing w:after="0" w:line="243" w:lineRule="auto"/>
        <w:tabs>
          <w:tab w:leader="none" w:pos="9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our interest in these entities is primarily equity based and therefore carry similar risk and reward characteristics;</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F-52</w:t>
      </w:r>
    </w:p>
    <w:p>
      <w:pPr>
        <w:sectPr>
          <w:pgSz w:w="12240" w:h="15846" w:orient="portrait"/>
          <w:cols w:equalWidth="0" w:num="1">
            <w:col w:w="9366"/>
          </w:cols>
          <w:pgMar w:left="1440" w:top="947" w:right="1440" w:bottom="353" w:gutter="0" w:footer="0" w:header="0"/>
          <w:type w:val="continuous"/>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 Variable Interest Entities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20"/>
          <w:szCs w:val="20"/>
          <w:color w:val="auto"/>
        </w:rPr>
        <w:t>The amount of assets that can only be used to settle obligations of the VIEs are parenthesized in the consolidated balance sheets and are included in the asset totals listed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0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48"/>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12,506</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w:t>
            </w: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Accounts receivable, net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Restricted cash – current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4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Total current assets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20,858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2,144</w:t>
            </w:r>
          </w:p>
        </w:tc>
        <w:tc>
          <w:tcPr>
            <w:tcW w:w="0" w:type="dxa"/>
            <w:vAlign w:val="bottom"/>
          </w:tcPr>
          <w:p>
            <w:pPr>
              <w:spacing w:after="0"/>
              <w:rPr>
                <w:sz w:val="1"/>
                <w:szCs w:val="1"/>
                <w:color w:val="auto"/>
              </w:rPr>
            </w:pPr>
          </w:p>
        </w:tc>
      </w:tr>
      <w:tr>
        <w:trPr>
          <w:trHeight w:val="239"/>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73,140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27,794</w:t>
            </w: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Restricted cash, non-current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1,163</w:t>
            </w:r>
          </w:p>
        </w:tc>
        <w:tc>
          <w:tcPr>
            <w:tcW w:w="0" w:type="dxa"/>
            <w:vAlign w:val="bottom"/>
          </w:tcPr>
          <w:p>
            <w:pPr>
              <w:spacing w:after="0"/>
              <w:rPr>
                <w:sz w:val="1"/>
                <w:szCs w:val="1"/>
                <w:color w:val="auto"/>
              </w:rPr>
            </w:pPr>
          </w:p>
        </w:tc>
      </w:tr>
      <w:tr>
        <w:trPr>
          <w:trHeight w:val="24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 . . . . . . . . . . . . . . . . . . . . . . . . . . . . . . . . . . . . . . . . . . .Totalassets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96,921</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31,101</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4,896</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Accounts payable, related party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w:t>
            </w: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646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Accrued capital expenses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w:t>
            </w:r>
          </w:p>
        </w:tc>
        <w:tc>
          <w:tcPr>
            <w:tcW w:w="0" w:type="dxa"/>
            <w:vAlign w:val="bottom"/>
          </w:tcPr>
          <w:p>
            <w:pPr>
              <w:spacing w:after="0"/>
              <w:rPr>
                <w:sz w:val="1"/>
                <w:szCs w:val="1"/>
                <w:color w:val="auto"/>
              </w:rPr>
            </w:pPr>
          </w:p>
        </w:tc>
      </w:tr>
      <w:tr>
        <w:trPr>
          <w:trHeight w:val="26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Sunoma Loan- current portion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0" w:type="dxa"/>
            <w:vAlign w:val="bottom"/>
          </w:tcPr>
          <w:p>
            <w:pPr>
              <w:spacing w:after="0"/>
              <w:rPr>
                <w:sz w:val="1"/>
                <w:szCs w:val="1"/>
                <w:color w:val="auto"/>
              </w:rPr>
            </w:pPr>
          </w:p>
        </w:tc>
      </w:tr>
      <w:tr>
        <w:trPr>
          <w:trHeight w:val="24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14,176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3,022</w:t>
            </w:r>
          </w:p>
        </w:tc>
        <w:tc>
          <w:tcPr>
            <w:tcW w:w="0" w:type="dxa"/>
            <w:vAlign w:val="bottom"/>
          </w:tcPr>
          <w:p>
            <w:pPr>
              <w:spacing w:after="0"/>
              <w:rPr>
                <w:sz w:val="1"/>
                <w:szCs w:val="1"/>
                <w:color w:val="auto"/>
              </w:rPr>
            </w:pPr>
          </w:p>
        </w:tc>
      </w:tr>
      <w:tr>
        <w:trPr>
          <w:trHeight w:val="24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Sunoma loan, net of debt issuance costs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16,199</w:t>
            </w:r>
          </w:p>
        </w:tc>
        <w:tc>
          <w:tcPr>
            <w:tcW w:w="0" w:type="dxa"/>
            <w:vAlign w:val="bottom"/>
          </w:tcPr>
          <w:p>
            <w:pPr>
              <w:spacing w:after="0"/>
              <w:rPr>
                <w:sz w:val="1"/>
                <w:szCs w:val="1"/>
                <w:color w:val="auto"/>
              </w:rPr>
            </w:pPr>
          </w:p>
        </w:tc>
      </w:tr>
      <w:tr>
        <w:trPr>
          <w:trHeight w:val="239"/>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19,221</w:t>
            </w:r>
          </w:p>
        </w:tc>
        <w:tc>
          <w:tcPr>
            <w:tcW w:w="0" w:type="dxa"/>
            <w:vAlign w:val="bottom"/>
          </w:tcPr>
          <w:p>
            <w:pPr>
              <w:spacing w:after="0"/>
              <w:rPr>
                <w:sz w:val="1"/>
                <w:szCs w:val="1"/>
                <w:color w:val="auto"/>
              </w:rPr>
            </w:pP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Stockholders’ equity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34,588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10,692</w:t>
            </w:r>
          </w:p>
        </w:tc>
        <w:tc>
          <w:tcPr>
            <w:tcW w:w="0" w:type="dxa"/>
            <w:vAlign w:val="bottom"/>
          </w:tcPr>
          <w:p>
            <w:pPr>
              <w:spacing w:after="0"/>
              <w:rPr>
                <w:sz w:val="1"/>
                <w:szCs w:val="1"/>
                <w:color w:val="auto"/>
              </w:rPr>
            </w:pPr>
          </w:p>
        </w:tc>
      </w:tr>
      <w:tr>
        <w:trPr>
          <w:trHeight w:val="262"/>
        </w:trPr>
        <w:tc>
          <w:tcPr>
            <w:tcW w:w="6540" w:type="dxa"/>
            <w:vAlign w:val="bottom"/>
            <w:gridSpan w:val="2"/>
          </w:tcPr>
          <w:p>
            <w:pPr>
              <w:jc w:val="right"/>
              <w:ind w:right="180"/>
              <w:spacing w:after="0" w:line="262" w:lineRule="exact"/>
              <w:rPr>
                <w:sz w:val="20"/>
                <w:szCs w:val="20"/>
                <w:color w:val="auto"/>
              </w:rPr>
            </w:pPr>
            <w:r>
              <w:rPr>
                <w:rFonts w:ascii="Times New Roman" w:cs="Times New Roman" w:eastAsia="Times New Roman" w:hAnsi="Times New Roman"/>
                <w:sz w:val="20"/>
                <w:szCs w:val="20"/>
                <w:color w:val="auto"/>
              </w:rPr>
              <w:t>Non-redeemable non-controlling interests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26,445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w:t>
            </w:r>
          </w:p>
        </w:tc>
        <w:tc>
          <w:tcPr>
            <w:tcW w:w="0" w:type="dxa"/>
            <w:vAlign w:val="bottom"/>
          </w:tcPr>
          <w:p>
            <w:pPr>
              <w:spacing w:after="0"/>
              <w:rPr>
                <w:sz w:val="1"/>
                <w:szCs w:val="1"/>
                <w:color w:val="auto"/>
              </w:rPr>
            </w:pPr>
          </w:p>
        </w:tc>
      </w:tr>
      <w:tr>
        <w:trPr>
          <w:trHeight w:val="238"/>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Total equity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11,880</w:t>
            </w:r>
          </w:p>
        </w:tc>
        <w:tc>
          <w:tcPr>
            <w:tcW w:w="0" w:type="dxa"/>
            <w:vAlign w:val="bottom"/>
          </w:tcPr>
          <w:p>
            <w:pPr>
              <w:spacing w:after="0"/>
              <w:rPr>
                <w:sz w:val="1"/>
                <w:szCs w:val="1"/>
                <w:color w:val="auto"/>
              </w:rPr>
            </w:pPr>
          </w:p>
        </w:tc>
      </w:tr>
      <w:tr>
        <w:trPr>
          <w:trHeight w:val="24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 . . . . . . . . . . . . . . . . . . . . . . . . . . . . . . . . . . .TotalLiabilitiesandEquity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96,921</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31,101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480" w:right="20" w:hanging="480"/>
        <w:spacing w:after="0" w:line="251" w:lineRule="auto"/>
        <w:tabs>
          <w:tab w:leader="none" w:pos="4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the Company paid $5,845 as prepayment of its share of equity contribution in a joint venture to meet the equity requirements. As of December 31, 2022, $2,922 of the payment has been reflected as part of non-redeemable non-controlling interest in the consolidated statement of changes in Redeemable non-controlling interests, redeemable preferred non-controlling interests and stockholders’ equity.</w:t>
      </w:r>
    </w:p>
    <w:p>
      <w:pPr>
        <w:spacing w:after="0" w:line="254" w:lineRule="exact"/>
        <w:rPr>
          <w:sz w:val="20"/>
          <w:szCs w:val="20"/>
          <w:color w:val="auto"/>
        </w:rPr>
      </w:pPr>
    </w:p>
    <w:p>
      <w:pPr>
        <w:spacing w:after="0" w:line="244" w:lineRule="auto"/>
        <w:tabs>
          <w:tab w:leader="none" w:pos="32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Redeemable non-controlling interests, Redeemable preferred non-controlling interests and Stockholders’ Equity</w:t>
      </w:r>
    </w:p>
    <w:p>
      <w:pPr>
        <w:spacing w:after="0" w:line="174"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consolidated statements of change in Redeemable non-controlling interests, Redeemable preferred non-controlling interests and stockholders’ equity reflect the reverse recapitalization and Business Combination as mentioned in Note 3,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 xml:space="preserve"> As OPAL Fuels was deemed to be the acquirer in the Business Combination, all periods prior to the completion of the Business Combination reflect the balances and activity of OPAL Fuels. The consolidated balances as of December 31, 2021 from the audited financial statements of OPAL Fuels as of that date, share activity (Redeemable preferred units and common units) and per share amounts in the consolidated statement of change in redeemable preferred units and stockholders’ equity were retroactively adjusted.</w:t>
      </w:r>
    </w:p>
    <w:p>
      <w:pPr>
        <w:sectPr>
          <w:pgSz w:w="12240" w:h="15846" w:orient="portrait"/>
          <w:cols w:equalWidth="0" w:num="1">
            <w:col w:w="9380"/>
          </w:cols>
          <w:pgMar w:left="1440" w:top="947" w:right="1426"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F-53</w:t>
      </w:r>
    </w:p>
    <w:p>
      <w:pPr>
        <w:sectPr>
          <w:pgSz w:w="12240" w:h="15846" w:orient="portrait"/>
          <w:cols w:equalWidth="0" w:num="1">
            <w:col w:w="9380"/>
          </w:cols>
          <w:pgMar w:left="1440" w:top="947" w:right="1426" w:bottom="353" w:gutter="0" w:footer="0" w:header="0"/>
          <w:type w:val="continuous"/>
        </w:sectPr>
      </w:pPr>
    </w:p>
    <w:bookmarkStart w:id="165" w:name="page166"/>
    <w:bookmarkEnd w:id="16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firstLine="1"/>
        <w:spacing w:after="0" w:line="244" w:lineRule="auto"/>
        <w:tabs>
          <w:tab w:leader="none" w:pos="32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After giving effect to the Business Combination, there were (i) 25,671,390 shares of Class A common stock issued and outstanding, (ii) 144,399,037 shares of New OPAL Class D common stock issued and outstanding,</w:t>
      </w:r>
    </w:p>
    <w:p>
      <w:pPr>
        <w:spacing w:after="0" w:line="14" w:lineRule="exact"/>
        <w:rPr>
          <w:sz w:val="20"/>
          <w:szCs w:val="20"/>
          <w:color w:val="auto"/>
        </w:rPr>
      </w:pPr>
    </w:p>
    <w:p>
      <w:pPr>
        <w:jc w:val="both"/>
        <w:ind w:right="20" w:firstLine="1"/>
        <w:spacing w:after="0" w:line="248" w:lineRule="auto"/>
        <w:tabs>
          <w:tab w:leader="none" w:pos="37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spacing w:after="0" w:line="172"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 xml:space="preserve">As part of the Business Combination, $68,359 of Class A common stock and Additional paid-in capital was recorded, net of transaction costs of $6,467. Please see Note 3. </w:t>
      </w:r>
      <w:r>
        <w:rPr>
          <w:rFonts w:ascii="Times New Roman" w:cs="Times New Roman" w:eastAsia="Times New Roman" w:hAnsi="Times New Roman"/>
          <w:sz w:val="20"/>
          <w:szCs w:val="20"/>
          <w:i w:val="1"/>
          <w:iCs w:val="1"/>
          <w:color w:val="auto"/>
        </w:rPr>
        <w:t>Business Combination</w:t>
      </w:r>
      <w:r>
        <w:rPr>
          <w:rFonts w:ascii="Times New Roman" w:cs="Times New Roman" w:eastAsia="Times New Roman" w:hAnsi="Times New Roman"/>
          <w:sz w:val="20"/>
          <w:szCs w:val="20"/>
          <w:color w:val="auto"/>
        </w:rPr>
        <w:t xml:space="preserve"> for additional information</w:t>
      </w:r>
      <w:r>
        <w:rPr>
          <w:rFonts w:ascii="Times New Roman" w:cs="Times New Roman" w:eastAsia="Times New Roman" w:hAnsi="Times New Roman"/>
          <w:sz w:val="20"/>
          <w:szCs w:val="20"/>
          <w:i w:val="1"/>
          <w:iCs w:val="1"/>
          <w:color w:val="auto"/>
        </w:rPr>
        <w:t>.</w:t>
      </w:r>
    </w:p>
    <w:p>
      <w:pPr>
        <w:spacing w:after="0" w:line="174"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On November 18, 2022, the Company announced the commencement of an exchange offer (the “Offer”) and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w:t>
      </w:r>
    </w:p>
    <w:p>
      <w:pPr>
        <w:spacing w:after="0" w:line="175"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 The Company recorded $3,368 as loss on exchange of Warrants.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Voting Rights. </w:t>
      </w:r>
      <w:r>
        <w:rPr>
          <w:rFonts w:ascii="Times New Roman" w:cs="Times New Roman" w:eastAsia="Times New Roman" w:hAnsi="Times New Roman"/>
          <w:sz w:val="20"/>
          <w:szCs w:val="20"/>
          <w:color w:val="auto"/>
        </w:rPr>
        <w:t>Each holder of Class A common stock is entitled to one vote for each share of Class A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held of record by such holder on all matters on which stockholders generally are entitled to vote. Further, the holders of the outstanding shares of Class A common stock are entitled to vote separately upon any amendment to the Company’s Certificate of Incorporation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70"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Dividends and other distributions of cash, stock or property may be declared and paid on the shares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Class A common stock and the shares of Class C common stock out of the assets of the Company that are by law available therefor, at the times and in the amounts as our board in its discretion may determine.</w:t>
      </w:r>
    </w:p>
    <w:p>
      <w:pPr>
        <w:spacing w:after="0" w:line="173" w:lineRule="exact"/>
        <w:rPr>
          <w:sz w:val="20"/>
          <w:szCs w:val="20"/>
          <w:color w:val="auto"/>
        </w:rPr>
      </w:pPr>
    </w:p>
    <w:p>
      <w:pPr>
        <w:jc w:val="both"/>
        <w:ind w:right="20" w:firstLine="48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Liquidation rights. </w:t>
      </w:r>
      <w:r>
        <w:rPr>
          <w:rFonts w:ascii="Times New Roman" w:cs="Times New Roman" w:eastAsia="Times New Roman" w:hAnsi="Times New Roman"/>
          <w:sz w:val="19"/>
          <w:szCs w:val="19"/>
          <w:color w:val="auto"/>
        </w:rPr>
        <w:t>In the event of any voluntary or involuntary liquidation, dissolution or winding-up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w:t>
      </w:r>
    </w:p>
    <w:p>
      <w:pPr>
        <w:sectPr>
          <w:pgSz w:w="12240" w:h="15846" w:orient="portrait"/>
          <w:cols w:equalWidth="0" w:num="1">
            <w:col w:w="9380"/>
          </w:cols>
          <w:pgMar w:left="1440" w:top="947" w:right="1426"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F-54</w:t>
      </w:r>
    </w:p>
    <w:p>
      <w:pPr>
        <w:sectPr>
          <w:pgSz w:w="12240" w:h="15846" w:orient="portrait"/>
          <w:cols w:equalWidth="0" w:num="1">
            <w:col w:w="9380"/>
          </w:cols>
          <w:pgMar w:left="1440" w:top="947" w:right="1426" w:bottom="353" w:gutter="0" w:footer="0" w:header="0"/>
          <w:type w:val="continuous"/>
        </w:sectPr>
      </w:pPr>
    </w:p>
    <w:bookmarkStart w:id="166" w:name="page167"/>
    <w:bookmarkEnd w:id="16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firstLine="1"/>
        <w:spacing w:after="0" w:line="244" w:lineRule="auto"/>
        <w:tabs>
          <w:tab w:leader="none" w:pos="32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 B common stock</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Shares of Class B common stock may, together with the corresponding Class B Units, be exchanged for shares of Class A common stock.</w:t>
      </w:r>
    </w:p>
    <w:p>
      <w:pPr>
        <w:spacing w:after="0" w:line="174"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Voting Rights. </w:t>
      </w:r>
      <w:r>
        <w:rPr>
          <w:rFonts w:ascii="Times New Roman" w:cs="Times New Roman" w:eastAsia="Times New Roman" w:hAnsi="Times New Roman"/>
          <w:sz w:val="19"/>
          <w:szCs w:val="19"/>
          <w:color w:val="auto"/>
        </w:rPr>
        <w:t>Each holder of Class B common stock will be entitled to one vote for each share of Class 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49" w:lineRule="exact"/>
        <w:rPr>
          <w:sz w:val="20"/>
          <w:szCs w:val="20"/>
          <w:color w:val="auto"/>
        </w:rPr>
      </w:pPr>
    </w:p>
    <w:p>
      <w:pPr>
        <w:ind w:left="480"/>
        <w:spacing w:after="0"/>
        <w:tabs>
          <w:tab w:leader="none" w:pos="1520" w:val="left"/>
        </w:tabs>
        <w:rPr>
          <w:sz w:val="20"/>
          <w:szCs w:val="20"/>
          <w:color w:val="auto"/>
        </w:rPr>
      </w:pPr>
      <w:r>
        <w:rPr>
          <w:rFonts w:ascii="Times New Roman" w:cs="Times New Roman" w:eastAsia="Times New Roman" w:hAnsi="Times New Roman"/>
          <w:sz w:val="20"/>
          <w:szCs w:val="20"/>
          <w:i w:val="1"/>
          <w:iCs w:val="1"/>
          <w:color w:val="auto"/>
        </w:rPr>
        <w:t>Dividends.</w:t>
      </w:r>
      <w:r>
        <w:rPr>
          <w:sz w:val="20"/>
          <w:szCs w:val="20"/>
          <w:color w:val="auto"/>
        </w:rPr>
        <w:tab/>
      </w:r>
      <w:r>
        <w:rPr>
          <w:rFonts w:ascii="Times New Roman" w:cs="Times New Roman" w:eastAsia="Times New Roman" w:hAnsi="Times New Roman"/>
          <w:sz w:val="19"/>
          <w:szCs w:val="19"/>
          <w:color w:val="auto"/>
        </w:rPr>
        <w:t>Dividends of cash or property may not be declared or paid on shares of Class B common stock.</w:t>
      </w:r>
    </w:p>
    <w:p>
      <w:pPr>
        <w:spacing w:after="0" w:line="17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Liquidation rights. </w:t>
      </w:r>
      <w:r>
        <w:rPr>
          <w:rFonts w:ascii="Times New Roman" w:cs="Times New Roman" w:eastAsia="Times New Roman" w:hAnsi="Times New Roman"/>
          <w:sz w:val="20"/>
          <w:szCs w:val="20"/>
          <w:color w:val="auto"/>
        </w:rPr>
        <w:t>In the event of any voluntary or involuntary liquidation, dissolution or winding-up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affairs of the Company, after payment or provision for payment of the debts and other liabilities and of the preferential and other amounts to which the holders of preferred stock are entitled, if any, the holders of shares of Class B common stock will not be entitled to receive, with respect to such shares, any assets of the Company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or for the consideration payable in respect of shares of Class A common stock in such voluntary or involuntary liquidation, dissolution or winding-up.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 C common stock</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Shares of Class C common stock may be converted to shares of Class A common stock, as discussed further below</w:t>
      </w:r>
      <w:r>
        <w:rPr>
          <w:rFonts w:ascii="Times New Roman" w:cs="Times New Roman" w:eastAsia="Times New Roman" w:hAnsi="Times New Roman"/>
          <w:sz w:val="20"/>
          <w:szCs w:val="20"/>
          <w:i w:val="1"/>
          <w:iCs w:val="1"/>
          <w:color w:val="auto"/>
        </w:rPr>
        <w:t>.</w:t>
      </w:r>
    </w:p>
    <w:p>
      <w:pPr>
        <w:spacing w:after="0" w:line="174" w:lineRule="exact"/>
        <w:rPr>
          <w:sz w:val="20"/>
          <w:szCs w:val="20"/>
          <w:color w:val="auto"/>
        </w:rPr>
      </w:pPr>
    </w:p>
    <w:p>
      <w:pPr>
        <w:jc w:val="both"/>
        <w:ind w:left="960" w:right="20" w:hanging="479"/>
        <w:spacing w:after="0" w:line="248" w:lineRule="auto"/>
        <w:tabs>
          <w:tab w:leader="none" w:pos="9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Voluntary Conversion. </w:t>
      </w:r>
      <w:r>
        <w:rPr>
          <w:rFonts w:ascii="Times New Roman" w:cs="Times New Roman" w:eastAsia="Times New Roman" w:hAnsi="Times New Roman"/>
          <w:sz w:val="20"/>
          <w:szCs w:val="20"/>
          <w:color w:val="auto"/>
        </w:rPr>
        <w:t>Each share of Class C common stock shall be convertible into one share of Class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71" w:lineRule="exact"/>
        <w:rPr>
          <w:rFonts w:ascii="Times New Roman" w:cs="Times New Roman" w:eastAsia="Times New Roman" w:hAnsi="Times New Roman"/>
          <w:sz w:val="20"/>
          <w:szCs w:val="20"/>
          <w:color w:val="auto"/>
        </w:rPr>
      </w:pPr>
    </w:p>
    <w:p>
      <w:pPr>
        <w:jc w:val="both"/>
        <w:ind w:left="960" w:right="20" w:hanging="479"/>
        <w:spacing w:after="0" w:line="246" w:lineRule="auto"/>
        <w:tabs>
          <w:tab w:leader="none" w:pos="9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Automatic Conversion. </w:t>
      </w:r>
      <w:r>
        <w:rPr>
          <w:rFonts w:ascii="Times New Roman" w:cs="Times New Roman" w:eastAsia="Times New Roman" w:hAnsi="Times New Roman"/>
          <w:sz w:val="20"/>
          <w:szCs w:val="20"/>
          <w:color w:val="auto"/>
        </w:rPr>
        <w:t>Each share of Class C common stock shall automatically, without any further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action, convert into one share of Class A common stock upon a transfer, other than a Transfer to a qualified stockholder (as defined in the Charter).</w:t>
      </w:r>
    </w:p>
    <w:p>
      <w:pPr>
        <w:spacing w:after="0" w:line="173"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Voting Rights. </w:t>
      </w:r>
      <w:r>
        <w:rPr>
          <w:rFonts w:ascii="Times New Roman" w:cs="Times New Roman" w:eastAsia="Times New Roman" w:hAnsi="Times New Roman"/>
          <w:sz w:val="19"/>
          <w:szCs w:val="19"/>
          <w:color w:val="auto"/>
        </w:rPr>
        <w:t>Each holder of Class C common stock will be entitled to five votes for each share of Class 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ectPr>
          <w:pgSz w:w="12240" w:h="15846" w:orient="portrait"/>
          <w:cols w:equalWidth="0" w:num="1">
            <w:col w:w="9380"/>
          </w:cols>
          <w:pgMar w:left="1440" w:top="947" w:right="1426"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F-55</w:t>
      </w:r>
    </w:p>
    <w:p>
      <w:pPr>
        <w:sectPr>
          <w:pgSz w:w="12240" w:h="15846" w:orient="portrait"/>
          <w:cols w:equalWidth="0" w:num="1">
            <w:col w:w="9380"/>
          </w:cols>
          <w:pgMar w:left="1440" w:top="947" w:right="1426" w:bottom="353" w:gutter="0" w:footer="0" w:header="0"/>
          <w:type w:val="continuous"/>
        </w:sectPr>
      </w:pPr>
    </w:p>
    <w:bookmarkStart w:id="167" w:name="page168"/>
    <w:bookmarkEnd w:id="16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firstLine="1"/>
        <w:spacing w:after="0" w:line="244" w:lineRule="auto"/>
        <w:tabs>
          <w:tab w:leader="none" w:pos="32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Dividends and other distributions of cash, stock or property may be declared and paid on the shares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Class A common stock and the shares of Class C common stock out of the assets of the Company that are by law available therefor, at the times and in the amounts as our board in its discretion may determine.</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Liquidation rights. </w:t>
      </w:r>
      <w:r>
        <w:rPr>
          <w:rFonts w:ascii="Times New Roman" w:cs="Times New Roman" w:eastAsia="Times New Roman" w:hAnsi="Times New Roman"/>
          <w:sz w:val="20"/>
          <w:szCs w:val="20"/>
          <w:color w:val="auto"/>
        </w:rPr>
        <w:t>In the event of any voluntary or involuntary liquidation, dissolution or winding-up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 D common stock</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Shares of Class D common stock may be converted into shares of Class B common stock pursuant to the Charter. Further, shares of Class D common stock, together with the corresponding Class B Units may be exchanged for shares of Class C common stock or converted into shares of Class A common stock as further discussed below.</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Voluntary Conversion. </w:t>
      </w:r>
      <w:r>
        <w:rPr>
          <w:rFonts w:ascii="Times New Roman" w:cs="Times New Roman" w:eastAsia="Times New Roman" w:hAnsi="Times New Roman"/>
          <w:sz w:val="20"/>
          <w:szCs w:val="20"/>
          <w:color w:val="auto"/>
        </w:rPr>
        <w:t>Each share of Class D common stock shall be convertible into one share of Class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at the option of the holder thereof at any time upon written notice to the Company;</w:t>
      </w:r>
    </w:p>
    <w:p>
      <w:pPr>
        <w:spacing w:after="0" w:line="17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Automatic Conversion. </w:t>
      </w:r>
      <w:r>
        <w:rPr>
          <w:rFonts w:ascii="Times New Roman" w:cs="Times New Roman" w:eastAsia="Times New Roman" w:hAnsi="Times New Roman"/>
          <w:sz w:val="20"/>
          <w:szCs w:val="20"/>
          <w:color w:val="auto"/>
        </w:rPr>
        <w:t>Each share of Class D common stock shall automatically, without any further action,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convert into one share of Class B common stock upon a transfer, other than a transfer to a qualified stockholder.</w:t>
      </w:r>
    </w:p>
    <w:p>
      <w:pPr>
        <w:spacing w:after="0" w:line="174"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Voting Rights. </w:t>
      </w:r>
      <w:r>
        <w:rPr>
          <w:rFonts w:ascii="Times New Roman" w:cs="Times New Roman" w:eastAsia="Times New Roman" w:hAnsi="Times New Roman"/>
          <w:sz w:val="19"/>
          <w:szCs w:val="19"/>
          <w:color w:val="auto"/>
        </w:rPr>
        <w:t>Each holder of Class D common stock will be entitled to five votes for each share of Class 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149" w:lineRule="exact"/>
        <w:rPr>
          <w:sz w:val="20"/>
          <w:szCs w:val="20"/>
          <w:color w:val="auto"/>
        </w:rPr>
      </w:pPr>
    </w:p>
    <w:p>
      <w:pPr>
        <w:ind w:left="480"/>
        <w:spacing w:after="0"/>
        <w:tabs>
          <w:tab w:leader="none" w:pos="1520" w:val="left"/>
        </w:tabs>
        <w:rPr>
          <w:sz w:val="20"/>
          <w:szCs w:val="20"/>
          <w:color w:val="auto"/>
        </w:rPr>
      </w:pPr>
      <w:r>
        <w:rPr>
          <w:rFonts w:ascii="Times New Roman" w:cs="Times New Roman" w:eastAsia="Times New Roman" w:hAnsi="Times New Roman"/>
          <w:sz w:val="20"/>
          <w:szCs w:val="20"/>
          <w:i w:val="1"/>
          <w:iCs w:val="1"/>
          <w:color w:val="auto"/>
        </w:rPr>
        <w:t>Dividends.</w:t>
      </w:r>
      <w:r>
        <w:rPr>
          <w:sz w:val="20"/>
          <w:szCs w:val="20"/>
          <w:color w:val="auto"/>
        </w:rPr>
        <w:tab/>
      </w:r>
      <w:r>
        <w:rPr>
          <w:rFonts w:ascii="Times New Roman" w:cs="Times New Roman" w:eastAsia="Times New Roman" w:hAnsi="Times New Roman"/>
          <w:sz w:val="19"/>
          <w:szCs w:val="19"/>
          <w:color w:val="auto"/>
        </w:rPr>
        <w:t>Dividends of cash or property may not be declared or paid on shares of Class D common stock.</w:t>
      </w:r>
    </w:p>
    <w:p>
      <w:pPr>
        <w:spacing w:after="0" w:line="17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Liquidation rights. </w:t>
      </w:r>
      <w:r>
        <w:rPr>
          <w:rFonts w:ascii="Times New Roman" w:cs="Times New Roman" w:eastAsia="Times New Roman" w:hAnsi="Times New Roman"/>
          <w:sz w:val="20"/>
          <w:szCs w:val="20"/>
          <w:color w:val="auto"/>
        </w:rPr>
        <w:t>In the event of any voluntary or involuntary liquidation, dissolution or winding-up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affairs of the Company, after payment or provision for payment of the debts and other liabilities and of the preferential and other amounts to which the holders of preferred stock are entitled, if any, the holders of shares of Class D common stock will not be entitled to receive, with respect to such shares, any assets of the Company in excess of the par value thereof. Notwithstanding the foregoing, the holders of Class D common stock will have the right to exchange their shares of Class B common stock, together with the corresponding Class B Units constituting the remainder of any paired interests (as defined in the Charter) in which such shares are included, for shares of Class C common stock or for the consideration payable in respect of shares of Class C common stock in such voluntary or involuntary liquidation, dissolution or winding-up.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preferred non-controlling interests</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On November 29, 2021, as part of an exchange agreement (“Hillman exchange”), the Company issued 300,000 Series A-1 preferred units to Hillman in return for Hillman’s non-controlling interest in four RNG project subsidiaries.</w:t>
      </w:r>
    </w:p>
    <w:p>
      <w:pPr>
        <w:sectPr>
          <w:pgSz w:w="12240" w:h="15846" w:orient="portrait"/>
          <w:cols w:equalWidth="0" w:num="1">
            <w:col w:w="9380"/>
          </w:cols>
          <w:pgMar w:left="1440" w:top="947" w:right="1426"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F-56</w:t>
      </w:r>
    </w:p>
    <w:p>
      <w:pPr>
        <w:sectPr>
          <w:pgSz w:w="12240" w:h="15846" w:orient="portrait"/>
          <w:cols w:equalWidth="0" w:num="1">
            <w:col w:w="9380"/>
          </w:cols>
          <w:pgMar w:left="1440" w:top="947" w:right="1426" w:bottom="353" w:gutter="0" w:footer="0" w:header="0"/>
          <w:type w:val="continuous"/>
        </w:sectPr>
      </w:pPr>
    </w:p>
    <w:bookmarkStart w:id="168" w:name="page169"/>
    <w:bookmarkEnd w:id="16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firstLine="1"/>
        <w:spacing w:after="0" w:line="244" w:lineRule="auto"/>
        <w:tabs>
          <w:tab w:leader="none" w:pos="32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w:t>
      </w:r>
    </w:p>
    <w:p>
      <w:pPr>
        <w:spacing w:after="0" w:line="16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incurred issuance costs of $267 in third-party legal fees in the fourth quarter of 2021, which was presented as Deferred financing costs in the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December 31, 2022.</w:t>
      </w:r>
    </w:p>
    <w:p>
      <w:pPr>
        <w:spacing w:after="0" w:line="171"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changes in the redeemable preferred non-controlling interests which represent Series A and Series A-1 preferred units outstanding at OPAL Fuels level from December 31, 2021 to 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540" w:type="dxa"/>
            <w:vAlign w:val="bottom"/>
            <w:gridSpan w:val="4"/>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Series A-1 preferred units</w:t>
            </w:r>
          </w:p>
        </w:tc>
        <w:tc>
          <w:tcPr>
            <w:tcW w:w="180" w:type="dxa"/>
            <w:vAlign w:val="bottom"/>
          </w:tcPr>
          <w:p>
            <w:pPr>
              <w:spacing w:after="0"/>
              <w:rPr>
                <w:sz w:val="18"/>
                <w:szCs w:val="18"/>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Series A preferred units</w:t>
            </w:r>
          </w:p>
        </w:tc>
      </w:tr>
      <w:tr>
        <w:trPr>
          <w:trHeight w:val="205"/>
        </w:trPr>
        <w:tc>
          <w:tcPr>
            <w:tcW w:w="40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303"/>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82"/>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304"/>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82"/>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7"/>
                <w:szCs w:val="17"/>
                <w:color w:val="auto"/>
              </w:rPr>
            </w:pPr>
          </w:p>
        </w:tc>
      </w:tr>
      <w:tr>
        <w:trPr>
          <w:trHeight w:val="248"/>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December 31, 2021 </w:t>
            </w:r>
            <w:r>
              <w:rPr>
                <w:rFonts w:ascii="Times New Roman" w:cs="Times New Roman" w:eastAsia="Times New Roman" w:hAnsi="Times New Roman"/>
                <w:sz w:val="20"/>
                <w:szCs w:val="20"/>
                <w:color w:val="auto"/>
              </w:rPr>
              <w:t>.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30,210</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Series A units issued by OPAL Fuels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20" w:type="dxa"/>
            <w:vAlign w:val="bottom"/>
          </w:tcPr>
          <w:p>
            <w:pPr>
              <w:spacing w:after="0"/>
              <w:rPr>
                <w:sz w:val="22"/>
                <w:szCs w:val="22"/>
                <w:color w:val="auto"/>
              </w:rPr>
            </w:pP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Paid-in-kind dividends attributable to OPAL</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40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Fuels . . . . . . . . . . . . . .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2,347</w:t>
            </w:r>
          </w:p>
        </w:tc>
        <w:tc>
          <w:tcPr>
            <w:tcW w:w="18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4,841</w:t>
            </w:r>
          </w:p>
        </w:tc>
        <w:tc>
          <w:tcPr>
            <w:tcW w:w="20" w:type="dxa"/>
            <w:vAlign w:val="bottom"/>
          </w:tcPr>
          <w:p>
            <w:pPr>
              <w:spacing w:after="0"/>
              <w:rPr>
                <w:sz w:val="19"/>
                <w:szCs w:val="19"/>
                <w:color w:val="auto"/>
              </w:rPr>
            </w:pP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Paid-in kind dividends attributable to Class A</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40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common stockholders . . . . . . . . . . . . . . . . . . .</w:t>
            </w: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179</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565</w:t>
            </w:r>
          </w:p>
        </w:tc>
        <w:tc>
          <w:tcPr>
            <w:tcW w:w="20" w:type="dxa"/>
            <w:vAlign w:val="bottom"/>
          </w:tcPr>
          <w:p>
            <w:pPr>
              <w:spacing w:after="0"/>
              <w:rPr>
                <w:sz w:val="19"/>
                <w:szCs w:val="19"/>
                <w:color w:val="auto"/>
              </w:rPr>
            </w:pPr>
          </w:p>
        </w:tc>
      </w:tr>
      <w:tr>
        <w:trPr>
          <w:trHeight w:val="241"/>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Balance, December 31, 2022 </w:t>
            </w:r>
            <w:r>
              <w:rPr>
                <w:rFonts w:ascii="Times New Roman" w:cs="Times New Roman" w:eastAsia="Times New Roman" w:hAnsi="Times New Roman"/>
                <w:sz w:val="20"/>
                <w:szCs w:val="20"/>
                <w:color w:val="auto"/>
              </w:rPr>
              <w:t>. . . . . . . . . . . . . .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105,406</w:t>
            </w:r>
          </w:p>
        </w:tc>
        <w:tc>
          <w:tcPr>
            <w:tcW w:w="20" w:type="dxa"/>
            <w:vAlign w:val="bottom"/>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Terms of Redeemable preferred units</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Series A and Series A-1 preferred units (together the “Preferred Units”) have substantially the same terms and features which are listed below:</w:t>
      </w:r>
    </w:p>
    <w:p>
      <w:pPr>
        <w:spacing w:after="0" w:line="17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16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pacing w:after="0" w:line="170"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sectPr>
          <w:pgSz w:w="12240" w:h="15846" w:orient="portrait"/>
          <w:cols w:equalWidth="0" w:num="1">
            <w:col w:w="9380"/>
          </w:cols>
          <w:pgMar w:left="1440" w:top="947" w:right="1426"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F-57</w:t>
      </w:r>
    </w:p>
    <w:p>
      <w:pPr>
        <w:sectPr>
          <w:pgSz w:w="12240" w:h="15846" w:orient="portrait"/>
          <w:cols w:equalWidth="0" w:num="1">
            <w:col w:w="9380"/>
          </w:cols>
          <w:pgMar w:left="1440" w:top="947" w:right="1426" w:bottom="353" w:gutter="0" w:footer="0" w:header="0"/>
          <w:type w:val="continuous"/>
        </w:sectPr>
      </w:pPr>
    </w:p>
    <w:bookmarkStart w:id="169" w:name="page170"/>
    <w:bookmarkEnd w:id="16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firstLine="1"/>
        <w:spacing w:after="0" w:line="244" w:lineRule="auto"/>
        <w:tabs>
          <w:tab w:leader="none" w:pos="32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non-controlling interests, Redeemable preferred non-controlling interests and Stockholders’ Equity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20"/>
          <w:szCs w:val="20"/>
          <w:color w:val="auto"/>
        </w:rPr>
        <w:t xml:space="preserve"> year, and a 30% discount thereafter:</w:t>
      </w:r>
    </w:p>
    <w:p>
      <w:pPr>
        <w:spacing w:after="0" w:line="130" w:lineRule="exact"/>
        <w:rPr>
          <w:sz w:val="20"/>
          <w:szCs w:val="20"/>
          <w:color w:val="auto"/>
        </w:rPr>
      </w:pPr>
    </w:p>
    <w:p>
      <w:pPr>
        <w:ind w:left="960" w:hanging="480"/>
        <w:spacing w:after="0"/>
        <w:tabs>
          <w:tab w:leader="none" w:pos="9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20-day volume-weighted average price (“VWAP”) of the Company’s common shares.</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the estimated proceeds to be received by the holder of a common unit if the net assets of the Company were sold at fair market value and distributed.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non-controlling interests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(“OPAL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Redeemable non-controlling interests have been presented as mezzanine equity in the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December 31, 2022, the Company recorded $908,008 to adjust the carrying value to their redemption value based on a 5 day VWAP of $7.02 per share.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Net Income Per Share</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basic income per share of Class A common stock is computed by dividing the net income attributable to Class A common stockholders by the weighted average number of Class A common stock outstanding during the period. 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consolidated financial statements. Therefore net income per share information has not been presented for periods prior to Business Combination on July 21, 2022. The basic and diluted net income per share for the year ended December 31, 2022 represent only the period from July 21, 2022 to December 31, 2022.</w:t>
      </w:r>
    </w:p>
    <w:p>
      <w:pPr>
        <w:sectPr>
          <w:pgSz w:w="12240" w:h="15846" w:orient="portrait"/>
          <w:cols w:equalWidth="0" w:num="1">
            <w:col w:w="9380"/>
          </w:cols>
          <w:pgMar w:left="1440" w:top="947" w:right="1426"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F-58</w:t>
      </w:r>
    </w:p>
    <w:p>
      <w:pPr>
        <w:sectPr>
          <w:pgSz w:w="12240" w:h="15846" w:orient="portrait"/>
          <w:cols w:equalWidth="0" w:num="1">
            <w:col w:w="9380"/>
          </w:cols>
          <w:pgMar w:left="1440" w:top="947" w:right="1426" w:bottom="353" w:gutter="0" w:footer="0" w:header="0"/>
          <w:type w:val="continuous"/>
        </w:sectPr>
      </w:pPr>
    </w:p>
    <w:bookmarkStart w:id="170" w:name="page171"/>
    <w:bookmarkEnd w:id="170"/>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 Net Income Per Share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diluted income per share of Class A common stock for the year ended December 31, 2022 does not include Redeemable preferred non-controlling interests, Convertible Note Payable because the substantive contingency for conversion has not been met as of December 31, 2022.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December 31, 2022.</w:t>
      </w:r>
    </w:p>
    <w:p>
      <w:pPr>
        <w:spacing w:after="0" w:line="168"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Class D common stock does not participate in the earnings or losses of the Company and are therefore not participating securities. As such, separate presentation of basic and diluted earnings per share of Class D common stock under the two-class method has not been presented.</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calculation of basic and diluted net loss per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c>
          <w:tcPr>
            <w:tcW w:w="0" w:type="dxa"/>
            <w:vAlign w:val="bottom"/>
          </w:tcPr>
          <w:p>
            <w:pPr>
              <w:spacing w:after="0"/>
              <w:rPr>
                <w:sz w:val="1"/>
                <w:szCs w:val="1"/>
                <w:color w:val="auto"/>
              </w:rPr>
            </w:pPr>
          </w:p>
        </w:tc>
      </w:tr>
      <w:tr>
        <w:trPr>
          <w:trHeight w:val="200"/>
        </w:trPr>
        <w:tc>
          <w:tcPr>
            <w:tcW w:w="7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3"/>
              <w:spacing w:after="0" w:line="20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00"/>
        </w:trPr>
        <w:tc>
          <w:tcPr>
            <w:tcW w:w="7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3"/>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47"/>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Class A common stockholders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w:t>
            </w:r>
          </w:p>
        </w:tc>
        <w:tc>
          <w:tcPr>
            <w:tcW w:w="0" w:type="dxa"/>
            <w:vAlign w:val="bottom"/>
          </w:tcPr>
          <w:p>
            <w:pPr>
              <w:spacing w:after="0"/>
              <w:rPr>
                <w:sz w:val="1"/>
                <w:szCs w:val="1"/>
                <w:color w:val="auto"/>
              </w:rPr>
            </w:pPr>
          </w:p>
        </w:tc>
      </w:tr>
      <w:tr>
        <w:trPr>
          <w:trHeight w:val="261"/>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w w:val="99"/>
              </w:rPr>
              <w:t>Less: change in fair value of the put option on the forward purchase agreement . . . . . . . . . . . . . . . .</w:t>
            </w: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0" w:type="dxa"/>
            <w:vAlign w:val="bottom"/>
          </w:tcPr>
          <w:p>
            <w:pPr>
              <w:spacing w:after="0"/>
              <w:rPr>
                <w:sz w:val="1"/>
                <w:szCs w:val="1"/>
                <w:color w:val="auto"/>
              </w:rPr>
            </w:pPr>
          </w:p>
        </w:tc>
      </w:tr>
      <w:tr>
        <w:trPr>
          <w:trHeight w:val="240"/>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Diluted Net loss attributable to Class A common stockholders . . . . . . . . . . . . . . . . . . . . . . . . . . . . .</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3,257</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w w:val="99"/>
              </w:rPr>
              <w:t>Weighted average number of shares of Class A common stock – basic . . . . . . . . . . . . . . . . . . . . . .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25,774,312</w:t>
            </w:r>
          </w:p>
        </w:tc>
        <w:tc>
          <w:tcPr>
            <w:tcW w:w="0" w:type="dxa"/>
            <w:vAlign w:val="bottom"/>
          </w:tcPr>
          <w:p>
            <w:pPr>
              <w:spacing w:after="0"/>
              <w:rPr>
                <w:sz w:val="1"/>
                <w:szCs w:val="1"/>
                <w:color w:val="auto"/>
              </w:rPr>
            </w:pPr>
          </w:p>
        </w:tc>
      </w:tr>
      <w:tr>
        <w:trPr>
          <w:trHeight w:val="260"/>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Restricted Stock Units . . . . . . . . . . . . . . . . . . . . . . . . . . . . . . . . . . .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14,203</w:t>
            </w:r>
          </w:p>
        </w:tc>
        <w:tc>
          <w:tcPr>
            <w:tcW w:w="0" w:type="dxa"/>
            <w:vAlign w:val="bottom"/>
          </w:tcPr>
          <w:p>
            <w:pPr>
              <w:spacing w:after="0"/>
              <w:rPr>
                <w:sz w:val="1"/>
                <w:szCs w:val="1"/>
                <w:color w:val="auto"/>
              </w:rPr>
            </w:pPr>
          </w:p>
        </w:tc>
      </w:tr>
      <w:tr>
        <w:trPr>
          <w:trHeight w:val="261"/>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Effect of the dilutive put option on a forward purchase agreement . . . . . . . . . . . . . . . . . . . . . . . . . .</w:t>
            </w: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273,883</w:t>
            </w:r>
          </w:p>
        </w:tc>
        <w:tc>
          <w:tcPr>
            <w:tcW w:w="0" w:type="dxa"/>
            <w:vAlign w:val="bottom"/>
          </w:tcPr>
          <w:p>
            <w:pPr>
              <w:spacing w:after="0"/>
              <w:rPr>
                <w:sz w:val="1"/>
                <w:szCs w:val="1"/>
                <w:color w:val="auto"/>
              </w:rPr>
            </w:pPr>
          </w:p>
        </w:tc>
      </w:tr>
      <w:tr>
        <w:trPr>
          <w:trHeight w:val="239"/>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of Class A common stock – diluted . . . . . . . . . . . . . . . . . . . . .</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26,062,398</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of Class A common stock</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0" w:type="dxa"/>
            <w:vAlign w:val="bottom"/>
          </w:tcPr>
          <w:p>
            <w:pPr>
              <w:spacing w:after="0"/>
              <w:rPr>
                <w:sz w:val="1"/>
                <w:szCs w:val="1"/>
                <w:color w:val="auto"/>
              </w:rPr>
            </w:pPr>
          </w:p>
        </w:tc>
      </w:tr>
      <w:tr>
        <w:trPr>
          <w:trHeight w:val="260"/>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Income taxes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w:t>
      </w:r>
    </w:p>
    <w:p>
      <w:pPr>
        <w:spacing w:after="0" w:line="168" w:lineRule="exact"/>
        <w:rPr>
          <w:sz w:val="20"/>
          <w:szCs w:val="20"/>
          <w:color w:val="auto"/>
        </w:rPr>
      </w:pPr>
    </w:p>
    <w:p>
      <w:pPr>
        <w:jc w:val="both"/>
        <w:ind w:right="6" w:firstLine="480"/>
        <w:spacing w:after="0" w:line="264" w:lineRule="auto"/>
        <w:rPr>
          <w:sz w:val="20"/>
          <w:szCs w:val="20"/>
          <w:color w:val="auto"/>
        </w:rPr>
      </w:pPr>
      <w:r>
        <w:rPr>
          <w:rFonts w:ascii="Times New Roman" w:cs="Times New Roman" w:eastAsia="Times New Roman" w:hAnsi="Times New Roman"/>
          <w:sz w:val="19"/>
          <w:szCs w:val="19"/>
          <w:color w:val="auto"/>
        </w:rPr>
        <w:t>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15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2022 and 2021, the Company recognized federal and state income tax expense of $— and $—, respectively.</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F-59</w:t>
      </w:r>
    </w:p>
    <w:p>
      <w:pPr>
        <w:sectPr>
          <w:pgSz w:w="12240" w:h="15846" w:orient="portrait"/>
          <w:cols w:equalWidth="0" w:num="1">
            <w:col w:w="9366"/>
          </w:cols>
          <w:pgMar w:left="1440" w:top="947" w:right="1440" w:bottom="353" w:gutter="0" w:footer="0" w:header="0"/>
          <w:type w:val="continuous"/>
        </w:sectPr>
      </w:pPr>
    </w:p>
    <w:bookmarkStart w:id="171" w:name="page172"/>
    <w:bookmarkEnd w:id="171"/>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16. Income taxes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The effective tax rate was 0% for the year ended December 31, 2022. The difference between the Company’s effective tax rate for the year ended December 31, 2022, and the U.S. statutory tax rate of 21% was primarily due to a full valuation allowance recorded on the Company’s net U.S. and State deferred tax assets, income (loss) from pass-through entities not attributable to Class A common stock and state and local taxes.</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Expected income tax at statutory rate . . . . . . . . . . . . . . . . . . . . . . . . . . . . . . . . .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income taxes, net of federal . . . . . . . . . . . . . . . . . . . . . . . . . . . . . . . . . . . . .</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Earnings attributable to non-controlling interest . . . . . . . . . . . . . . . . . . . . . . . . .</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Change in valuation allowance . . . . . . . . . . . . . . . . . . . . . . . . . . . . . . . . . . . . . .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 tax expense . . . . . . . . . . . . . . . . . . . . . . . . . . . . . . . . . . . . . . . . . . . . . . . . . .</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the deferred tax assets and liabilities are as follows: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right="126"/>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17145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135pt,1.15pt" o:allowincell="f" strokecolor="#000000" strokeweight="0.5pt"/>
            </w:pict>
          </mc:Fallback>
        </mc:AlternateContent>
      </w:r>
    </w:p>
    <w:p>
      <w:pPr>
        <w:ind w:left="4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8001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63pt,1.1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13970</wp:posOffset>
                </wp:positionV>
                <wp:extent cx="8001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1.1pt" to="135pt,1.1pt" o:allowincell="f" strokecolor="#000000" strokeweight="0.5pt"/>
            </w:pict>
          </mc:Fallback>
        </mc:AlternateContent>
      </w:r>
    </w:p>
    <w:p>
      <w:pPr>
        <w:spacing w:after="0" w:line="26" w:lineRule="exact"/>
        <w:rPr>
          <w:sz w:val="20"/>
          <w:szCs w:val="20"/>
          <w:color w:val="auto"/>
        </w:rPr>
      </w:pPr>
    </w:p>
    <w:p>
      <w:pPr>
        <w:spacing w:after="0"/>
        <w:tabs>
          <w:tab w:leader="none" w:pos="800" w:val="left"/>
          <w:tab w:leader="none" w:pos="1420" w:val="left"/>
          <w:tab w:leader="none" w:pos="24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6,884</w:t>
        <w:tab/>
        <w:t>$</w:t>
      </w:r>
      <w:r>
        <w:rPr>
          <w:sz w:val="20"/>
          <w:szCs w:val="20"/>
          <w:color w:val="auto"/>
        </w:rPr>
        <w:tab/>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2500" w:hanging="1540"/>
        <w:spacing w:after="0"/>
        <w:tabs>
          <w:tab w:leader="none" w:pos="25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30"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(6,172)—</w:t>
      </w:r>
    </w:p>
    <w:p>
      <w:pPr>
        <w:spacing w:after="0" w:line="30" w:lineRule="exact"/>
        <w:rPr>
          <w:sz w:val="20"/>
          <w:szCs w:val="20"/>
          <w:color w:val="auto"/>
        </w:rPr>
      </w:pPr>
    </w:p>
    <w:p>
      <w:pPr>
        <w:ind w:left="2500" w:hanging="1613"/>
        <w:spacing w:after="0"/>
        <w:tabs>
          <w:tab w:leader="none" w:pos="25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3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-160655</wp:posOffset>
                </wp:positionV>
                <wp:extent cx="8001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6499pt" to="63pt,-12.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-160655</wp:posOffset>
                </wp:positionV>
                <wp:extent cx="8001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12.6499pt" to="135pt,-12.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8001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63pt,0.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8001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63pt,1.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3810</wp:posOffset>
                </wp:positionV>
                <wp:extent cx="8001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0.3pt" to="135pt,0.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17145</wp:posOffset>
                </wp:positionV>
                <wp:extent cx="8001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1.35pt" to="135pt,1.35pt" o:allowincell="f" strokecolor="#000000" strokeweight="0.499pt"/>
            </w:pict>
          </mc:Fallback>
        </mc:AlternateContent>
      </w:r>
    </w:p>
    <w:p>
      <w:pPr>
        <w:spacing w:after="0" w:line="200" w:lineRule="exact"/>
        <w:rPr>
          <w:sz w:val="20"/>
          <w:szCs w:val="20"/>
          <w:color w:val="auto"/>
        </w:rPr>
      </w:pPr>
    </w:p>
    <w:p>
      <w:pPr>
        <w:spacing w:after="0" w:line="343"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right="126"/>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17145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135pt,1.15pt" o:allowincell="f" strokecolor="#000000" strokeweight="0.5pt"/>
            </w:pict>
          </mc:Fallback>
        </mc:AlternateContent>
      </w:r>
    </w:p>
    <w:p>
      <w:pPr>
        <w:ind w:left="4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8001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63pt,1.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14605</wp:posOffset>
                </wp:positionV>
                <wp:extent cx="8001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1.15pt" to="135pt,1.15pt" o:allowincell="f" strokecolor="#000000" strokeweight="0.5pt"/>
            </w:pict>
          </mc:Fallback>
        </mc:AlternateContent>
      </w:r>
    </w:p>
    <w:p>
      <w:pPr>
        <w:spacing w:after="0" w:line="46" w:lineRule="exact"/>
        <w:rPr>
          <w:sz w:val="20"/>
          <w:szCs w:val="20"/>
          <w:color w:val="auto"/>
        </w:rPr>
      </w:pPr>
    </w:p>
    <w:p>
      <w:pPr>
        <w:sectPr>
          <w:pgSz w:w="12240" w:h="15846" w:orient="portrait"/>
          <w:cols w:equalWidth="0" w:num="2">
            <w:col w:w="6360" w:space="180"/>
            <w:col w:w="2826"/>
          </w:cols>
          <w:pgMar w:left="1440" w:top="947" w:right="1440" w:bottom="353"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partnership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26,637</w:t>
            </w:r>
          </w:p>
        </w:tc>
        <w:tc>
          <w:tcPr>
            <w:tcW w:w="120" w:type="dxa"/>
            <w:vAlign w:val="bottom"/>
          </w:tcPr>
          <w:p>
            <w:pPr>
              <w:spacing w:after="0"/>
              <w:rPr>
                <w:sz w:val="22"/>
                <w:szCs w:val="22"/>
                <w:color w:val="auto"/>
              </w:rPr>
            </w:pP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163j interest limitation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Federal NOL carryforward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State NOL carryforward . . . . . . . . . . . . . . . . . . . . . . . . .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w w:val="89"/>
              </w:rPr>
              <w:t>—</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 . . . . . . . . . . . . . . . . . . . . . . . . . . . . . . . . . . . . . . . . . . . .</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r>
      <w:tr>
        <w:trPr>
          <w:trHeight w:val="40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for deferred tax assets . . . . . . . . . . . . . . . . . . . . . . . . . . . . .</w:t>
            </w:r>
          </w:p>
        </w:tc>
        <w:tc>
          <w:tcPr>
            <w:tcW w:w="3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(30,517)</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r>
      <w:tr>
        <w:trPr>
          <w:trHeight w:val="20"/>
        </w:trPr>
        <w:tc>
          <w:tcPr>
            <w:tcW w:w="6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net of valuation allowance . . . . . . . . . . . . . . . . . . . . . . . . . .</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 . . . . . .</w:t>
            </w:r>
          </w:p>
        </w:tc>
        <w:tc>
          <w:tcPr>
            <w:tcW w:w="36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r>
      <w:tr>
        <w:trPr>
          <w:trHeight w:val="20"/>
        </w:trPr>
        <w:tc>
          <w:tcPr>
            <w:tcW w:w="6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income tax asset or liability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89"/>
              </w:rPr>
              <w:t>—</w:t>
            </w:r>
          </w:p>
        </w:tc>
      </w:tr>
      <w:tr>
        <w:trPr>
          <w:trHeight w:val="20"/>
        </w:trPr>
        <w:tc>
          <w:tcPr>
            <w:tcW w:w="6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right="6" w:firstLine="480"/>
        <w:spacing w:after="0" w:line="263" w:lineRule="auto"/>
        <w:rPr>
          <w:sz w:val="20"/>
          <w:szCs w:val="20"/>
          <w:color w:val="auto"/>
        </w:rPr>
      </w:pPr>
      <w:r>
        <w:rPr>
          <w:rFonts w:ascii="Times New Roman" w:cs="Times New Roman" w:eastAsia="Times New Roman" w:hAnsi="Times New Roman"/>
          <w:sz w:val="19"/>
          <w:szCs w:val="19"/>
          <w:color w:val="auto"/>
        </w:rPr>
        <w:t>As of December 31, 2022, the Company is in a net deferred tax asset position. Based on all available positive and negative evidence, including projections of future taxable income, the Company believes it is more likely than not that the deferred tax assets will not be realized. As such, a full valuation allowance was recorded against the net deferred tax asset position for federal and state purposes as of December 31, 2022. For purposes of determining pre-tax income/(loss) for the pre Business Combination period, the Company relied on the historical financial statements of Opal Fuels, LLC as this is the best information to represent the historic pre-tax income/(loss) of Opal Fuels Inc. As of December 31, 2022, the Company is in a three-year cumulative income position, excluding non-recurring items, of approximately $1000. However, the primary driver of the cumulative income position as of December 31, 2022, is the income statement impact of the mark-to-market earnout liability. The Company notes that mark-to-market (“MTM”) adjustments are volatile and can fluctuate over time. As a result, management has determined that due to the fluctuation of this MTM adjustment and the near breakeven nature of the three-year cumulative income, the Company does not have sufficient positive evidence to release the valuation allowance.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sectPr>
          <w:pgSz w:w="12240" w:h="15846" w:orient="portrait"/>
          <w:cols w:equalWidth="0" w:num="1">
            <w:col w:w="9366"/>
          </w:cols>
          <w:pgMar w:left="1440" w:top="947"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F-60</w:t>
      </w:r>
    </w:p>
    <w:p>
      <w:pPr>
        <w:sectPr>
          <w:pgSz w:w="12240" w:h="15846" w:orient="portrait"/>
          <w:cols w:equalWidth="0" w:num="1">
            <w:col w:w="9366"/>
          </w:cols>
          <w:pgMar w:left="1440" w:top="947" w:right="1440" w:bottom="353" w:gutter="0" w:footer="0" w:header="0"/>
          <w:type w:val="continuous"/>
        </w:sectPr>
      </w:pPr>
    </w:p>
    <w:bookmarkStart w:id="172" w:name="page173"/>
    <w:bookmarkEnd w:id="172"/>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16. Income taxes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Payments under Tax Receivable Agreement</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70"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78"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$192.0 million depending on OPAL Fuels’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Stock-based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2022 Omnibus Equity Incentive Plan</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F-61</w:t>
      </w:r>
    </w:p>
    <w:p>
      <w:pPr>
        <w:sectPr>
          <w:pgSz w:w="12240" w:h="15846" w:orient="portrait"/>
          <w:cols w:equalWidth="0" w:num="1">
            <w:col w:w="9366"/>
          </w:cols>
          <w:pgMar w:left="1440" w:top="947" w:right="1440" w:bottom="353" w:gutter="0" w:footer="0" w:header="0"/>
          <w:type w:val="continuous"/>
        </w:sectPr>
      </w:pPr>
    </w:p>
    <w:bookmarkStart w:id="173" w:name="page174"/>
    <w:bookmarkEnd w:id="173"/>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 Stock-based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October 4, 2022, the Company granted 428,902 restricted stock units for certain eligible employees and board of directors under the 2022 Plan. The aggregate fair value of the grant was $3,405 based on the closing share price of $7.94 on October 3, 2022. The shares will vest in full on October 3, 2023. The amortization of the above grants for the year ended December 31, 2022 is $830 which is included in the selling, general and administrative expenses in the consolidated statement of operations.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shows the outstanding restricted stock units outstanding as of 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46"/>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2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46"/>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2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46"/>
              <w:spacing w:after="0" w:line="200"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2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per restricted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2920" w:type="dxa"/>
            <w:vAlign w:val="bottom"/>
          </w:tcPr>
          <w:p>
            <w:pPr>
              <w:spacing w:after="0"/>
              <w:rPr>
                <w:sz w:val="17"/>
                <w:szCs w:val="17"/>
                <w:color w:val="auto"/>
              </w:rPr>
            </w:pPr>
          </w:p>
        </w:tc>
        <w:tc>
          <w:tcPr>
            <w:tcW w:w="1140" w:type="dxa"/>
            <w:vAlign w:val="bottom"/>
            <w:gridSpan w:val="2"/>
          </w:tcPr>
          <w:p>
            <w:pPr>
              <w:jc w:val="right"/>
              <w:ind w:right="240"/>
              <w:spacing w:after="0" w:line="200" w:lineRule="exact"/>
              <w:rPr>
                <w:sz w:val="20"/>
                <w:szCs w:val="20"/>
                <w:color w:val="auto"/>
              </w:rPr>
            </w:pPr>
            <w:r>
              <w:rPr>
                <w:rFonts w:ascii="Times New Roman" w:cs="Times New Roman" w:eastAsia="Times New Roman" w:hAnsi="Times New Roman"/>
                <w:sz w:val="18"/>
                <w:szCs w:val="18"/>
                <w:b w:val="1"/>
                <w:bCs w:val="1"/>
                <w:color w:val="auto"/>
              </w:rPr>
              <w:t>Restricted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46"/>
              <w:spacing w:after="0" w:line="200" w:lineRule="exact"/>
              <w:rPr>
                <w:sz w:val="20"/>
                <w:szCs w:val="20"/>
                <w:color w:val="auto"/>
              </w:rPr>
            </w:pPr>
            <w:r>
              <w:rPr>
                <w:rFonts w:ascii="Times New Roman" w:cs="Times New Roman" w:eastAsia="Times New Roman" w:hAnsi="Times New Roman"/>
                <w:sz w:val="18"/>
                <w:szCs w:val="18"/>
                <w:b w:val="1"/>
                <w:bCs w:val="1"/>
                <w:color w:val="auto"/>
                <w:w w:val="98"/>
              </w:rPr>
              <w:t>unit 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40"/>
              <w:spacing w:after="0" w:line="200"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920" w:type="dxa"/>
            <w:vAlign w:val="bottom"/>
          </w:tcPr>
          <w:p>
            <w:pPr>
              <w:spacing w:after="0"/>
              <w:rPr>
                <w:sz w:val="18"/>
                <w:szCs w:val="18"/>
                <w:color w:val="auto"/>
              </w:rPr>
            </w:pPr>
          </w:p>
        </w:tc>
        <w:tc>
          <w:tcPr>
            <w:tcW w:w="1140" w:type="dxa"/>
            <w:vAlign w:val="bottom"/>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stock units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46"/>
              <w:spacing w:after="0" w:line="201"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18"/>
                <w:szCs w:val="18"/>
                <w:color w:val="auto"/>
              </w:rPr>
            </w:pPr>
          </w:p>
        </w:tc>
        <w:tc>
          <w:tcPr>
            <w:tcW w:w="2680" w:type="dxa"/>
            <w:vAlign w:val="bottom"/>
            <w:gridSpan w:val="2"/>
          </w:tcPr>
          <w:p>
            <w:pPr>
              <w:ind w:left="780"/>
              <w:spacing w:after="0" w:line="201" w:lineRule="exact"/>
              <w:rPr>
                <w:sz w:val="20"/>
                <w:szCs w:val="20"/>
                <w:color w:val="auto"/>
              </w:rPr>
            </w:pPr>
            <w:r>
              <w:rPr>
                <w:rFonts w:ascii="Times New Roman" w:cs="Times New Roman" w:eastAsia="Times New Roman" w:hAnsi="Times New Roman"/>
                <w:sz w:val="18"/>
                <w:szCs w:val="18"/>
                <w:b w:val="1"/>
                <w:bCs w:val="1"/>
                <w:color w:val="auto"/>
              </w:rPr>
              <w:t>Vesting terms</w:t>
            </w:r>
          </w:p>
        </w:tc>
      </w:tr>
      <w:tr>
        <w:trPr>
          <w:trHeight w:val="245"/>
        </w:trPr>
        <w:tc>
          <w:tcPr>
            <w:tcW w:w="2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Unvested restricted stock units</w:t>
            </w: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29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outstanding as of December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920" w:type="dxa"/>
            <w:vAlign w:val="bottom"/>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2021. . . . . . . . . . . . . . . . . . . . . .</w:t>
            </w:r>
          </w:p>
        </w:tc>
        <w:tc>
          <w:tcPr>
            <w:tcW w:w="11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2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Issued during 2022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428,902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3,405</w:t>
            </w:r>
          </w:p>
        </w:tc>
        <w:tc>
          <w:tcPr>
            <w:tcW w:w="1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8"/>
              </w:rPr>
              <w:t>100% vesting on October 3, 2023</w:t>
            </w:r>
          </w:p>
        </w:tc>
      </w:tr>
      <w:tr>
        <w:trPr>
          <w:trHeight w:val="260"/>
        </w:trPr>
        <w:tc>
          <w:tcPr>
            <w:tcW w:w="2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7"/>
              </w:rPr>
              <w:t>Forfeitures during 2022 . . . . . . . . .</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(6,553)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7"/>
        </w:trPr>
        <w:tc>
          <w:tcPr>
            <w:tcW w:w="29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99"/>
              </w:rPr>
              <w:t>Unvested restricted stock units</w:t>
            </w: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29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outstanding at December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920" w:type="dxa"/>
            <w:vAlign w:val="bottom"/>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2022. . . . . . . . . . . . . . . . . . . . . .</w:t>
            </w:r>
          </w:p>
        </w:tc>
        <w:tc>
          <w:tcPr>
            <w:tcW w:w="1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422,349</w:t>
            </w:r>
          </w:p>
        </w:tc>
        <w:tc>
          <w:tcPr>
            <w:tcW w:w="120" w:type="dxa"/>
            <w:vAlign w:val="bottom"/>
          </w:tcPr>
          <w:p>
            <w:pPr>
              <w:spacing w:after="0"/>
              <w:rPr>
                <w:sz w:val="19"/>
                <w:szCs w:val="19"/>
                <w:color w:val="auto"/>
              </w:rPr>
            </w:pPr>
          </w:p>
        </w:tc>
        <w:tc>
          <w:tcPr>
            <w:tcW w:w="1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7.94</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Parent Equity Awards</w:t>
      </w:r>
    </w:p>
    <w:p>
      <w:pPr>
        <w:spacing w:after="0" w:line="177" w:lineRule="exact"/>
        <w:rPr>
          <w:sz w:val="20"/>
          <w:szCs w:val="20"/>
          <w:color w:val="auto"/>
        </w:rPr>
      </w:pPr>
    </w:p>
    <w:p>
      <w:pPr>
        <w:jc w:val="both"/>
        <w:ind w:right="6" w:firstLine="480"/>
        <w:spacing w:after="0" w:line="249" w:lineRule="auto"/>
        <w:rPr>
          <w:sz w:val="20"/>
          <w:szCs w:val="20"/>
          <w:color w:val="auto"/>
        </w:rPr>
      </w:pPr>
      <w:r>
        <w:rPr>
          <w:rFonts w:ascii="Times New Roman" w:cs="Times New Roman" w:eastAsia="Times New Roman" w:hAnsi="Times New Roman"/>
          <w:sz w:val="20"/>
          <w:szCs w:val="20"/>
          <w:color w:val="auto"/>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were no new residual equity interest grants during the year ended December 31, 2022.</w:t>
      </w:r>
    </w:p>
    <w:p>
      <w:pPr>
        <w:spacing w:after="0" w:line="177"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2022, 66% of the Profit Interests issued vested and there were 34% of Profit Interests unvested. There were no forfeitures during the year ended December 31, 2022.</w:t>
      </w:r>
    </w:p>
    <w:p>
      <w:pPr>
        <w:spacing w:after="0" w:line="17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2021, 46% of the Profit Interests issued vested and there were 54% of Profit Interests unvested.</w:t>
      </w:r>
    </w:p>
    <w:p>
      <w:pPr>
        <w:spacing w:after="0" w:line="17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stock-based compensation expense for the above stock awards under the 2022 Plan as well as Parent Equity Awards is included in the 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380" w:type="dxa"/>
            <w:vAlign w:val="bottom"/>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380" w:type="dxa"/>
            <w:vAlign w:val="bottom"/>
            <w:tcBorders>
              <w:bottom w:val="single" w:sz="8" w:color="auto"/>
            </w:tcBorders>
          </w:tcPr>
          <w:p>
            <w:pPr>
              <w:spacing w:after="0"/>
              <w:rPr>
                <w:sz w:val="18"/>
                <w:szCs w:val="18"/>
                <w:color w:val="auto"/>
              </w:rPr>
            </w:pPr>
          </w:p>
        </w:tc>
      </w:tr>
      <w:tr>
        <w:trPr>
          <w:trHeight w:val="208"/>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2022 Plan . . . . . . . . . . . . . . . . . . .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106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Parent Equity Awards . . . . . . . . . . . . . . . . . . . . . . . . . . . . . . . . . . . . . . . . . . . . . .</w:t>
            </w:r>
          </w:p>
        </w:tc>
        <w:tc>
          <w:tcPr>
            <w:tcW w:w="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18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w:t>
            </w:r>
          </w:p>
        </w:tc>
      </w:tr>
      <w:tr>
        <w:trPr>
          <w:trHeight w:val="240"/>
        </w:trPr>
        <w:tc>
          <w:tcPr>
            <w:tcW w:w="6540" w:type="dxa"/>
            <w:vAlign w:val="bottom"/>
          </w:tcPr>
          <w:p>
            <w:pPr>
              <w:spacing w:after="0"/>
              <w:rPr>
                <w:sz w:val="20"/>
                <w:szCs w:val="20"/>
                <w:color w:val="auto"/>
              </w:rPr>
            </w:pP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1,469</w:t>
            </w:r>
          </w:p>
        </w:tc>
        <w:tc>
          <w:tcPr>
            <w:tcW w:w="106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w:t>
            </w: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F-62</w:t>
      </w:r>
    </w:p>
    <w:p>
      <w:pPr>
        <w:sectPr>
          <w:pgSz w:w="12240" w:h="15846" w:orient="portrait"/>
          <w:cols w:equalWidth="0" w:num="1">
            <w:col w:w="9366"/>
          </w:cols>
          <w:pgMar w:left="1440" w:top="947" w:right="1440" w:bottom="353" w:gutter="0" w:footer="0" w:header="0"/>
          <w:type w:val="continuous"/>
        </w:sectPr>
      </w:pPr>
    </w:p>
    <w:bookmarkStart w:id="174" w:name="page175"/>
    <w:bookmarkEnd w:id="174"/>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 Stock-based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6" w:firstLine="480"/>
        <w:spacing w:after="0" w:line="243" w:lineRule="auto"/>
        <w:rPr>
          <w:sz w:val="20"/>
          <w:szCs w:val="20"/>
          <w:color w:val="auto"/>
        </w:rPr>
      </w:pPr>
      <w:r>
        <w:rPr>
          <w:rFonts w:ascii="Times New Roman" w:cs="Times New Roman" w:eastAsia="Times New Roman" w:hAnsi="Times New Roman"/>
          <w:sz w:val="20"/>
          <w:szCs w:val="20"/>
          <w:color w:val="auto"/>
        </w:rPr>
        <w:t>The future compensation to be recognized for the stock awards under 2022 Plan for the year ending December 31, 2023 is estimated to be $2,523.</w:t>
      </w:r>
    </w:p>
    <w:p>
      <w:pPr>
        <w:spacing w:after="0" w:line="174"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The future compensation to be recognized for the Parent Equity Awards as of December 31, 2022 is $1,092 and will be recognized the remaining vesting period which ranges from one to three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2022 and December 31, 2021, the Company was required to maintain nine standby letters of credit totaling $2,292 and $9,023,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Options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73" w:lineRule="exact"/>
        <w:rPr>
          <w:sz w:val="20"/>
          <w:szCs w:val="20"/>
          <w:color w:val="auto"/>
        </w:rPr>
      </w:pPr>
    </w:p>
    <w:p>
      <w:pPr>
        <w:jc w:val="both"/>
        <w:ind w:right="6" w:firstLine="480"/>
        <w:spacing w:after="0" w:line="265" w:lineRule="auto"/>
        <w:rPr>
          <w:sz w:val="20"/>
          <w:szCs w:val="20"/>
          <w:color w:val="auto"/>
        </w:rPr>
      </w:pPr>
      <w:r>
        <w:rPr>
          <w:rFonts w:ascii="Times New Roman" w:cs="Times New Roman" w:eastAsia="Times New Roman" w:hAnsi="Times New Roman"/>
          <w:sz w:val="19"/>
          <w:szCs w:val="19"/>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77" w:lineRule="exact"/>
        <w:rPr>
          <w:sz w:val="20"/>
          <w:szCs w:val="20"/>
          <w:color w:val="auto"/>
        </w:rPr>
      </w:pPr>
    </w:p>
    <w:p>
      <w:pPr>
        <w:jc w:val="both"/>
        <w:ind w:right="6" w:firstLine="480"/>
        <w:spacing w:after="0" w:line="246" w:lineRule="auto"/>
        <w:rPr>
          <w:sz w:val="20"/>
          <w:szCs w:val="20"/>
          <w:color w:val="auto"/>
        </w:rPr>
      </w:pPr>
      <w:r>
        <w:rPr>
          <w:rFonts w:ascii="Times New Roman" w:cs="Times New Roman" w:eastAsia="Times New Roman" w:hAnsi="Times New Roman"/>
          <w:sz w:val="20"/>
          <w:szCs w:val="20"/>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Subsequent Events</w:t>
      </w:r>
    </w:p>
    <w:p>
      <w:pPr>
        <w:spacing w:after="0" w:line="177" w:lineRule="exact"/>
        <w:rPr>
          <w:sz w:val="20"/>
          <w:szCs w:val="20"/>
          <w:color w:val="auto"/>
        </w:rPr>
      </w:pPr>
    </w:p>
    <w:p>
      <w:pPr>
        <w:jc w:val="both"/>
        <w:ind w:right="6" w:firstLine="480"/>
        <w:spacing w:after="0" w:line="248" w:lineRule="auto"/>
        <w:rPr>
          <w:sz w:val="20"/>
          <w:szCs w:val="20"/>
          <w:color w:val="auto"/>
        </w:rPr>
      </w:pPr>
      <w:r>
        <w:rPr>
          <w:rFonts w:ascii="Times New Roman" w:cs="Times New Roman" w:eastAsia="Times New Roman" w:hAnsi="Times New Roman"/>
          <w:sz w:val="20"/>
          <w:szCs w:val="20"/>
          <w:color w:val="auto"/>
        </w:rPr>
        <w:t>On January 23, 2023, pursuant to the terms of the Forward Purchase Agreement, Meteora exercised its option to sell back 1,635,783 shares to the Company. $16,849 of the funds held in escrow which were previously recorded as part of Restricted Cash — current on its consolidated balance sheet as of December 31, 2022 were released to Meteora excluding interest accrued. In connection with the above, the Sponsor forfeited 197,258 shares of Class A common stock on January 26, 2023 pursuant to the terms of certain letter agreement dated July 21, 2022.</w:t>
      </w:r>
    </w:p>
    <w:p>
      <w:pPr>
        <w:spacing w:after="0" w:line="172" w:lineRule="exact"/>
        <w:rPr>
          <w:sz w:val="20"/>
          <w:szCs w:val="20"/>
          <w:color w:val="auto"/>
        </w:rPr>
      </w:pPr>
    </w:p>
    <w:p>
      <w:pPr>
        <w:jc w:val="both"/>
        <w:ind w:right="6" w:firstLine="480"/>
        <w:spacing w:after="0" w:line="243" w:lineRule="auto"/>
        <w:rPr>
          <w:sz w:val="20"/>
          <w:szCs w:val="20"/>
          <w:color w:val="auto"/>
        </w:rPr>
      </w:pPr>
      <w:r>
        <w:rPr>
          <w:rFonts w:ascii="Times New Roman" w:cs="Times New Roman" w:eastAsia="Times New Roman" w:hAnsi="Times New Roman"/>
          <w:sz w:val="20"/>
          <w:szCs w:val="20"/>
          <w:color w:val="auto"/>
        </w:rPr>
        <w:t>On March 20, 2023, the Company repaid in full, the outstanding principal balance of the term loan as well as the revolver facility of $22,750 under the Senior Secured Credit Facility.</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On March 24, 2023, the Company drew down the remaining $10.0 million available under OPAL Term Loan I.</w:t>
      </w:r>
    </w:p>
    <w:p>
      <w:pPr>
        <w:sectPr>
          <w:pgSz w:w="12240" w:h="15846" w:orient="portrait"/>
          <w:cols w:equalWidth="0" w:num="1">
            <w:col w:w="9366"/>
          </w:cols>
          <w:pgMar w:left="1440" w:top="947"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F-63</w:t>
      </w:r>
    </w:p>
    <w:p>
      <w:pPr>
        <w:sectPr>
          <w:pgSz w:w="12240" w:h="15846" w:orient="portrait"/>
          <w:cols w:equalWidth="0" w:num="1">
            <w:col w:w="9366"/>
          </w:cols>
          <w:pgMar w:left="1440" w:top="947" w:right="1440" w:bottom="353" w:gutter="0" w:footer="0" w:header="0"/>
          <w:type w:val="continuous"/>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6" w:orient="portrait"/>
          <w:cols w:equalWidth="0" w:num="1">
            <w:col w:w="9366"/>
          </w:cols>
          <w:pgMar w:left="1440" w:top="1440" w:right="1440"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6" w:orient="portrait"/>
          <w:cols w:equalWidth="0" w:num="1">
            <w:col w:w="9366"/>
          </w:cols>
          <w:pgMar w:left="1440" w:top="1440" w:right="1440"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6" w:orient="portrait"/>
          <w:cols w:equalWidth="0" w:num="1">
            <w:col w:w="9366"/>
          </w:cols>
          <w:pgMar w:left="1440" w:top="1440"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60"/>
          <w:szCs w:val="60"/>
          <w:b w:val="1"/>
          <w:bCs w:val="1"/>
          <w:color w:val="3B2390"/>
        </w:rPr>
        <w:t>Corporate</w:t>
      </w:r>
    </w:p>
    <w:p>
      <w:pPr>
        <w:spacing w:after="0"/>
        <w:rPr>
          <w:sz w:val="20"/>
          <w:szCs w:val="20"/>
          <w:color w:val="auto"/>
        </w:rPr>
      </w:pPr>
      <w:r>
        <w:rPr>
          <w:rFonts w:ascii="Times New Roman" w:cs="Times New Roman" w:eastAsia="Times New Roman" w:hAnsi="Times New Roman"/>
          <w:sz w:val="60"/>
          <w:szCs w:val="60"/>
          <w:b w:val="1"/>
          <w:bCs w:val="1"/>
          <w:color w:val="3B2390"/>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630555</wp:posOffset>
            </wp:positionV>
            <wp:extent cx="6858000" cy="3962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a:extLst>
                        <a:ext uri="{28A0092B-C50C-407E-A947-70E740481C1C}"/>
                      </a:extLst>
                    </a:blip>
                    <a:srcRect/>
                    <a:stretch>
                      <a:fillRect/>
                    </a:stretch>
                  </pic:blipFill>
                  <pic:spPr bwMode="auto">
                    <a:xfrm>
                      <a:off x="0" y="0"/>
                      <a:ext cx="6858000" cy="3962400"/>
                    </a:xfrm>
                    <a:prstGeom prst="rect">
                      <a:avLst/>
                    </a:prstGeom>
                    <a:noFill/>
                  </pic:spPr>
                </pic:pic>
              </a:graphicData>
            </a:graphic>
          </wp:anchor>
        </w:drawing>
      </w:r>
    </w:p>
    <w:p>
      <w:pPr>
        <w:sectPr>
          <w:pgSz w:w="12240" w:h="15839" w:orient="portrait"/>
          <w:cols w:equalWidth="0" w:num="1">
            <w:col w:w="10100"/>
          </w:cols>
          <w:pgMar w:left="960" w:top="1226"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b w:val="1"/>
          <w:bCs w:val="1"/>
          <w:color w:val="auto"/>
        </w:rPr>
        <w:t>Todd Firestone</w:t>
      </w:r>
      <w:r>
        <w:rPr>
          <w:sz w:val="20"/>
          <w:szCs w:val="20"/>
          <w:color w:val="auto"/>
        </w:rPr>
        <w:tab/>
      </w:r>
      <w:r>
        <w:rPr>
          <w:rFonts w:ascii="Times New Roman" w:cs="Times New Roman" w:eastAsia="Times New Roman" w:hAnsi="Times New Roman"/>
          <w:sz w:val="19"/>
          <w:szCs w:val="19"/>
          <w:b w:val="1"/>
          <w:bCs w:val="1"/>
          <w:color w:val="auto"/>
        </w:rPr>
        <w:t>Stock Transfer Agent and</w:t>
      </w:r>
    </w:p>
    <w:p>
      <w:pPr>
        <w:spacing w:after="0" w:line="50"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color w:val="auto"/>
        </w:rPr>
        <w:t>Vice President, Investor Relations</w:t>
      </w:r>
      <w:r>
        <w:rPr>
          <w:sz w:val="20"/>
          <w:szCs w:val="20"/>
          <w:color w:val="auto"/>
        </w:rPr>
        <w:tab/>
      </w:r>
      <w:r>
        <w:rPr>
          <w:rFonts w:ascii="Times New Roman" w:cs="Times New Roman" w:eastAsia="Times New Roman" w:hAnsi="Times New Roman"/>
          <w:sz w:val="20"/>
          <w:szCs w:val="20"/>
          <w:b w:val="1"/>
          <w:bCs w:val="1"/>
          <w:color w:val="auto"/>
        </w:rPr>
        <w:t>Stock Record Keeping</w:t>
      </w:r>
    </w:p>
    <w:p>
      <w:pPr>
        <w:spacing w:after="0" w:line="174"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color w:val="auto"/>
        </w:rPr>
        <w:t>OPAL Fuels Inc.</w:t>
      </w:r>
      <w:r>
        <w:rPr>
          <w:sz w:val="20"/>
          <w:szCs w:val="20"/>
          <w:color w:val="auto"/>
        </w:rPr>
        <w:tab/>
      </w:r>
      <w:r>
        <w:rPr>
          <w:rFonts w:ascii="Times New Roman" w:cs="Times New Roman" w:eastAsia="Times New Roman" w:hAnsi="Times New Roman"/>
          <w:sz w:val="20"/>
          <w:szCs w:val="20"/>
          <w:color w:val="auto"/>
        </w:rPr>
        <w:t>Continental Stock Transfer</w:t>
      </w:r>
    </w:p>
    <w:p>
      <w:pPr>
        <w:spacing w:after="0" w:line="50"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color w:val="auto"/>
        </w:rPr>
        <w:t>One North Lexington Avenue</w:t>
      </w:r>
      <w:r>
        <w:rPr>
          <w:sz w:val="20"/>
          <w:szCs w:val="20"/>
          <w:color w:val="auto"/>
        </w:rPr>
        <w:tab/>
      </w:r>
      <w:r>
        <w:rPr>
          <w:rFonts w:ascii="Times New Roman" w:cs="Times New Roman" w:eastAsia="Times New Roman" w:hAnsi="Times New Roman"/>
          <w:sz w:val="20"/>
          <w:szCs w:val="20"/>
          <w:color w:val="auto"/>
        </w:rPr>
        <w:t>&amp; Trust Company</w:t>
      </w:r>
    </w:p>
    <w:p>
      <w:pPr>
        <w:spacing w:after="0" w:line="50"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color w:val="auto"/>
        </w:rPr>
        <w:t>Suite 1450</w:t>
      </w:r>
      <w:r>
        <w:rPr>
          <w:sz w:val="20"/>
          <w:szCs w:val="20"/>
          <w:color w:val="auto"/>
        </w:rPr>
        <w:tab/>
      </w:r>
      <w:r>
        <w:rPr>
          <w:rFonts w:ascii="Times New Roman" w:cs="Times New Roman" w:eastAsia="Times New Roman" w:hAnsi="Times New Roman"/>
          <w:sz w:val="20"/>
          <w:szCs w:val="20"/>
          <w:color w:val="auto"/>
        </w:rPr>
        <w:t>1 State Street</w:t>
      </w:r>
    </w:p>
    <w:p>
      <w:pPr>
        <w:spacing w:after="0" w:line="50"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color w:val="auto"/>
        </w:rPr>
        <w:t>White Plains, NY 10601</w:t>
      </w:r>
      <w:r>
        <w:rPr>
          <w:sz w:val="20"/>
          <w:szCs w:val="20"/>
          <w:color w:val="auto"/>
        </w:rPr>
        <w:tab/>
      </w:r>
      <w:r>
        <w:rPr>
          <w:rFonts w:ascii="Times New Roman" w:cs="Times New Roman" w:eastAsia="Times New Roman" w:hAnsi="Times New Roman"/>
          <w:sz w:val="20"/>
          <w:szCs w:val="20"/>
          <w:color w:val="auto"/>
        </w:rPr>
        <w:t>30th Floor</w:t>
      </w:r>
    </w:p>
    <w:p>
      <w:pPr>
        <w:spacing w:after="0" w:line="50"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color w:val="auto"/>
        </w:rPr>
        <w:t>investors@opalfuels.com</w:t>
      </w:r>
      <w:r>
        <w:rPr>
          <w:sz w:val="20"/>
          <w:szCs w:val="20"/>
          <w:color w:val="auto"/>
        </w:rPr>
        <w:tab/>
      </w:r>
      <w:r>
        <w:rPr>
          <w:rFonts w:ascii="Times New Roman" w:cs="Times New Roman" w:eastAsia="Times New Roman" w:hAnsi="Times New Roman"/>
          <w:sz w:val="20"/>
          <w:szCs w:val="20"/>
          <w:color w:val="auto"/>
        </w:rPr>
        <w:t>New York, NY 10004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(914) 705-4000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-608965</wp:posOffset>
                </wp:positionH>
                <wp:positionV relativeFrom="paragraph">
                  <wp:posOffset>1453515</wp:posOffset>
                </wp:positionV>
                <wp:extent cx="7771130" cy="38036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1130" cy="380365"/>
                        </a:xfrm>
                        <a:prstGeom prst="rect">
                          <a:avLst/>
                        </a:prstGeom>
                        <a:solidFill>
                          <a:srgbClr val="3B2390"/>
                        </a:solidFill>
                      </wps:spPr>
                      <wps:bodyPr/>
                    </wps:wsp>
                  </a:graphicData>
                </a:graphic>
              </wp:anchor>
            </w:drawing>
          </mc:Choice>
          <mc:Fallback>
            <w:pict>
              <v:rect id="Shape 63" o:spid="_x0000_s1088" style="position:absolute;margin-left:-47.9499pt;margin-top:114.45pt;width:611.9pt;height:2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B2390"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20"/>
          <w:szCs w:val="20"/>
          <w:color w:val="auto"/>
        </w:rPr>
        <w:t xml:space="preserve">For more information, visit us online at </w:t>
      </w:r>
      <w:r>
        <w:rPr>
          <w:rFonts w:ascii="Times New Roman" w:cs="Times New Roman" w:eastAsia="Times New Roman" w:hAnsi="Times New Roman"/>
          <w:sz w:val="20"/>
          <w:szCs w:val="20"/>
          <w:b w:val="1"/>
          <w:bCs w:val="1"/>
          <w:color w:val="3B2390"/>
        </w:rPr>
        <w:t>www.opalfuels.com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-200660</wp:posOffset>
                </wp:positionH>
                <wp:positionV relativeFrom="paragraph">
                  <wp:posOffset>220345</wp:posOffset>
                </wp:positionV>
                <wp:extent cx="204152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1525" cy="4763"/>
                        </a:xfrm>
                        <a:prstGeom prst="line">
                          <a:avLst/>
                        </a:prstGeom>
                        <a:solidFill>
                          <a:srgbClr val="FFFFFF"/>
                        </a:solidFill>
                        <a:ln w="25400">
                          <a:solidFill>
                            <a:srgbClr val="EFEEED"/>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999pt,17.35pt" to="144.95pt,17.35pt" o:allowincell="f" strokecolor="#EFEEED" strokeweight="2pt"/>
            </w:pict>
          </mc:Fallback>
        </mc:AlternateContent>
        <mc:AlternateContent>
          <mc:Choice Requires="wps">
            <w:drawing>
              <wp:anchor simplePos="0" relativeHeight="251657728" behindDoc="1" locked="0" layoutInCell="0" allowOverlap="1">
                <wp:simplePos x="0" y="0"/>
                <wp:positionH relativeFrom="column">
                  <wp:posOffset>1828165</wp:posOffset>
                </wp:positionH>
                <wp:positionV relativeFrom="paragraph">
                  <wp:posOffset>-572135</wp:posOffset>
                </wp:positionV>
                <wp:extent cx="0" cy="80518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05180"/>
                        </a:xfrm>
                        <a:prstGeom prst="line">
                          <a:avLst/>
                        </a:prstGeom>
                        <a:solidFill>
                          <a:srgbClr val="FFFFFF"/>
                        </a:solidFill>
                        <a:ln w="25400">
                          <a:solidFill>
                            <a:srgbClr val="EFEEED"/>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3.95pt,-45.0499pt" to="143.95pt,18.35pt" o:allowincell="f" strokecolor="#EFEEED" strokeweight="2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-559435</wp:posOffset>
                </wp:positionV>
                <wp:extent cx="204152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1525" cy="4763"/>
                        </a:xfrm>
                        <a:prstGeom prst="line">
                          <a:avLst/>
                        </a:prstGeom>
                        <a:solidFill>
                          <a:srgbClr val="FFFFFF"/>
                        </a:solidFill>
                        <a:ln w="25400">
                          <a:solidFill>
                            <a:srgbClr val="EFEEED"/>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999pt,-44.0499pt" to="144.95pt,-44.0499pt" o:allowincell="f" strokecolor="#EFEEED" strokeweight="2pt"/>
            </w:pict>
          </mc:Fallback>
        </mc:AlternateContent>
        <mc:AlternateContent>
          <mc:Choice Requires="wps">
            <w:drawing>
              <wp:anchor simplePos="0" relativeHeight="251657728" behindDoc="1" locked="0" layoutInCell="0" allowOverlap="1">
                <wp:simplePos x="0" y="0"/>
                <wp:positionH relativeFrom="column">
                  <wp:posOffset>-187960</wp:posOffset>
                </wp:positionH>
                <wp:positionV relativeFrom="paragraph">
                  <wp:posOffset>-572135</wp:posOffset>
                </wp:positionV>
                <wp:extent cx="0" cy="80518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05180"/>
                        </a:xfrm>
                        <a:prstGeom prst="line">
                          <a:avLst/>
                        </a:prstGeom>
                        <a:solidFill>
                          <a:srgbClr val="FFFFFF"/>
                        </a:solidFill>
                        <a:ln w="25400">
                          <a:solidFill>
                            <a:srgbClr val="EFEEED"/>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999pt,-45.0499pt" to="-14.7999pt,18.35pt" o:allowincell="f" strokecolor="#EFEEED" strokeweight="2pt"/>
            </w:pict>
          </mc:Fallback>
        </mc:AlternateContent>
      </w:r>
    </w:p>
    <w:p>
      <w:pPr>
        <w:sectPr>
          <w:pgSz w:w="12240" w:h="15839" w:orient="portrait"/>
          <w:cols w:equalWidth="0" w:num="2">
            <w:col w:w="6940" w:space="720"/>
            <w:col w:w="2440"/>
          </w:cols>
          <w:pgMar w:left="960" w:top="1226" w:right="117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b w:val="1"/>
          <w:bCs w:val="1"/>
          <w:color w:val="3B2390"/>
        </w:rPr>
        <w:t>opalfuels.com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681355</wp:posOffset>
            </wp:positionV>
            <wp:extent cx="7771765" cy="36868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4">
                      <a:extLst>
                        <a:ext uri="{28A0092B-C50C-407E-A947-70E740481C1C}"/>
                      </a:extLst>
                    </a:blip>
                    <a:srcRect/>
                    <a:stretch>
                      <a:fillRect/>
                    </a:stretch>
                  </pic:blipFill>
                  <pic:spPr bwMode="auto">
                    <a:xfrm>
                      <a:off x="0" y="0"/>
                      <a:ext cx="7771765" cy="368681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935355</wp:posOffset>
                </wp:positionH>
                <wp:positionV relativeFrom="paragraph">
                  <wp:posOffset>-47625</wp:posOffset>
                </wp:positionV>
                <wp:extent cx="6391910" cy="6604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1910" cy="66040"/>
                        </a:xfrm>
                        <a:prstGeom prst="rect">
                          <a:avLst/>
                        </a:prstGeom>
                        <a:solidFill>
                          <a:srgbClr val="EAEBF1"/>
                        </a:solidFill>
                      </wps:spPr>
                      <wps:bodyPr/>
                    </wps:wsp>
                  </a:graphicData>
                </a:graphic>
              </wp:anchor>
            </w:drawing>
          </mc:Choice>
          <mc:Fallback>
            <w:pict>
              <v:rect id="Shape 69" o:spid="_x0000_s1094" style="position:absolute;margin-left:73.65pt;margin-top:-3.7499pt;width:503.3pt;height: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F1" stroked="f"/>
            </w:pict>
          </mc:Fallback>
        </mc:AlternateContent>
        <w:drawing>
          <wp:anchor simplePos="0" relativeHeight="251657728" behindDoc="1" locked="0" layoutInCell="0" allowOverlap="1">
            <wp:simplePos x="0" y="0"/>
            <wp:positionH relativeFrom="column">
              <wp:posOffset>-110490</wp:posOffset>
            </wp:positionH>
            <wp:positionV relativeFrom="paragraph">
              <wp:posOffset>6890385</wp:posOffset>
            </wp:positionV>
            <wp:extent cx="2802255" cy="667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5">
                      <a:extLst>
                        <a:ext uri="{28A0092B-C50C-407E-A947-70E740481C1C}"/>
                      </a:extLst>
                    </a:blip>
                    <a:srcRect/>
                    <a:stretch>
                      <a:fillRect/>
                    </a:stretch>
                  </pic:blipFill>
                  <pic:spPr bwMode="auto">
                    <a:xfrm>
                      <a:off x="0" y="0"/>
                      <a:ext cx="2802255" cy="667385"/>
                    </a:xfrm>
                    <a:prstGeom prst="rect">
                      <a:avLst/>
                    </a:prstGeom>
                    <a:noFill/>
                  </pic:spPr>
                </pic:pic>
              </a:graphicData>
            </a:graphic>
          </wp:anchor>
        </w:drawing>
      </w:r>
    </w:p>
    <w:p>
      <w:pPr>
        <w:sectPr>
          <w:pgSz w:w="12240" w:h="15839" w:orient="portrait"/>
          <w:cols w:equalWidth="0" w:num="1">
            <w:col w:w="10099"/>
          </w:cols>
          <w:pgMar w:left="700" w:top="653" w:right="14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3B2390"/>
        </w:rPr>
        <w:t>Corporate Office</w:t>
      </w:r>
    </w:p>
    <w:p>
      <w:pPr>
        <w:spacing w:after="0" w:line="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One North Lexington Avenue</w:t>
      </w:r>
    </w:p>
    <w:p>
      <w:pPr>
        <w:spacing w:after="0" w:line="5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Suite 1450</w:t>
      </w:r>
    </w:p>
    <w:p>
      <w:pPr>
        <w:spacing w:after="0" w:line="5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White Plains, NY 10601</w:t>
      </w:r>
    </w:p>
    <w:p>
      <w:pPr>
        <w:spacing w:after="0" w:line="5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(914) 705-4000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-443865</wp:posOffset>
                </wp:positionH>
                <wp:positionV relativeFrom="paragraph">
                  <wp:posOffset>340360</wp:posOffset>
                </wp:positionV>
                <wp:extent cx="7771130" cy="38036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1130" cy="380365"/>
                        </a:xfrm>
                        <a:prstGeom prst="rect">
                          <a:avLst/>
                        </a:prstGeom>
                        <a:solidFill>
                          <a:srgbClr val="3B2390"/>
                        </a:solidFill>
                      </wps:spPr>
                      <wps:bodyPr/>
                    </wps:wsp>
                  </a:graphicData>
                </a:graphic>
              </wp:anchor>
            </w:drawing>
          </mc:Choice>
          <mc:Fallback>
            <w:pict>
              <v:rect id="Shape 71" o:spid="_x0000_s1096" style="position:absolute;margin-left:-34.9499pt;margin-top:26.8pt;width:611.9pt;height:2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B2390" stroked="f"/>
            </w:pict>
          </mc:Fallback>
        </mc:AlternateContent>
      </w:r>
    </w:p>
    <w:sectPr>
      <w:pgSz w:w="12240" w:h="15839" w:orient="portrait"/>
      <w:cols w:equalWidth="0" w:num="1">
        <w:col w:w="10099"/>
      </w:cols>
      <w:pgMar w:left="700" w:top="653" w:right="1440" w:bottom="5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2"/>
    </w:lvl>
  </w:abstractNum>
  <w:abstractNum w:abstractNumId="1">
    <w:nsid w:val="3DC240FB"/>
    <w:multiLevelType w:val="hybridMultilevel"/>
    <w:lvl w:ilvl="0">
      <w:lvlJc w:val="left"/>
      <w:lvlText w:val="%1"/>
      <w:numFmt w:val="decimal"/>
      <w:start w:val="4"/>
    </w:lvl>
  </w:abstractNum>
  <w:abstractNum w:abstractNumId="2">
    <w:nsid w:val="1BA026FA"/>
    <w:multiLevelType w:val="hybridMultilevel"/>
    <w:lvl w:ilvl="0">
      <w:lvlJc w:val="left"/>
      <w:lvlText w:val="6"/>
      <w:numFmt w:val="bullet"/>
      <w:start w:val="1"/>
    </w:lvl>
  </w:abstractNum>
  <w:abstractNum w:abstractNumId="3">
    <w:nsid w:val="79A1DEAA"/>
    <w:multiLevelType w:val="hybridMultilevel"/>
    <w:lvl w:ilvl="0">
      <w:lvlJc w:val="left"/>
      <w:lvlText w:val=""/>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1)"/>
      <w:numFmt w:val="lowerRoman"/>
      <w:start w:val="4"/>
    </w:lvl>
  </w:abstractNum>
  <w:abstractNum w:abstractNumId="8">
    <w:nsid w:val="374A3FE6"/>
    <w:multiLevelType w:val="hybridMultilevel"/>
    <w:lvl w:ilvl="0">
      <w:lvlJc w:val="left"/>
      <w:lvlText w:val="(%1)"/>
      <w:numFmt w:val="decimal"/>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1)"/>
      <w:numFmt w:val="lowerRoman"/>
      <w:start w:val="2"/>
    </w:lvl>
  </w:abstractNum>
  <w:abstractNum w:abstractNumId="11">
    <w:nsid w:val="649BB77C"/>
    <w:multiLevelType w:val="hybridMultilevel"/>
    <w:lvl w:ilvl="0">
      <w:lvlJc w:val="left"/>
      <w:lvlText w:val="(%1)"/>
      <w:numFmt w:val="lowerRoman"/>
      <w:start w:val="4"/>
    </w:lvl>
  </w:abstractNum>
  <w:abstractNum w:abstractNumId="12">
    <w:nsid w:val="275AC794"/>
    <w:multiLevelType w:val="hybridMultilevel"/>
    <w:lvl w:ilvl="0">
      <w:lvlJc w:val="left"/>
      <w:lvlText w:val="(%1)"/>
      <w:numFmt w:val="lowerRoman"/>
      <w:start w:val="4"/>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lowerRoman"/>
      <w:start w:val="5"/>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1)"/>
      <w:numFmt w:val="lowerRoman"/>
      <w:start w:val="2"/>
    </w:lvl>
  </w:abstractNum>
  <w:abstractNum w:abstractNumId="27">
    <w:nsid w:val="579BE4F1"/>
    <w:multiLevelType w:val="hybridMultilevel"/>
    <w:lvl w:ilvl="0">
      <w:lvlJc w:val="left"/>
      <w:lvlText w:val="•"/>
      <w:numFmt w:val="bullet"/>
      <w:start w:val="1"/>
    </w:lvl>
    <w:lvl w:ilvl="1">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1)"/>
      <w:numFmt w:val="decimal"/>
      <w:start w:val="3"/>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decimal"/>
      <w:start w:val="4"/>
    </w:lvl>
  </w:abstractNum>
  <w:abstractNum w:abstractNumId="38">
    <w:nsid w:val="6590700B"/>
    <w:multiLevelType w:val="hybridMultilevel"/>
    <w:lvl w:ilvl="0">
      <w:lvlJc w:val="left"/>
      <w:lvlText w:val="(%1)"/>
      <w:numFmt w:val="decimal"/>
      <w:start w:val="1"/>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1)"/>
      <w:numFmt w:val="decimal"/>
      <w:start w:val="2"/>
    </w:lvl>
  </w:abstractNum>
  <w:abstractNum w:abstractNumId="44">
    <w:nsid w:val="42C296BD"/>
    <w:multiLevelType w:val="hybridMultilevel"/>
    <w:lvl w:ilvl="0">
      <w:lvlJc w:val="left"/>
      <w:lvlText w:val="(%1)"/>
      <w:numFmt w:val="lowerRoman"/>
      <w:start w:val="4"/>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1)"/>
      <w:numFmt w:val="lowerLetter"/>
      <w:start w:val="1"/>
    </w:lvl>
    <w:lvl w:ilvl="1">
      <w:lvlJc w:val="left"/>
      <w:lvlText w:val="%2."/>
      <w:numFmt w:val="decimal"/>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1)"/>
      <w:numFmt w:val="decimal"/>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decimal"/>
      <w:start w:val="1"/>
    </w:lvl>
  </w:abstractNum>
  <w:abstractNum w:abstractNumId="57">
    <w:nsid w:val="8F2B15E"/>
    <w:multiLevelType w:val="hybridMultilevel"/>
    <w:lvl w:ilvl="0">
      <w:lvlJc w:val="left"/>
      <w:lvlText w:val="(%1)"/>
      <w:numFmt w:val="decimal"/>
      <w:start w:val="2"/>
    </w:lvl>
  </w:abstractNum>
  <w:abstractNum w:abstractNumId="58">
    <w:nsid w:val="1A32234B"/>
    <w:multiLevelType w:val="hybridMultilevel"/>
    <w:lvl w:ilvl="0">
      <w:lvlJc w:val="left"/>
      <w:lvlText w:val="(%1)"/>
      <w:numFmt w:val="decimal"/>
      <w:start w:val="1"/>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1)"/>
      <w:numFmt w:val="decimal"/>
      <w:start w:val="1"/>
    </w:lvl>
  </w:abstractNum>
  <w:abstractNum w:abstractNumId="61">
    <w:nsid w:val="4962813B"/>
    <w:multiLevelType w:val="hybridMultilevel"/>
    <w:lvl w:ilvl="0">
      <w:lvlJc w:val="left"/>
      <w:lvlText w:val="(%1)"/>
      <w:numFmt w:val="lowerRoman"/>
      <w:start w:val="2"/>
    </w:lvl>
  </w:abstractNum>
  <w:abstractNum w:abstractNumId="62">
    <w:nsid w:val="60B6DF70"/>
    <w:multiLevelType w:val="hybridMultilevel"/>
    <w:lvl w:ilvl="0">
      <w:lvlJc w:val="left"/>
      <w:lvlText w:val="(%1)"/>
      <w:numFmt w:val="lowerRoman"/>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9"/>
    </w:lvl>
  </w:abstractNum>
  <w:abstractNum w:abstractNumId="65">
    <w:nsid w:val="7FFFCA11"/>
    <w:multiLevelType w:val="hybridMultilevel"/>
    <w:lvl w:ilvl="0">
      <w:lvlJc w:val="left"/>
      <w:lvlText w:val="\endash "/>
      <w:numFmt w:val="bullet"/>
      <w:start w:val="1"/>
    </w:lvl>
  </w:abstractNum>
  <w:abstractNum w:abstractNumId="66">
    <w:nsid w:val="1A27709E"/>
    <w:multiLevelType w:val="hybridMultilevel"/>
    <w:lvl w:ilvl="0">
      <w:lvlJc w:val="left"/>
      <w:lvlText w:val="%1."/>
      <w:numFmt w:val="decimal"/>
      <w:start w:val="9"/>
    </w:lvl>
  </w:abstractNum>
  <w:abstractNum w:abstractNumId="67">
    <w:nsid w:val="71EA1109"/>
    <w:multiLevelType w:val="hybridMultilevel"/>
    <w:lvl w:ilvl="0">
      <w:lvlJc w:val="left"/>
      <w:lvlText w:val="%1."/>
      <w:numFmt w:val="decimal"/>
      <w:start w:val="9"/>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1."/>
      <w:numFmt w:val="decimal"/>
      <w:start w:val="9"/>
    </w:lvl>
  </w:abstractNum>
  <w:abstractNum w:abstractNumId="70">
    <w:nsid w:val="6EB5BD4"/>
    <w:multiLevelType w:val="hybridMultilevel"/>
    <w:lvl w:ilvl="0">
      <w:lvlJc w:val="left"/>
      <w:lvlText w:val="(%1)"/>
      <w:numFmt w:val="decimal"/>
      <w:start w:val="2"/>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1)"/>
      <w:numFmt w:val="decimal"/>
      <w:start w:val="512"/>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1)"/>
      <w:numFmt w:val="decimal"/>
      <w:start w:val="1"/>
    </w:lvl>
  </w:abstractNum>
  <w:abstractNum w:abstractNumId="77">
    <w:nsid w:val="14E17E33"/>
    <w:multiLevelType w:val="hybridMultilevel"/>
    <w:lvl w:ilvl="0">
      <w:lvlJc w:val="left"/>
      <w:lvlText w:val="(%1)"/>
      <w:numFmt w:val="decimal"/>
      <w:start w:val="1"/>
    </w:lvl>
  </w:abstractNum>
  <w:abstractNum w:abstractNumId="78">
    <w:nsid w:val="3222E7CD"/>
    <w:multiLevelType w:val="hybridMultilevel"/>
    <w:lvl w:ilvl="0">
      <w:lvlJc w:val="left"/>
      <w:lvlText w:val="(%1)"/>
      <w:numFmt w:val="decimal"/>
      <w:start w:val="1"/>
    </w:lvl>
  </w:abstractNum>
  <w:abstractNum w:abstractNumId="79">
    <w:nsid w:val="74DE0EE3"/>
    <w:multiLevelType w:val="hybridMultilevel"/>
    <w:lvl w:ilvl="0">
      <w:lvlJc w:val="left"/>
      <w:lvlText w:val="•"/>
      <w:numFmt w:val="bullet"/>
      <w:start w:val="1"/>
    </w:lvl>
    <w:lvl w:ilvl="1">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lvl w:ilvl="1">
      <w:lvlJc w:val="left"/>
      <w:lvlText w:val="•"/>
      <w:numFmt w:val="bullet"/>
      <w:start w:val="1"/>
    </w:lvl>
  </w:abstractNum>
  <w:abstractNum w:abstractNumId="82">
    <w:nsid w:val="46B7D447"/>
    <w:multiLevelType w:val="hybridMultilevel"/>
    <w:lvl w:ilvl="0">
      <w:lvlJc w:val="left"/>
      <w:lvlText w:val="(%1)"/>
      <w:numFmt w:val="decimal"/>
      <w:start w:val="1"/>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1."/>
      <w:numFmt w:val="decimal"/>
      <w:start w:val="14"/>
    </w:lvl>
  </w:abstractNum>
  <w:abstractNum w:abstractNumId="89">
    <w:nsid w:val="26F324BA"/>
    <w:multiLevelType w:val="hybridMultilevel"/>
    <w:lvl w:ilvl="0">
      <w:lvlJc w:val="left"/>
      <w:lvlText w:val="%1."/>
      <w:numFmt w:val="decimal"/>
      <w:start w:val="14"/>
    </w:lvl>
  </w:abstractNum>
  <w:abstractNum w:abstractNumId="90">
    <w:nsid w:val="7F01579B"/>
    <w:multiLevelType w:val="hybridMultilevel"/>
    <w:lvl w:ilvl="0">
      <w:lvlJc w:val="left"/>
      <w:lvlText w:val="(%1)"/>
      <w:numFmt w:val="lowerRoman"/>
      <w:start w:val="3"/>
    </w:lvl>
  </w:abstractNum>
  <w:abstractNum w:abstractNumId="91">
    <w:nsid w:val="49DA307D"/>
    <w:multiLevelType w:val="hybridMultilevel"/>
    <w:lvl w:ilvl="0">
      <w:lvlJc w:val="left"/>
      <w:lvlText w:val="%1."/>
      <w:numFmt w:val="decimal"/>
      <w:start w:val="14"/>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1."/>
      <w:numFmt w:val="decimal"/>
      <w:start w:val="14"/>
    </w:lvl>
  </w:abstractNum>
  <w:abstractNum w:abstractNumId="94">
    <w:nsid w:val="50801EE1"/>
    <w:multiLevelType w:val="hybridMultilevel"/>
    <w:lvl w:ilvl="0">
      <w:lvlJc w:val="left"/>
      <w:lvlText w:val="%1."/>
      <w:numFmt w:val="decimal"/>
      <w:start w:val="14"/>
    </w:lvl>
  </w:abstractNum>
  <w:abstractNum w:abstractNumId="95">
    <w:nsid w:val="488AC1A"/>
    <w:multiLevelType w:val="hybridMultilevel"/>
    <w:lvl w:ilvl="0">
      <w:lvlJc w:val="left"/>
      <w:lvlText w:val="%1."/>
      <w:numFmt w:val="decimal"/>
      <w:start w:val="14"/>
    </w:lvl>
  </w:abstractNum>
  <w:abstractNum w:abstractNumId="96">
    <w:nsid w:val="5FB8011C"/>
    <w:multiLevelType w:val="hybridMultilevel"/>
    <w:lvl w:ilvl="0">
      <w:lvlJc w:val="left"/>
      <w:lvlText w:val="%1."/>
      <w:numFmt w:val="decimal"/>
      <w:start w:val="1"/>
    </w:lvl>
  </w:abstractNum>
  <w:abstractNum w:abstractNumId="97">
    <w:nsid w:val="6AA78F7F"/>
    <w:multiLevelType w:val="hybridMultilevel"/>
    <w:lvl w:ilvl="0">
      <w:lvlJc w:val="left"/>
      <w:lvlText w:val="%1"/>
      <w:numFmt w:val="decimal"/>
      <w:start w:val="184"/>
    </w:lvl>
  </w:abstractNum>
  <w:abstractNum w:abstractNumId="98">
    <w:nsid w:val="7672BD23"/>
    <w:multiLevelType w:val="hybridMultilevel"/>
    <w:lvl w:ilvl="0">
      <w:lvlJc w:val="left"/>
      <w:lvlText w:val="(%1)"/>
      <w:numFmt w:val="decimal"/>
      <w:start w:val="89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2023-05-09T20:01:49Z</dcterms:created>
  <dcterms:modified xsi:type="dcterms:W3CDTF">2023-05-09T20:01:49Z</dcterms:modified>
</cp:coreProperties>
</file>