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spacing w:before="0" w:after="0"/>
        <w:rPr/>
      </w:pPr>
      <w:bookmarkStart w:id="0" w:name="wf-form4_168064094272282.xml.htm"/>
      <w:bookmarkStart w:id="1" w:name="kswfform4_168064094272282"/>
      <w:bookmarkEnd w:id="0"/>
      <w:bookmarkEnd w:id="1"/>
      <w:r>
        <w:rPr/>
        <w:t xml:space="preserve">SEC Form 4 </w:t>
      </w:r>
    </w:p>
    <w:tbl>
      <w:tblPr>
        <w:tblW w:w="5000" w:type="pct"/>
        <w:jc w:val="left"/>
        <w:tblInd w:w="0" w:type="dxa"/>
        <w:tblCellMar>
          <w:top w:w="60" w:type="dxa"/>
          <w:left w:w="60" w:type="dxa"/>
          <w:bottom w:w="60" w:type="dxa"/>
          <w:right w:w="60" w:type="dxa"/>
        </w:tblCellMar>
      </w:tblPr>
      <w:tblGrid>
        <w:gridCol w:w="360"/>
        <w:gridCol w:w="1888"/>
        <w:gridCol w:w="5968"/>
        <w:gridCol w:w="1989"/>
      </w:tblGrid>
      <w:tr>
        <w:trPr/>
        <w:tc>
          <w:tcPr>
            <w:tcW w:w="2248" w:type="dxa"/>
            <w:gridSpan w:val="2"/>
            <w:tcBorders/>
            <w:shd w:fill="auto" w:val="clear"/>
          </w:tcPr>
          <w:p>
            <w:pPr>
              <w:pStyle w:val="TableContents"/>
              <w:spacing w:before="0" w:after="283"/>
              <w:jc w:val="center"/>
              <w:rPr>
                <w:rFonts w:ascii="arial;helvetica;sans-serif" w:hAnsi="arial;helvetica;sans-serif"/>
                <w:b/>
                <w:sz w:val="36"/>
              </w:rPr>
            </w:pPr>
            <w:r>
              <w:rPr>
                <w:rFonts w:ascii="arial;helvetica;sans-serif" w:hAnsi="arial;helvetica;sans-serif"/>
                <w:b/>
                <w:sz w:val="36"/>
              </w:rPr>
              <w:t>FORM 4</w:t>
            </w:r>
          </w:p>
        </w:tc>
        <w:tc>
          <w:tcPr>
            <w:tcW w:w="5968" w:type="dxa"/>
            <w:vMerge w:val="restart"/>
            <w:tcBorders/>
            <w:shd w:fill="auto" w:val="clear"/>
            <w:vAlign w:val="center"/>
          </w:tcPr>
          <w:p>
            <w:pPr>
              <w:pStyle w:val="TableContents"/>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89" w:type="dxa"/>
            <w:vMerge w:val="restart"/>
            <w:tcBorders/>
            <w:shd w:fill="auto" w:val="clear"/>
          </w:tcPr>
          <w:p>
            <w:pPr>
              <w:pStyle w:val="TableContents"/>
              <w:spacing w:before="0" w:after="0"/>
              <w:jc w:val="center"/>
              <w:rPr/>
            </w:pPr>
            <w:r>
              <w:rPr/>
              <w:t xml:space="preserve">  </w:t>
            </w:r>
          </w:p>
          <w:tbl>
            <w:tblPr>
              <w:tblW w:w="5000" w:type="pct"/>
              <w:jc w:val="center"/>
              <w:tblInd w:w="0" w:type="dxa"/>
              <w:tblCellMar>
                <w:top w:w="28" w:type="dxa"/>
                <w:left w:w="28" w:type="dxa"/>
                <w:bottom w:w="28" w:type="dxa"/>
                <w:right w:w="28" w:type="dxa"/>
              </w:tblCellMar>
            </w:tblPr>
            <w:tblGrid>
              <w:gridCol w:w="1869"/>
            </w:tblGrid>
            <w:tr>
              <w:trPr/>
              <w:tc>
                <w:tcPr>
                  <w:tcW w:w="1869" w:type="dxa"/>
                  <w:tcBorders>
                    <w:top w:val="double" w:sz="2" w:space="0" w:color="808080"/>
                    <w:left w:val="double" w:sz="2" w:space="0" w:color="808080"/>
                    <w:bottom w:val="double" w:sz="2" w:space="0" w:color="808080"/>
                    <w:right w:val="double" w:sz="2" w:space="0" w:color="808080"/>
                  </w:tcBorders>
                  <w:shd w:fill="auto" w:val="clear"/>
                  <w:vAlign w:val="center"/>
                </w:tcPr>
                <w:p>
                  <w:pPr>
                    <w:pStyle w:val="TableContents"/>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CellMar>
                      <w:top w:w="28" w:type="dxa"/>
                      <w:left w:w="28" w:type="dxa"/>
                      <w:bottom w:w="28" w:type="dxa"/>
                      <w:right w:w="28" w:type="dxa"/>
                    </w:tblCellMar>
                  </w:tblPr>
                  <w:tblGrid>
                    <w:gridCol w:w="1145"/>
                    <w:gridCol w:w="668"/>
                  </w:tblGrid>
                  <w:tr>
                    <w:trPr/>
                    <w:tc>
                      <w:tcPr>
                        <w:tcW w:w="1145" w:type="dxa"/>
                        <w:tcBorders/>
                        <w:shd w:fill="auto" w:val="clear"/>
                        <w:vAlign w:val="center"/>
                      </w:tcPr>
                      <w:p>
                        <w:pPr>
                          <w:pStyle w:val="TableContents"/>
                          <w:spacing w:before="0" w:after="283"/>
                          <w:jc w:val="left"/>
                          <w:rPr>
                            <w:rFonts w:ascii="arial;helvetica;sans-serif" w:hAnsi="arial;helvetica;sans-serif"/>
                            <w:sz w:val="14"/>
                          </w:rPr>
                        </w:pPr>
                        <w:r>
                          <w:rPr>
                            <w:rFonts w:ascii="arial;helvetica;sans-serif" w:hAnsi="arial;helvetica;sans-serif"/>
                            <w:sz w:val="14"/>
                          </w:rPr>
                          <w:t>OMB Number:</w:t>
                        </w:r>
                      </w:p>
                    </w:tc>
                    <w:tc>
                      <w:tcPr>
                        <w:tcW w:w="668" w:type="dxa"/>
                        <w:tcBorders/>
                        <w:shd w:fill="auto" w:val="clear"/>
                        <w:vAlign w:val="center"/>
                      </w:tcPr>
                      <w:p>
                        <w:pPr>
                          <w:pStyle w:val="TableContents"/>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3" w:type="dxa"/>
                        <w:gridSpan w:val="2"/>
                        <w:tcBorders/>
                        <w:shd w:fill="auto" w:val="clear"/>
                        <w:vAlign w:val="center"/>
                      </w:tcPr>
                      <w:p>
                        <w:pPr>
                          <w:pStyle w:val="TableContents"/>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5" w:type="dxa"/>
                        <w:tcBorders/>
                        <w:shd w:fill="auto" w:val="clear"/>
                        <w:vAlign w:val="center"/>
                      </w:tcPr>
                      <w:p>
                        <w:pPr>
                          <w:pStyle w:val="TableContents"/>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8" w:type="dxa"/>
                        <w:tcBorders/>
                        <w:shd w:fill="auto" w:val="clear"/>
                        <w:vAlign w:val="center"/>
                      </w:tcPr>
                      <w:p>
                        <w:pPr>
                          <w:pStyle w:val="TableContents"/>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spacing w:before="0" w:after="283"/>
                    <w:rPr/>
                  </w:pPr>
                  <w:r>
                    <w:rPr/>
                  </w:r>
                </w:p>
              </w:tc>
            </w:tr>
            <w:tr>
              <w:trPr/>
              <w:tc>
                <w:tcPr>
                  <w:tcW w:w="1869" w:type="dxa"/>
                  <w:tcBorders>
                    <w:left w:val="double" w:sz="2" w:space="0" w:color="808080"/>
                    <w:bottom w:val="double" w:sz="2" w:space="0" w:color="808080"/>
                    <w:right w:val="double" w:sz="2" w:space="0" w:color="808080"/>
                  </w:tcBorders>
                  <w:shd w:fill="auto" w:val="clear"/>
                  <w:vAlign w:val="center"/>
                </w:tcPr>
                <w:p>
                  <w:pPr>
                    <w:pStyle w:val="TableContents"/>
                    <w:spacing w:before="0" w:after="283"/>
                    <w:rPr>
                      <w:sz w:val="4"/>
                      <w:szCs w:val="4"/>
                    </w:rPr>
                  </w:pPr>
                  <w:r>
                    <w:rPr>
                      <w:sz w:val="4"/>
                      <w:szCs w:val="4"/>
                    </w:rPr>
                  </w:r>
                </w:p>
              </w:tc>
            </w:tr>
          </w:tbl>
          <w:p>
            <w:pPr>
              <w:pStyle w:val="TableContents"/>
              <w:spacing w:before="0" w:after="283"/>
              <w:rPr>
                <w:sz w:val="4"/>
                <w:szCs w:val="4"/>
              </w:rPr>
            </w:pPr>
            <w:r>
              <w:rPr>
                <w:sz w:val="4"/>
                <w:szCs w:val="4"/>
              </w:rPr>
            </w:r>
          </w:p>
        </w:tc>
      </w:tr>
      <w:tr>
        <w:trPr/>
        <w:tc>
          <w:tcPr>
            <w:tcW w:w="360" w:type="dxa"/>
            <w:tcBorders/>
            <w:shd w:fill="auto" w:val="clear"/>
            <w:vAlign w:val="center"/>
          </w:tcPr>
          <w:p>
            <w:pPr>
              <w:pStyle w:val="TableContents"/>
              <w:spacing w:before="0" w:after="283"/>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p>
        </w:tc>
        <w:tc>
          <w:tcPr>
            <w:tcW w:w="1888" w:type="dxa"/>
            <w:tcBorders/>
            <w:shd w:fill="auto" w:val="clear"/>
            <w:vAlign w:val="center"/>
          </w:tcPr>
          <w:p>
            <w:pPr>
              <w:pStyle w:val="TableContents"/>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68" w:type="dxa"/>
            <w:vMerge w:val="continue"/>
            <w:tcBorders/>
            <w:shd w:fill="auto" w:val="clear"/>
            <w:vAlign w:val="center"/>
          </w:tcPr>
          <w:p>
            <w:pPr>
              <w:pStyle w:val="Normal"/>
              <w:rPr/>
            </w:pPr>
            <w:r>
              <w:rPr/>
            </w:r>
          </w:p>
        </w:tc>
        <w:tc>
          <w:tcPr>
            <w:tcW w:w="1989" w:type="dxa"/>
            <w:vMerge w:val="continue"/>
            <w:tcBorders/>
            <w:shd w:fill="auto" w:val="clear"/>
          </w:tcPr>
          <w:p>
            <w:pPr>
              <w:pStyle w:val="Normal"/>
              <w:rPr/>
            </w:pPr>
            <w:r>
              <w:rPr/>
            </w:r>
          </w:p>
        </w:tc>
      </w:tr>
    </w:tbl>
    <w:tbl>
      <w:tblPr>
        <w:tblW w:w="5000" w:type="pct"/>
        <w:jc w:val="left"/>
        <w:tblInd w:w="0" w:type="dxa"/>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shd w:fill="auto" w:val="clear"/>
          </w:tcPr>
          <w:p>
            <w:pPr>
              <w:pStyle w:val="TableContents"/>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CellMar>
                <w:top w:w="28" w:type="dxa"/>
                <w:left w:w="28" w:type="dxa"/>
                <w:bottom w:w="28" w:type="dxa"/>
                <w:right w:w="28" w:type="dxa"/>
              </w:tblCellMar>
            </w:tblPr>
            <w:tblGrid>
              <w:gridCol w:w="3451"/>
            </w:tblGrid>
            <w:tr>
              <w:trPr/>
              <w:tc>
                <w:tcPr>
                  <w:tcW w:w="3451" w:type="dxa"/>
                  <w:tcBorders/>
                  <w:shd w:fill="auto" w:val="clear"/>
                  <w:vAlign w:val="center"/>
                </w:tcPr>
                <w:p>
                  <w:pPr>
                    <w:pStyle w:val="TableContents"/>
                    <w:spacing w:before="0" w:after="283"/>
                    <w:rPr/>
                  </w:pPr>
                  <w:hyperlink r:id="rId3">
                    <w:r>
                      <w:rPr>
                        <w:rStyle w:val="InternetLink"/>
                      </w:rPr>
                      <w:t>Unger David C</w:t>
                    </w:r>
                  </w:hyperlink>
                </w:p>
              </w:tc>
            </w:tr>
          </w:tbl>
          <w:p>
            <w:pPr>
              <w:pStyle w:val="HorizontalLine"/>
              <w:rPr/>
            </w:pPr>
            <w:r>
              <w:rPr/>
            </w:r>
          </w:p>
          <w:tbl>
            <w:tblPr>
              <w:tblW w:w="5000" w:type="pct"/>
              <w:jc w:val="left"/>
              <w:tblInd w:w="0" w:type="dxa"/>
              <w:tblCellMar>
                <w:top w:w="28" w:type="dxa"/>
                <w:left w:w="28" w:type="dxa"/>
                <w:bottom w:w="28" w:type="dxa"/>
                <w:right w:w="28" w:type="dxa"/>
              </w:tblCellMar>
            </w:tblPr>
            <w:tblGrid>
              <w:gridCol w:w="1150"/>
              <w:gridCol w:w="1150"/>
              <w:gridCol w:w="1151"/>
            </w:tblGrid>
            <w:tr>
              <w:trPr/>
              <w:tc>
                <w:tcPr>
                  <w:tcW w:w="115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CellMar>
                <w:top w:w="28" w:type="dxa"/>
                <w:left w:w="28" w:type="dxa"/>
                <w:bottom w:w="28" w:type="dxa"/>
                <w:right w:w="28" w:type="dxa"/>
              </w:tblCellMar>
            </w:tblPr>
            <w:tblGrid>
              <w:gridCol w:w="3451"/>
            </w:tblGrid>
            <w:tr>
              <w:trPr/>
              <w:tc>
                <w:tcPr>
                  <w:tcW w:w="3451"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ONE NORTH LEXINGTON AVE, 14TH FLOOR</w:t>
                  </w:r>
                </w:p>
              </w:tc>
            </w:tr>
            <w:tr>
              <w:trPr/>
              <w:tc>
                <w:tcPr>
                  <w:tcW w:w="3451" w:type="dxa"/>
                  <w:tcBorders/>
                  <w:shd w:fill="auto" w:val="clear"/>
                  <w:vAlign w:val="center"/>
                </w:tcPr>
                <w:p>
                  <w:pPr>
                    <w:pStyle w:val="TableContents"/>
                    <w:spacing w:before="0" w:after="283"/>
                    <w:rPr>
                      <w:sz w:val="4"/>
                      <w:szCs w:val="4"/>
                    </w:rPr>
                  </w:pPr>
                  <w:r>
                    <w:rPr>
                      <w:sz w:val="4"/>
                      <w:szCs w:val="4"/>
                    </w:rPr>
                  </w:r>
                </w:p>
              </w:tc>
            </w:tr>
          </w:tbl>
          <w:p>
            <w:pPr>
              <w:pStyle w:val="HorizontalLine"/>
              <w:rPr/>
            </w:pPr>
            <w:r>
              <w:rPr/>
            </w:r>
          </w:p>
          <w:p>
            <w:pPr>
              <w:pStyle w:val="TableContents"/>
              <w:spacing w:before="0" w:after="0"/>
              <w:jc w:val="left"/>
              <w:rPr/>
            </w:pPr>
            <w:r>
              <w:rPr>
                <w:rFonts w:ascii="arial;helvetica;sans-serif" w:hAnsi="arial;helvetica;sans-serif"/>
                <w:sz w:val="20"/>
              </w:rPr>
              <w:t>(Street)</w:t>
            </w:r>
            <w:r>
              <w:rPr/>
              <w:t xml:space="preserve"> </w:t>
            </w:r>
          </w:p>
          <w:tbl>
            <w:tblPr>
              <w:tblW w:w="5000" w:type="pct"/>
              <w:jc w:val="left"/>
              <w:tblInd w:w="0" w:type="dxa"/>
              <w:tblCellMar>
                <w:top w:w="28" w:type="dxa"/>
                <w:left w:w="28" w:type="dxa"/>
                <w:bottom w:w="28" w:type="dxa"/>
                <w:right w:w="28" w:type="dxa"/>
              </w:tblCellMar>
            </w:tblPr>
            <w:tblGrid>
              <w:gridCol w:w="1150"/>
              <w:gridCol w:w="1150"/>
              <w:gridCol w:w="1151"/>
            </w:tblGrid>
            <w:tr>
              <w:trPr/>
              <w:tc>
                <w:tcPr>
                  <w:tcW w:w="1150"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WHITE PLAINS</w:t>
                  </w:r>
                </w:p>
              </w:tc>
              <w:tc>
                <w:tcPr>
                  <w:tcW w:w="1150"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NY</w:t>
                  </w:r>
                </w:p>
              </w:tc>
              <w:tc>
                <w:tcPr>
                  <w:tcW w:w="1151"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10601</w:t>
                  </w:r>
                </w:p>
              </w:tc>
            </w:tr>
          </w:tbl>
          <w:p>
            <w:pPr>
              <w:pStyle w:val="HorizontalLine"/>
              <w:rPr/>
            </w:pPr>
            <w:r>
              <w:rPr/>
            </w:r>
          </w:p>
          <w:tbl>
            <w:tblPr>
              <w:tblW w:w="5000" w:type="pct"/>
              <w:jc w:val="left"/>
              <w:tblInd w:w="0" w:type="dxa"/>
              <w:tblCellMar>
                <w:top w:w="28" w:type="dxa"/>
                <w:left w:w="28" w:type="dxa"/>
                <w:bottom w:w="28" w:type="dxa"/>
                <w:right w:w="28" w:type="dxa"/>
              </w:tblCellMar>
            </w:tblPr>
            <w:tblGrid>
              <w:gridCol w:w="1150"/>
              <w:gridCol w:w="1150"/>
              <w:gridCol w:w="1151"/>
            </w:tblGrid>
            <w:tr>
              <w:trPr/>
              <w:tc>
                <w:tcPr>
                  <w:tcW w:w="115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spacing w:before="0" w:after="283"/>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shd w:fill="auto" w:val="clear"/>
          </w:tcPr>
          <w:p>
            <w:pPr>
              <w:pStyle w:val="TableContents"/>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4">
              <w:r>
                <w:rPr>
                  <w:rStyle w:val="InternetLink"/>
                </w:rPr>
                <w:t>OPAL Fuels Inc.</w:t>
              </w:r>
            </w:hyperlink>
            <w:r>
              <w:rPr/>
              <w:t xml:space="preserve"> [ </w:t>
            </w:r>
            <w:r>
              <w:rPr>
                <w:rFonts w:ascii="Times;serif" w:hAnsi="Times;serif"/>
                <w:color w:val="0000FF"/>
                <w:sz w:val="24"/>
                <w:highlight w:val="white"/>
              </w:rPr>
              <w:t>OPAL</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shd w:fill="auto" w:val="clear"/>
          </w:tcPr>
          <w:p>
            <w:pPr>
              <w:pStyle w:val="TableContents"/>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CellMar>
                <w:top w:w="28" w:type="dxa"/>
                <w:left w:w="28" w:type="dxa"/>
                <w:bottom w:w="28" w:type="dxa"/>
                <w:right w:w="28" w:type="dxa"/>
              </w:tblCellMar>
            </w:tblPr>
            <w:tblGrid>
              <w:gridCol w:w="440"/>
              <w:gridCol w:w="1031"/>
              <w:gridCol w:w="440"/>
              <w:gridCol w:w="1031"/>
            </w:tblGrid>
            <w:tr>
              <w:trPr/>
              <w:tc>
                <w:tcPr>
                  <w:tcW w:w="440" w:type="dxa"/>
                  <w:tcBorders/>
                  <w:shd w:fill="auto" w:val="clear"/>
                  <w:vAlign w:val="center"/>
                </w:tcPr>
                <w:p>
                  <w:pPr>
                    <w:pStyle w:val="TableContents"/>
                    <w:spacing w:before="0" w:after="283"/>
                    <w:rPr>
                      <w:sz w:val="4"/>
                      <w:szCs w:val="4"/>
                    </w:rPr>
                  </w:pPr>
                  <w:r>
                    <w:rPr>
                      <w:sz w:val="4"/>
                      <w:szCs w:val="4"/>
                    </w:rPr>
                  </w:r>
                </w:p>
              </w:tc>
              <w:tc>
                <w:tcPr>
                  <w:tcW w:w="103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shd w:fill="auto" w:val="clear"/>
                  <w:vAlign w:val="center"/>
                </w:tcPr>
                <w:p>
                  <w:pPr>
                    <w:pStyle w:val="TableContents"/>
                    <w:spacing w:before="0" w:after="283"/>
                    <w:rPr>
                      <w:sz w:val="4"/>
                      <w:szCs w:val="4"/>
                    </w:rPr>
                  </w:pPr>
                  <w:r>
                    <w:rPr>
                      <w:sz w:val="4"/>
                      <w:szCs w:val="4"/>
                    </w:rPr>
                  </w:r>
                </w:p>
              </w:tc>
              <w:tc>
                <w:tcPr>
                  <w:tcW w:w="103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X</w:t>
                  </w:r>
                </w:p>
              </w:tc>
              <w:tc>
                <w:tcPr>
                  <w:tcW w:w="103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shd w:fill="auto" w:val="clear"/>
                  <w:vAlign w:val="center"/>
                </w:tcPr>
                <w:p>
                  <w:pPr>
                    <w:pStyle w:val="TableContents"/>
                    <w:spacing w:before="0" w:after="283"/>
                    <w:rPr>
                      <w:sz w:val="4"/>
                      <w:szCs w:val="4"/>
                    </w:rPr>
                  </w:pPr>
                  <w:r>
                    <w:rPr>
                      <w:sz w:val="4"/>
                      <w:szCs w:val="4"/>
                    </w:rPr>
                  </w:r>
                </w:p>
              </w:tc>
              <w:tc>
                <w:tcPr>
                  <w:tcW w:w="103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shd w:fill="auto" w:val="clear"/>
                  <w:vAlign w:val="center"/>
                </w:tcPr>
                <w:p>
                  <w:pPr>
                    <w:pStyle w:val="TableContents"/>
                    <w:spacing w:before="0" w:after="283"/>
                    <w:jc w:val="center"/>
                    <w:rPr/>
                  </w:pPr>
                  <w:r>
                    <w:rPr>
                      <w:rFonts w:ascii="Times;serif" w:hAnsi="Times;serif"/>
                      <w:color w:val="0000FF"/>
                      <w:sz w:val="24"/>
                      <w:highlight w:val="white"/>
                    </w:rPr>
                    <w:t>Executive Vice President</w:t>
                  </w:r>
                  <w:r>
                    <w:rPr/>
                    <w:t xml:space="preserve"> </w:t>
                  </w:r>
                </w:p>
              </w:tc>
            </w:tr>
          </w:tbl>
          <w:p>
            <w:pPr>
              <w:pStyle w:val="TableContents"/>
              <w:spacing w:before="0" w:after="283"/>
              <w:rPr>
                <w:sz w:val="4"/>
                <w:szCs w:val="4"/>
              </w:rPr>
            </w:pPr>
            <w:r>
              <w:rPr>
                <w:sz w:val="4"/>
                <w:szCs w:val="4"/>
              </w:rPr>
            </w:r>
          </w:p>
        </w:tc>
      </w:tr>
      <w:tr>
        <w:trPr/>
        <w:tc>
          <w:tcPr>
            <w:tcW w:w="3571" w:type="dxa"/>
            <w:vMerge w:val="continue"/>
            <w:tcBorders>
              <w:top w:val="single" w:sz="6" w:space="0" w:color="808080"/>
              <w:left w:val="single" w:sz="6" w:space="0" w:color="808080"/>
              <w:bottom w:val="single" w:sz="2" w:space="0" w:color="808080"/>
              <w:right w:val="single" w:sz="6" w:space="0" w:color="808080"/>
            </w:tcBorders>
            <w:shd w:fill="auto" w:val="clear"/>
          </w:tcPr>
          <w:p>
            <w:pPr>
              <w:pStyle w:val="Normal"/>
              <w:rPr/>
            </w:pPr>
            <w:r>
              <w:rPr/>
            </w:r>
          </w:p>
        </w:tc>
        <w:tc>
          <w:tcPr>
            <w:tcW w:w="3572" w:type="dxa"/>
            <w:tcBorders>
              <w:left w:val="single" w:sz="2" w:space="0" w:color="808080"/>
              <w:bottom w:val="single" w:sz="2" w:space="0" w:color="808080"/>
              <w:right w:val="single" w:sz="6" w:space="0" w:color="808080"/>
            </w:tcBorders>
            <w:shd w:fill="auto" w:val="clear"/>
          </w:tcPr>
          <w:p>
            <w:pPr>
              <w:pStyle w:val="TableContents"/>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highlight w:val="white"/>
              </w:rPr>
              <w:t>03/31/2023</w:t>
            </w:r>
            <w:r>
              <w:rPr/>
              <w:t xml:space="preserve"> </w:t>
            </w:r>
          </w:p>
        </w:tc>
        <w:tc>
          <w:tcPr>
            <w:tcW w:w="3062" w:type="dxa"/>
            <w:vMerge w:val="continue"/>
            <w:tcBorders>
              <w:top w:val="single" w:sz="6" w:space="0" w:color="808080"/>
              <w:left w:val="single" w:sz="2" w:space="0" w:color="808080"/>
              <w:bottom w:val="single" w:sz="2" w:space="0" w:color="808080"/>
              <w:right w:val="single" w:sz="6" w:space="0" w:color="808080"/>
            </w:tcBorders>
            <w:shd w:fill="auto" w:val="clear"/>
          </w:tcPr>
          <w:p>
            <w:pPr>
              <w:pStyle w:val="Normal"/>
              <w:rPr/>
            </w:pPr>
            <w:r>
              <w:rPr/>
            </w:r>
          </w:p>
        </w:tc>
      </w:tr>
      <w:tr>
        <w:trPr/>
        <w:tc>
          <w:tcPr>
            <w:tcW w:w="3571" w:type="dxa"/>
            <w:vMerge w:val="continue"/>
            <w:tcBorders>
              <w:top w:val="single" w:sz="6" w:space="0" w:color="808080"/>
              <w:left w:val="single" w:sz="6" w:space="0" w:color="808080"/>
              <w:bottom w:val="single" w:sz="2" w:space="0" w:color="808080"/>
              <w:right w:val="single" w:sz="6" w:space="0" w:color="808080"/>
            </w:tcBorders>
            <w:shd w:fill="auto" w:val="clear"/>
          </w:tcPr>
          <w:p>
            <w:pPr>
              <w:pStyle w:val="Normal"/>
              <w:rPr/>
            </w:pPr>
            <w:r>
              <w:rPr/>
            </w:r>
          </w:p>
        </w:tc>
        <w:tc>
          <w:tcPr>
            <w:tcW w:w="3572" w:type="dxa"/>
            <w:tcBorders>
              <w:left w:val="single" w:sz="2" w:space="0" w:color="808080"/>
              <w:bottom w:val="single" w:sz="6" w:space="0" w:color="808080"/>
              <w:right w:val="single" w:sz="6" w:space="0" w:color="808080"/>
            </w:tcBorders>
            <w:shd w:fill="auto" w:val="clear"/>
          </w:tcPr>
          <w:p>
            <w:pPr>
              <w:pStyle w:val="TableContents"/>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shd w:fill="auto" w:val="clear"/>
          </w:tcPr>
          <w:p>
            <w:pPr>
              <w:pStyle w:val="TableContents"/>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CellMar>
                <w:top w:w="28" w:type="dxa"/>
                <w:left w:w="28" w:type="dxa"/>
                <w:bottom w:w="28" w:type="dxa"/>
                <w:right w:w="28" w:type="dxa"/>
              </w:tblCellMar>
            </w:tblPr>
            <w:tblGrid>
              <w:gridCol w:w="440"/>
              <w:gridCol w:w="2502"/>
            </w:tblGrid>
            <w:tr>
              <w:trPr/>
              <w:tc>
                <w:tcPr>
                  <w:tcW w:w="440" w:type="dxa"/>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X</w:t>
                  </w:r>
                </w:p>
              </w:tc>
              <w:tc>
                <w:tcPr>
                  <w:tcW w:w="2502"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shd w:fill="auto" w:val="clear"/>
                  <w:vAlign w:val="center"/>
                </w:tcPr>
                <w:p>
                  <w:pPr>
                    <w:pStyle w:val="TableContents"/>
                    <w:spacing w:before="0" w:after="283"/>
                    <w:rPr>
                      <w:sz w:val="4"/>
                      <w:szCs w:val="4"/>
                    </w:rPr>
                  </w:pPr>
                  <w:r>
                    <w:rPr>
                      <w:sz w:val="4"/>
                      <w:szCs w:val="4"/>
                    </w:rPr>
                  </w:r>
                </w:p>
              </w:tc>
              <w:tc>
                <w:tcPr>
                  <w:tcW w:w="2502"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spacing w:before="0" w:after="283"/>
              <w:rPr>
                <w:sz w:val="4"/>
                <w:szCs w:val="4"/>
              </w:rPr>
            </w:pPr>
            <w:r>
              <w:rPr>
                <w:sz w:val="4"/>
                <w:szCs w:val="4"/>
              </w:rPr>
            </w:r>
          </w:p>
        </w:tc>
      </w:tr>
    </w:tbl>
    <w:tbl>
      <w:tblPr>
        <w:tblW w:w="5000" w:type="pct"/>
        <w:jc w:val="left"/>
        <w:tblInd w:w="0" w:type="dxa"/>
        <w:tblCellMar>
          <w:top w:w="60" w:type="dxa"/>
          <w:left w:w="60" w:type="dxa"/>
          <w:bottom w:w="60" w:type="dxa"/>
          <w:right w:w="60" w:type="dxa"/>
        </w:tblCellMar>
      </w:tblPr>
      <w:tblGrid>
        <w:gridCol w:w="2478"/>
        <w:gridCol w:w="906"/>
        <w:gridCol w:w="774"/>
        <w:gridCol w:w="602"/>
        <w:gridCol w:w="355"/>
        <w:gridCol w:w="829"/>
        <w:gridCol w:w="473"/>
        <w:gridCol w:w="635"/>
        <w:gridCol w:w="1195"/>
        <w:gridCol w:w="1021"/>
        <w:gridCol w:w="93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shd w:fill="auto" w:val="clear"/>
          </w:tcPr>
          <w:p>
            <w:pPr>
              <w:pStyle w:val="TableHeading"/>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7"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7" w:type="dxa"/>
            <w:gridSpan w:val="3"/>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2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7"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2" w:space="0" w:color="808080"/>
              <w:right w:val="single" w:sz="6" w:space="0" w:color="808080"/>
            </w:tcBorders>
            <w:shd w:fill="auto" w:val="clear"/>
          </w:tcPr>
          <w:p>
            <w:pPr>
              <w:pStyle w:val="Normal"/>
              <w:rPr/>
            </w:pPr>
            <w:r>
              <w:rPr/>
            </w:r>
          </w:p>
        </w:tc>
        <w:tc>
          <w:tcPr>
            <w:tcW w:w="906"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774"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602" w:type="dxa"/>
            <w:tcBorders>
              <w:left w:val="single" w:sz="2" w:space="0" w:color="808080"/>
              <w:bottom w:val="single" w:sz="6"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Code</w:t>
            </w:r>
          </w:p>
        </w:tc>
        <w:tc>
          <w:tcPr>
            <w:tcW w:w="355" w:type="dxa"/>
            <w:tcBorders>
              <w:left w:val="single" w:sz="2" w:space="0" w:color="808080"/>
              <w:bottom w:val="single" w:sz="6"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6"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Amount</w:t>
            </w:r>
          </w:p>
        </w:tc>
        <w:tc>
          <w:tcPr>
            <w:tcW w:w="473" w:type="dxa"/>
            <w:tcBorders>
              <w:left w:val="single" w:sz="2" w:space="0" w:color="808080"/>
              <w:bottom w:val="single" w:sz="6"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(A) or (D)</w:t>
            </w:r>
          </w:p>
        </w:tc>
        <w:tc>
          <w:tcPr>
            <w:tcW w:w="635" w:type="dxa"/>
            <w:tcBorders>
              <w:left w:val="single" w:sz="2" w:space="0" w:color="808080"/>
              <w:bottom w:val="single" w:sz="6"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102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937" w:type="dxa"/>
            <w:vMerge w:val="continue"/>
            <w:tcBorders>
              <w:left w:val="single" w:sz="2" w:space="0" w:color="808080"/>
              <w:bottom w:val="single" w:sz="2" w:space="0" w:color="808080"/>
              <w:right w:val="single" w:sz="6" w:space="0" w:color="808080"/>
            </w:tcBorders>
            <w:shd w:fill="auto" w:val="clear"/>
          </w:tcPr>
          <w:p>
            <w:pPr>
              <w:pStyle w:val="Normal"/>
              <w:rPr/>
            </w:pPr>
            <w:r>
              <w:rPr/>
            </w:r>
          </w:p>
        </w:tc>
      </w:tr>
    </w:tbl>
    <w:tbl>
      <w:tblPr>
        <w:tblW w:w="12374" w:type="dxa"/>
        <w:jc w:val="left"/>
        <w:tblInd w:w="0" w:type="dxa"/>
        <w:tblCellMar>
          <w:top w:w="60" w:type="dxa"/>
          <w:left w:w="60" w:type="dxa"/>
          <w:bottom w:w="60" w:type="dxa"/>
          <w:right w:w="60" w:type="dxa"/>
        </w:tblCellMar>
      </w:tblPr>
      <w:tblGrid>
        <w:gridCol w:w="980"/>
        <w:gridCol w:w="861"/>
        <w:gridCol w:w="891"/>
        <w:gridCol w:w="771"/>
        <w:gridCol w:w="591"/>
        <w:gridCol w:w="300"/>
        <w:gridCol w:w="816"/>
        <w:gridCol w:w="276"/>
        <w:gridCol w:w="906"/>
        <w:gridCol w:w="801"/>
        <w:gridCol w:w="846"/>
        <w:gridCol w:w="921"/>
        <w:gridCol w:w="801"/>
        <w:gridCol w:w="936"/>
        <w:gridCol w:w="831"/>
        <w:gridCol w:w="846"/>
      </w:tblGrid>
      <w:tr>
        <w:trPr>
          <w:tblHeader w:val="true"/>
        </w:trPr>
        <w:tc>
          <w:tcPr>
            <w:tcW w:w="12374" w:type="dxa"/>
            <w:gridSpan w:val="16"/>
            <w:tcBorders>
              <w:top w:val="single" w:sz="6" w:space="0" w:color="808080"/>
              <w:left w:val="single" w:sz="6" w:space="0" w:color="808080"/>
              <w:bottom w:val="single" w:sz="2" w:space="0" w:color="808080"/>
              <w:right w:val="single" w:sz="6" w:space="0" w:color="808080"/>
            </w:tcBorders>
            <w:shd w:fill="auto" w:val="clear"/>
          </w:tcPr>
          <w:p>
            <w:pPr>
              <w:pStyle w:val="TableHeading"/>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980" w:type="dxa"/>
            <w:vMerge w:val="restart"/>
            <w:tcBorders>
              <w:left w:val="single" w:sz="6"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1092"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767"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shd w:fill="auto" w:val="clear"/>
          </w:tcPr>
          <w:p>
            <w:pPr>
              <w:pStyle w:val="Normal"/>
              <w:rPr/>
            </w:pPr>
            <w:r>
              <w:rPr/>
            </w:r>
          </w:p>
        </w:tc>
        <w:tc>
          <w:tcPr>
            <w:tcW w:w="86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89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77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591" w:type="dxa"/>
            <w:tcBorders>
              <w:left w:val="single" w:sz="2" w:space="0" w:color="808080"/>
              <w:bottom w:val="single" w:sz="2"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V</w:t>
            </w:r>
          </w:p>
        </w:tc>
        <w:tc>
          <w:tcPr>
            <w:tcW w:w="816" w:type="dxa"/>
            <w:tcBorders>
              <w:left w:val="single" w:sz="2" w:space="0" w:color="808080"/>
              <w:bottom w:val="single" w:sz="2"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Expiration Date</w:t>
            </w:r>
          </w:p>
        </w:tc>
        <w:tc>
          <w:tcPr>
            <w:tcW w:w="846" w:type="dxa"/>
            <w:tcBorders>
              <w:left w:val="single" w:sz="2" w:space="0" w:color="808080"/>
              <w:bottom w:val="single" w:sz="2"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Title</w:t>
            </w:r>
          </w:p>
        </w:tc>
        <w:tc>
          <w:tcPr>
            <w:tcW w:w="921" w:type="dxa"/>
            <w:tcBorders>
              <w:left w:val="single" w:sz="2" w:space="0" w:color="808080"/>
              <w:bottom w:val="single" w:sz="2"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936"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83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846" w:type="dxa"/>
            <w:vMerge w:val="continue"/>
            <w:tcBorders>
              <w:left w:val="single" w:sz="2" w:space="0" w:color="808080"/>
              <w:bottom w:val="single" w:sz="2" w:space="0" w:color="808080"/>
              <w:right w:val="single" w:sz="6" w:space="0" w:color="808080"/>
            </w:tcBorders>
            <w:shd w:fill="auto" w:val="clear"/>
          </w:tcPr>
          <w:p>
            <w:pPr>
              <w:pStyle w:val="Normal"/>
              <w:rPr/>
            </w:pPr>
            <w:r>
              <w:rPr/>
            </w:r>
          </w:p>
        </w:tc>
      </w:tr>
      <w:tr>
        <w:trPr/>
        <w:tc>
          <w:tcPr>
            <w:tcW w:w="980" w:type="dxa"/>
            <w:tcBorders>
              <w:left w:val="single" w:sz="6" w:space="0" w:color="808080"/>
              <w:bottom w:val="single" w:sz="2" w:space="0" w:color="808080"/>
              <w:right w:val="single" w:sz="6" w:space="0" w:color="808080"/>
            </w:tcBorders>
            <w:shd w:fill="auto" w:val="clear"/>
            <w:vAlign w:val="center"/>
          </w:tcPr>
          <w:p>
            <w:pPr>
              <w:pStyle w:val="TableContents"/>
              <w:spacing w:before="0" w:after="283"/>
              <w:jc w:val="left"/>
              <w:rPr>
                <w:rFonts w:ascii="Times;serif" w:hAnsi="Times;serif"/>
                <w:color w:val="0000FF"/>
                <w:sz w:val="20"/>
                <w:highlight w:val="white"/>
              </w:rPr>
            </w:pPr>
            <w:r>
              <w:rPr>
                <w:rFonts w:ascii="Times;serif" w:hAnsi="Times;serif"/>
                <w:color w:val="0000FF"/>
                <w:sz w:val="20"/>
                <w:highlight w:val="white"/>
              </w:rPr>
              <w:t>Stock options (right to buy)</w:t>
            </w:r>
          </w:p>
        </w:tc>
        <w:tc>
          <w:tcPr>
            <w:tcW w:w="86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left"/>
              <w:rPr/>
            </w:pPr>
            <w:r>
              <w:rPr>
                <w:rFonts w:ascii="arial;helvetica;sans-serif" w:hAnsi="arial;helvetica;sans-serif"/>
                <w:sz w:val="14"/>
              </w:rPr>
              <w:t>$</w:t>
            </w:r>
            <w:r>
              <w:rPr>
                <w:rFonts w:ascii="Times;serif" w:hAnsi="Times;serif"/>
                <w:color w:val="0000FF"/>
                <w:sz w:val="20"/>
                <w:highlight w:val="white"/>
              </w:rPr>
              <w:t>6.97</w:t>
            </w:r>
            <w:r>
              <w:rPr/>
              <w:t xml:space="preserve"> </w:t>
            </w:r>
          </w:p>
        </w:tc>
        <w:tc>
          <w:tcPr>
            <w:tcW w:w="89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03/31/2023</w:t>
            </w:r>
          </w:p>
        </w:tc>
        <w:tc>
          <w:tcPr>
            <w:tcW w:w="771"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59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pPr>
            <w:r>
              <w:rPr>
                <w:rFonts w:ascii="Times;serif" w:hAnsi="Times;serif"/>
                <w:color w:val="0000FF"/>
                <w:sz w:val="20"/>
                <w:highlight w:val="white"/>
              </w:rPr>
              <w:t>A</w:t>
            </w:r>
            <w:r>
              <w:rPr>
                <w:rFonts w:ascii="Times;serif" w:hAnsi="Times;serif"/>
                <w:color w:val="008000"/>
                <w:position w:val="7"/>
                <w:sz w:val="16"/>
                <w:sz w:val="20"/>
                <w:highlight w:val="white"/>
              </w:rPr>
              <w:t>(1)</w:t>
            </w:r>
            <w:r>
              <w:rPr/>
              <w:t xml:space="preserve"> </w:t>
            </w:r>
          </w:p>
        </w:tc>
        <w:tc>
          <w:tcPr>
            <w:tcW w:w="300"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816"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14,259</w:t>
            </w:r>
          </w:p>
        </w:tc>
        <w:tc>
          <w:tcPr>
            <w:tcW w:w="276"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906"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pPr>
            <w:r>
              <w:rPr>
                <w:rFonts w:ascii="Times;serif" w:hAnsi="Times;serif"/>
                <w:color w:val="008000"/>
                <w:position w:val="7"/>
                <w:sz w:val="16"/>
                <w:sz w:val="20"/>
                <w:highlight w:val="white"/>
              </w:rPr>
              <w:t>(2)(3)(4)(5)</w:t>
            </w:r>
            <w:r>
              <w:rPr/>
              <w:t xml:space="preserve"> </w:t>
            </w:r>
          </w:p>
        </w:tc>
        <w:tc>
          <w:tcPr>
            <w:tcW w:w="80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03/31/2033</w:t>
            </w:r>
          </w:p>
        </w:tc>
        <w:tc>
          <w:tcPr>
            <w:tcW w:w="846"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Class A common stock</w:t>
            </w:r>
          </w:p>
        </w:tc>
        <w:tc>
          <w:tcPr>
            <w:tcW w:w="92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14,259</w:t>
            </w:r>
          </w:p>
        </w:tc>
        <w:tc>
          <w:tcPr>
            <w:tcW w:w="80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left"/>
              <w:rPr/>
            </w:pPr>
            <w:r>
              <w:rPr>
                <w:rFonts w:ascii="arial;helvetica;sans-serif" w:hAnsi="arial;helvetica;sans-serif"/>
                <w:sz w:val="14"/>
              </w:rPr>
              <w:t>$</w:t>
            </w:r>
            <w:r>
              <w:rPr>
                <w:rFonts w:ascii="Times;serif" w:hAnsi="Times;serif"/>
                <w:color w:val="0000FF"/>
                <w:sz w:val="20"/>
                <w:highlight w:val="white"/>
              </w:rPr>
              <w:t>0</w:t>
            </w:r>
            <w:r>
              <w:rPr/>
              <w:t xml:space="preserve"> </w:t>
            </w:r>
          </w:p>
        </w:tc>
        <w:tc>
          <w:tcPr>
            <w:tcW w:w="936"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14,259</w:t>
            </w:r>
          </w:p>
        </w:tc>
        <w:tc>
          <w:tcPr>
            <w:tcW w:w="83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D</w:t>
            </w:r>
          </w:p>
        </w:tc>
        <w:tc>
          <w:tcPr>
            <w:tcW w:w="846"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r>
      <w:tr>
        <w:trPr/>
        <w:tc>
          <w:tcPr>
            <w:tcW w:w="980" w:type="dxa"/>
            <w:tcBorders>
              <w:left w:val="single" w:sz="6" w:space="0" w:color="808080"/>
              <w:bottom w:val="single" w:sz="6" w:space="0" w:color="808080"/>
              <w:right w:val="single" w:sz="6" w:space="0" w:color="808080"/>
            </w:tcBorders>
            <w:shd w:fill="auto" w:val="clear"/>
            <w:vAlign w:val="center"/>
          </w:tcPr>
          <w:p>
            <w:pPr>
              <w:pStyle w:val="TableContents"/>
              <w:spacing w:before="0" w:after="283"/>
              <w:jc w:val="left"/>
              <w:rPr>
                <w:rFonts w:ascii="Times;serif" w:hAnsi="Times;serif"/>
                <w:color w:val="0000FF"/>
                <w:sz w:val="20"/>
                <w:highlight w:val="white"/>
              </w:rPr>
            </w:pPr>
            <w:r>
              <w:rPr>
                <w:rFonts w:ascii="Times;serif" w:hAnsi="Times;serif"/>
                <w:color w:val="0000FF"/>
                <w:sz w:val="20"/>
                <w:highlight w:val="white"/>
              </w:rPr>
              <w:t>Restricted Stock Units</w:t>
            </w:r>
          </w:p>
        </w:tc>
        <w:tc>
          <w:tcPr>
            <w:tcW w:w="861"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8000"/>
                <w:position w:val="7"/>
                <w:sz w:val="16"/>
                <w:sz w:val="20"/>
                <w:highlight w:val="white"/>
              </w:rPr>
            </w:pPr>
            <w:r>
              <w:rPr>
                <w:rFonts w:ascii="Times;serif" w:hAnsi="Times;serif"/>
                <w:color w:val="008000"/>
                <w:position w:val="7"/>
                <w:sz w:val="16"/>
                <w:sz w:val="20"/>
                <w:highlight w:val="white"/>
              </w:rPr>
              <w:t>(6)</w:t>
            </w:r>
          </w:p>
        </w:tc>
        <w:tc>
          <w:tcPr>
            <w:tcW w:w="891"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03/31/2023</w:t>
            </w:r>
          </w:p>
        </w:tc>
        <w:tc>
          <w:tcPr>
            <w:tcW w:w="771"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591"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pPr>
            <w:r>
              <w:rPr>
                <w:rFonts w:ascii="Times;serif" w:hAnsi="Times;serif"/>
                <w:color w:val="0000FF"/>
                <w:sz w:val="20"/>
                <w:highlight w:val="white"/>
              </w:rPr>
              <w:t>A</w:t>
            </w:r>
            <w:r>
              <w:rPr>
                <w:rFonts w:ascii="Times;serif" w:hAnsi="Times;serif"/>
                <w:color w:val="008000"/>
                <w:position w:val="7"/>
                <w:sz w:val="16"/>
                <w:sz w:val="20"/>
                <w:highlight w:val="white"/>
              </w:rPr>
              <w:t>(1)</w:t>
            </w:r>
            <w:r>
              <w:rPr/>
              <w:t xml:space="preserve"> </w:t>
            </w:r>
          </w:p>
        </w:tc>
        <w:tc>
          <w:tcPr>
            <w:tcW w:w="300"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816"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242,110</w:t>
            </w:r>
          </w:p>
        </w:tc>
        <w:tc>
          <w:tcPr>
            <w:tcW w:w="276"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906"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pPr>
            <w:r>
              <w:rPr>
                <w:rFonts w:ascii="Times;serif" w:hAnsi="Times;serif"/>
                <w:color w:val="008000"/>
                <w:position w:val="7"/>
                <w:sz w:val="16"/>
                <w:sz w:val="20"/>
                <w:highlight w:val="white"/>
              </w:rPr>
              <w:t>(7)(8)(9)(10)</w:t>
            </w:r>
            <w:r>
              <w:rPr/>
              <w:t xml:space="preserve"> </w:t>
            </w:r>
          </w:p>
        </w:tc>
        <w:tc>
          <w:tcPr>
            <w:tcW w:w="801"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pPr>
            <w:r>
              <w:rPr>
                <w:rFonts w:ascii="Times;serif" w:hAnsi="Times;serif"/>
                <w:color w:val="008000"/>
                <w:position w:val="7"/>
                <w:sz w:val="16"/>
                <w:sz w:val="20"/>
                <w:highlight w:val="white"/>
              </w:rPr>
              <w:t>(6)</w:t>
            </w:r>
            <w:r>
              <w:rPr/>
              <w:t xml:space="preserve"> </w:t>
            </w:r>
          </w:p>
        </w:tc>
        <w:tc>
          <w:tcPr>
            <w:tcW w:w="846"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Class A common stock</w:t>
            </w:r>
          </w:p>
        </w:tc>
        <w:tc>
          <w:tcPr>
            <w:tcW w:w="921"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242,110</w:t>
            </w:r>
          </w:p>
        </w:tc>
        <w:tc>
          <w:tcPr>
            <w:tcW w:w="801"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left"/>
              <w:rPr/>
            </w:pPr>
            <w:r>
              <w:rPr>
                <w:rFonts w:ascii="arial;helvetica;sans-serif" w:hAnsi="arial;helvetica;sans-serif"/>
                <w:sz w:val="14"/>
              </w:rPr>
              <w:t>$</w:t>
            </w:r>
            <w:r>
              <w:rPr>
                <w:rFonts w:ascii="Times;serif" w:hAnsi="Times;serif"/>
                <w:color w:val="0000FF"/>
                <w:sz w:val="20"/>
                <w:highlight w:val="white"/>
              </w:rPr>
              <w:t>0</w:t>
            </w:r>
            <w:r>
              <w:rPr/>
              <w:t xml:space="preserve"> </w:t>
            </w:r>
          </w:p>
        </w:tc>
        <w:tc>
          <w:tcPr>
            <w:tcW w:w="936"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252,110</w:t>
            </w:r>
          </w:p>
        </w:tc>
        <w:tc>
          <w:tcPr>
            <w:tcW w:w="831"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D</w:t>
            </w:r>
          </w:p>
        </w:tc>
        <w:tc>
          <w:tcPr>
            <w:tcW w:w="846"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r>
    </w:tbl>
    <w:tbl>
      <w:tblPr>
        <w:tblW w:w="5000" w:type="pct"/>
        <w:jc w:val="left"/>
        <w:tblInd w:w="0" w:type="dxa"/>
        <w:tblCellMar>
          <w:top w:w="28" w:type="dxa"/>
          <w:left w:w="28" w:type="dxa"/>
          <w:bottom w:w="28" w:type="dxa"/>
          <w:right w:w="28" w:type="dxa"/>
        </w:tblCellMar>
      </w:tblPr>
      <w:tblGrid>
        <w:gridCol w:w="10205"/>
      </w:tblGrid>
      <w:tr>
        <w:trPr/>
        <w:tc>
          <w:tcPr>
            <w:tcW w:w="10205" w:type="dxa"/>
            <w:tcBorders/>
            <w:shd w:fill="auto" w:val="clear"/>
            <w:vAlign w:val="center"/>
          </w:tcPr>
          <w:p>
            <w:pPr>
              <w:pStyle w:val="TableContents"/>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spacing w:before="0" w:after="283"/>
              <w:rPr>
                <w:rFonts w:ascii="Times;serif" w:hAnsi="Times;serif"/>
                <w:color w:val="008000"/>
                <w:sz w:val="20"/>
              </w:rPr>
            </w:pPr>
            <w:r>
              <w:rPr>
                <w:rFonts w:ascii="Times;serif" w:hAnsi="Times;serif"/>
                <w:color w:val="008000"/>
                <w:sz w:val="20"/>
              </w:rPr>
              <w:t>1. Granted pursuant to the Issuer's 2022 Omnibus Equity Incentive Plan (the "Plan").</w:t>
            </w:r>
          </w:p>
        </w:tc>
      </w:tr>
      <w:tr>
        <w:trPr/>
        <w:tc>
          <w:tcPr>
            <w:tcW w:w="10205" w:type="dxa"/>
            <w:tcBorders/>
            <w:shd w:fill="FFFFFF" w:val="clear"/>
            <w:vAlign w:val="center"/>
          </w:tcPr>
          <w:p>
            <w:pPr>
              <w:pStyle w:val="TableContents"/>
              <w:spacing w:before="0" w:after="283"/>
              <w:rPr>
                <w:rFonts w:ascii="Times;serif" w:hAnsi="Times;serif"/>
                <w:color w:val="008000"/>
                <w:sz w:val="20"/>
              </w:rPr>
            </w:pPr>
            <w:r>
              <w:rPr>
                <w:rFonts w:ascii="Times;serif" w:hAnsi="Times;serif"/>
                <w:color w:val="008000"/>
                <w:sz w:val="20"/>
              </w:rPr>
              <w:t>2. The Reporting Person was granted an option to purchase shares of the Issuer's Class A common stock (the "Option") at an exercise price of $6.97 per share, which was the closing price per share of the Issuer's Class A common stock on March 31, 2023, as quoted on the Nasdaq Stock Market. The Option vests in three (3) equal installments on each of the following dates: (i) March 31, 2024, (ii) March 31, 2025, and (iii) March 31, 2026, provided, that the Reporting Person continues to provide services to the Issuer through the applicable vesting date.</w:t>
            </w:r>
          </w:p>
        </w:tc>
      </w:tr>
      <w:tr>
        <w:trPr/>
        <w:tc>
          <w:tcPr>
            <w:tcW w:w="10205" w:type="dxa"/>
            <w:tcBorders/>
            <w:shd w:fill="FFFFFF" w:val="clear"/>
            <w:vAlign w:val="center"/>
          </w:tcPr>
          <w:p>
            <w:pPr>
              <w:pStyle w:val="TableContents"/>
              <w:spacing w:before="0" w:after="283"/>
              <w:rPr>
                <w:rFonts w:ascii="Times;serif" w:hAnsi="Times;serif"/>
                <w:color w:val="008000"/>
                <w:sz w:val="20"/>
              </w:rPr>
            </w:pPr>
            <w:r>
              <w:rPr>
                <w:rFonts w:ascii="Times;serif" w:hAnsi="Times;serif"/>
                <w:color w:val="008000"/>
                <w:sz w:val="20"/>
              </w:rPr>
              <w:t>3. In the event that the Reporting Person's employment is terminated by reason of the Reporting Person's disability or termination without cause, the Options shall vest with respect to the number of shares of Class A common stock that would have vested upon the next vesting date following such termination, had the Reporting Person remained an employee.</w:t>
            </w:r>
          </w:p>
        </w:tc>
      </w:tr>
      <w:tr>
        <w:trPr/>
        <w:tc>
          <w:tcPr>
            <w:tcW w:w="10205" w:type="dxa"/>
            <w:tcBorders/>
            <w:shd w:fill="FFFFFF" w:val="clear"/>
            <w:vAlign w:val="center"/>
          </w:tcPr>
          <w:p>
            <w:pPr>
              <w:pStyle w:val="TableContents"/>
              <w:spacing w:before="0" w:after="283"/>
              <w:rPr>
                <w:rFonts w:ascii="Times;serif" w:hAnsi="Times;serif"/>
                <w:color w:val="008000"/>
                <w:sz w:val="20"/>
              </w:rPr>
            </w:pPr>
            <w:r>
              <w:rPr>
                <w:rFonts w:ascii="Times;serif" w:hAnsi="Times;serif"/>
                <w:color w:val="008000"/>
                <w:sz w:val="20"/>
              </w:rPr>
              <w:t>4. Notwithstanding the foregoing, upon the occurrence of a termination of employment by reason of the Reporting Person's (i) termination without cause; or (ii) resignation for good reason, in connection with or within the 24 months following the consummation of a Change in Control (as defined in the Plan and the relevant award agreement), any unvested portion of the Option shall accelerate and vest in full.</w:t>
            </w:r>
          </w:p>
        </w:tc>
      </w:tr>
      <w:tr>
        <w:trPr/>
        <w:tc>
          <w:tcPr>
            <w:tcW w:w="10205" w:type="dxa"/>
            <w:tcBorders/>
            <w:shd w:fill="FFFFFF" w:val="clear"/>
            <w:vAlign w:val="center"/>
          </w:tcPr>
          <w:p>
            <w:pPr>
              <w:pStyle w:val="TableContents"/>
              <w:spacing w:before="0" w:after="283"/>
              <w:rPr>
                <w:rFonts w:ascii="Times;serif" w:hAnsi="Times;serif"/>
                <w:color w:val="008000"/>
                <w:sz w:val="20"/>
              </w:rPr>
            </w:pPr>
            <w:r>
              <w:rPr>
                <w:rFonts w:ascii="Times;serif" w:hAnsi="Times;serif"/>
                <w:color w:val="008000"/>
                <w:sz w:val="20"/>
              </w:rPr>
              <w:t>5. Upon the occurrence of a termination by reason of the Reporting Person's death, any unvested portion of the Option shall accelerate and vest in full.</w:t>
            </w:r>
          </w:p>
        </w:tc>
      </w:tr>
      <w:tr>
        <w:trPr/>
        <w:tc>
          <w:tcPr>
            <w:tcW w:w="10205" w:type="dxa"/>
            <w:tcBorders/>
            <w:shd w:fill="FFFFFF" w:val="clear"/>
            <w:vAlign w:val="center"/>
          </w:tcPr>
          <w:p>
            <w:pPr>
              <w:pStyle w:val="TableContents"/>
              <w:spacing w:before="0" w:after="283"/>
              <w:rPr>
                <w:rFonts w:ascii="Times;serif" w:hAnsi="Times;serif"/>
                <w:color w:val="008000"/>
                <w:sz w:val="20"/>
              </w:rPr>
            </w:pPr>
            <w:r>
              <w:rPr>
                <w:rFonts w:ascii="Times;serif" w:hAnsi="Times;serif"/>
                <w:color w:val="008000"/>
                <w:sz w:val="20"/>
              </w:rPr>
              <w:t>6. Each restricted stock unit represents the contingent right to receive, at settlement, one share of the Issuer's Class A common stock.</w:t>
            </w:r>
          </w:p>
        </w:tc>
      </w:tr>
      <w:tr>
        <w:trPr/>
        <w:tc>
          <w:tcPr>
            <w:tcW w:w="10205" w:type="dxa"/>
            <w:tcBorders/>
            <w:shd w:fill="FFFFFF" w:val="clear"/>
            <w:vAlign w:val="center"/>
          </w:tcPr>
          <w:p>
            <w:pPr>
              <w:pStyle w:val="TableContents"/>
              <w:spacing w:before="0" w:after="283"/>
              <w:rPr>
                <w:rFonts w:ascii="Times;serif" w:hAnsi="Times;serif"/>
                <w:color w:val="008000"/>
                <w:sz w:val="20"/>
              </w:rPr>
            </w:pPr>
            <w:r>
              <w:rPr>
                <w:rFonts w:ascii="Times;serif" w:hAnsi="Times;serif"/>
                <w:color w:val="008000"/>
                <w:sz w:val="20"/>
              </w:rPr>
              <w:t>7. The restricted stock units vest in three equal installments on March 31, 2024, March 31, 2025 and March 31, 2026, provided that the Reporting Person continues to provide services to the Issuer through the applicable vesting date.</w:t>
            </w:r>
          </w:p>
        </w:tc>
      </w:tr>
      <w:tr>
        <w:trPr/>
        <w:tc>
          <w:tcPr>
            <w:tcW w:w="10205" w:type="dxa"/>
            <w:tcBorders/>
            <w:shd w:fill="FFFFFF" w:val="clear"/>
            <w:vAlign w:val="center"/>
          </w:tcPr>
          <w:p>
            <w:pPr>
              <w:pStyle w:val="TableContents"/>
              <w:spacing w:before="0" w:after="283"/>
              <w:rPr>
                <w:rFonts w:ascii="Times;serif" w:hAnsi="Times;serif"/>
                <w:color w:val="008000"/>
                <w:sz w:val="20"/>
              </w:rPr>
            </w:pPr>
            <w:r>
              <w:rPr>
                <w:rFonts w:ascii="Times;serif" w:hAnsi="Times;serif"/>
                <w:color w:val="008000"/>
                <w:sz w:val="20"/>
              </w:rPr>
              <w:t>8. In the event that the Reporting Persons employment is terminated by reason of the Reporting Person's disability or termination without cause, the restricted stock units (the RSUs) shall vest with respect to the number of RSUs that would have vested upon the next vesting date following such termination had the Reporting Person remained an employee.</w:t>
            </w:r>
          </w:p>
        </w:tc>
      </w:tr>
      <w:tr>
        <w:trPr/>
        <w:tc>
          <w:tcPr>
            <w:tcW w:w="10205" w:type="dxa"/>
            <w:tcBorders/>
            <w:shd w:fill="FFFFFF" w:val="clear"/>
            <w:vAlign w:val="center"/>
          </w:tcPr>
          <w:p>
            <w:pPr>
              <w:pStyle w:val="TableContents"/>
              <w:spacing w:before="0" w:after="283"/>
              <w:rPr>
                <w:rFonts w:ascii="Times;serif" w:hAnsi="Times;serif"/>
                <w:color w:val="008000"/>
                <w:sz w:val="20"/>
              </w:rPr>
            </w:pPr>
            <w:r>
              <w:rPr>
                <w:rFonts w:ascii="Times;serif" w:hAnsi="Times;serif"/>
                <w:color w:val="008000"/>
                <w:sz w:val="20"/>
              </w:rPr>
              <w:t>9. Notwithstanding the foregoing, upon the occurrence of a termination of employment by reason of the Reporting Persons (i) termination without cause; or (ii) resignation for good reason, in connection with or within the 24 months following the consummation of a Change in Control (as defined in the Plan and the relevant award agreement), any unvested portion of the RSUs shall accelerate and vest in full.</w:t>
            </w:r>
          </w:p>
        </w:tc>
      </w:tr>
      <w:tr>
        <w:trPr/>
        <w:tc>
          <w:tcPr>
            <w:tcW w:w="10205" w:type="dxa"/>
            <w:tcBorders/>
            <w:shd w:fill="FFFFFF" w:val="clear"/>
            <w:vAlign w:val="center"/>
          </w:tcPr>
          <w:p>
            <w:pPr>
              <w:pStyle w:val="TableContents"/>
              <w:spacing w:before="0" w:after="283"/>
              <w:rPr>
                <w:rFonts w:ascii="Times;serif" w:hAnsi="Times;serif"/>
                <w:color w:val="008000"/>
                <w:sz w:val="20"/>
              </w:rPr>
            </w:pPr>
            <w:r>
              <w:rPr>
                <w:rFonts w:ascii="Times;serif" w:hAnsi="Times;serif"/>
                <w:color w:val="008000"/>
                <w:sz w:val="20"/>
              </w:rPr>
              <w:t>10. Upon the occurrence of a termination by reason of the Reporting Persons death, any unvested portion of the RSUs shall accelerate and vest in full.</w:t>
            </w:r>
          </w:p>
        </w:tc>
      </w:tr>
      <w:tr>
        <w:trPr/>
        <w:tc>
          <w:tcPr>
            <w:tcW w:w="10205" w:type="dxa"/>
            <w:tcBorders/>
            <w:shd w:fill="auto" w:val="clear"/>
            <w:vAlign w:val="center"/>
          </w:tcPr>
          <w:p>
            <w:pPr>
              <w:pStyle w:val="TableContents"/>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spacing w:before="0" w:after="283"/>
              <w:rPr>
                <w:sz w:val="4"/>
                <w:szCs w:val="4"/>
              </w:rPr>
            </w:pPr>
            <w:r>
              <w:rPr>
                <w:sz w:val="4"/>
                <w:szCs w:val="4"/>
              </w:rPr>
            </w:r>
          </w:p>
        </w:tc>
      </w:tr>
    </w:tbl>
    <w:tbl>
      <w:tblPr>
        <w:tblW w:w="5000" w:type="pct"/>
        <w:jc w:val="left"/>
        <w:tblInd w:w="0" w:type="dxa"/>
        <w:tblCellMar>
          <w:top w:w="28" w:type="dxa"/>
          <w:left w:w="28" w:type="dxa"/>
          <w:bottom w:w="28" w:type="dxa"/>
          <w:right w:w="28" w:type="dxa"/>
        </w:tblCellMar>
      </w:tblPr>
      <w:tblGrid>
        <w:gridCol w:w="6123"/>
        <w:gridCol w:w="2041"/>
        <w:gridCol w:w="2041"/>
      </w:tblGrid>
      <w:tr>
        <w:trPr/>
        <w:tc>
          <w:tcPr>
            <w:tcW w:w="6123" w:type="dxa"/>
            <w:tcBorders/>
            <w:shd w:fill="auto" w:val="clear"/>
            <w:vAlign w:val="center"/>
          </w:tcPr>
          <w:p>
            <w:pPr>
              <w:pStyle w:val="TableContents"/>
              <w:spacing w:before="0" w:after="283"/>
              <w:rPr>
                <w:sz w:val="4"/>
                <w:szCs w:val="4"/>
              </w:rPr>
            </w:pPr>
            <w:r>
              <w:rPr>
                <w:sz w:val="4"/>
                <w:szCs w:val="4"/>
              </w:rPr>
            </w:r>
          </w:p>
        </w:tc>
        <w:tc>
          <w:tcPr>
            <w:tcW w:w="2041" w:type="dxa"/>
            <w:tcBorders/>
            <w:shd w:fill="auto" w:val="clear"/>
            <w:vAlign w:val="center"/>
          </w:tcPr>
          <w:p>
            <w:pPr>
              <w:pStyle w:val="TableContents"/>
              <w:spacing w:before="0" w:after="283"/>
              <w:rPr>
                <w:rFonts w:ascii="Times;serif" w:hAnsi="Times;serif"/>
                <w:color w:val="0000FF"/>
                <w:sz w:val="24"/>
                <w:highlight w:val="white"/>
                <w:u w:val="single"/>
              </w:rPr>
            </w:pPr>
            <w:r>
              <w:rPr>
                <w:rFonts w:ascii="Times;serif" w:hAnsi="Times;serif"/>
                <w:color w:val="0000FF"/>
                <w:sz w:val="24"/>
                <w:highlight w:val="white"/>
                <w:u w:val="single"/>
              </w:rPr>
              <w:t>/s/ John Coghlin as Attorney-in-Fact</w:t>
            </w:r>
          </w:p>
        </w:tc>
        <w:tc>
          <w:tcPr>
            <w:tcW w:w="2041" w:type="dxa"/>
            <w:tcBorders/>
            <w:shd w:fill="auto" w:val="clear"/>
            <w:vAlign w:val="center"/>
          </w:tcPr>
          <w:p>
            <w:pPr>
              <w:pStyle w:val="TableContents"/>
              <w:spacing w:before="0" w:after="283"/>
              <w:rPr>
                <w:rFonts w:ascii="Times;serif" w:hAnsi="Times;serif"/>
                <w:color w:val="0000FF"/>
                <w:sz w:val="24"/>
                <w:highlight w:val="white"/>
                <w:u w:val="single"/>
              </w:rPr>
            </w:pPr>
            <w:r>
              <w:rPr>
                <w:rFonts w:ascii="Times;serif" w:hAnsi="Times;serif"/>
                <w:color w:val="0000FF"/>
                <w:sz w:val="24"/>
                <w:highlight w:val="white"/>
                <w:u w:val="single"/>
              </w:rPr>
              <w:t>04/04/2023</w:t>
            </w:r>
          </w:p>
        </w:tc>
      </w:tr>
      <w:tr>
        <w:trPr/>
        <w:tc>
          <w:tcPr>
            <w:tcW w:w="6123" w:type="dxa"/>
            <w:tcBorders/>
            <w:shd w:fill="auto" w:val="clear"/>
            <w:vAlign w:val="center"/>
          </w:tcPr>
          <w:p>
            <w:pPr>
              <w:pStyle w:val="TableContents"/>
              <w:spacing w:before="0" w:after="283"/>
              <w:rPr>
                <w:sz w:val="4"/>
                <w:szCs w:val="4"/>
              </w:rPr>
            </w:pPr>
            <w:r>
              <w:rPr>
                <w:sz w:val="4"/>
                <w:szCs w:val="4"/>
              </w:rPr>
            </w:r>
          </w:p>
        </w:tc>
        <w:tc>
          <w:tcPr>
            <w:tcW w:w="204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spacing w:before="0" w:after="283"/>
        <w:rPr/>
      </w:pPr>
      <w:r>
        <w:rPr/>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arial">
    <w:altName w:val="helvetica"/>
    <w:charset w:val="00"/>
    <w:family w:val="auto"/>
    <w:pitch w:val="default"/>
  </w:font>
  <w:font w:name="Times">
    <w:altName w:val="Times New Roman"/>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WenQuanYi Zen Hei Sharp"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WenQuanYi Zen Hei Sharp"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DejaVu Sans"/>
    </w:rPr>
  </w:style>
  <w:style w:type="paragraph" w:styleId="Caption">
    <w:name w:val="Caption"/>
    <w:basedOn w:val="Normal"/>
    <w:qFormat/>
    <w:pPr>
      <w:suppressLineNumbers/>
      <w:spacing w:before="120" w:after="120"/>
    </w:pPr>
    <w:rPr>
      <w:rFonts w:cs="DejaVu Sans"/>
      <w:i/>
      <w:iCs/>
      <w:sz w:val="24"/>
      <w:szCs w:val="24"/>
    </w:rPr>
  </w:style>
  <w:style w:type="paragraph" w:styleId="List">
    <w:name w:val="List"/>
    <w:basedOn w:val="TextBody"/>
    <w:pPr/>
    <w:rPr>
      <w:rFonts w:cs="DejaVu Sans"/>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insider-checkbox.png" TargetMode="External"/><Relationship Id="rId3" Type="http://schemas.openxmlformats.org/officeDocument/2006/relationships/hyperlink" Target="http://www.sec.gov/cgi-bin/browse-edgar?action=getcompany&amp;CIK=0001932698" TargetMode="External"/><Relationship Id="rId4" Type="http://schemas.openxmlformats.org/officeDocument/2006/relationships/hyperlink" Target="http://www.sec.gov/cgi-bin/browse-edgar?action=getcompany&amp;CIK=0001842279"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1</Pages>
  <Words>1017</Words>
  <CharactersWithSpaces>6311</CharactersWithSpaces>
  <Paragraphs>119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