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54"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April 28, 2023 </w:t>
      </w:r>
    </w:p>
    <w:p>
      <w:pPr>
        <w:pStyle w:val="TextBody"/>
        <w:spacing w:before="0" w:after="0"/>
        <w:jc w:val="center"/>
        <w:rPr/>
      </w:pPr>
      <w:r>
        <w:rPr/>
      </w:r>
    </w:p>
    <w:p>
      <w:pPr>
        <w:pStyle w:val="TextBody"/>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spacing w:lineRule="auto" w:line="288" w:before="54" w:after="283"/>
        <w:jc w:val="center"/>
        <w:rPr>
          <w:rFonts w:ascii="Times New Roman;sans-serif" w:hAnsi="Times New Roman;sans-serif"/>
          <w:b/>
          <w:color w:val="000000"/>
          <w:sz w:val="32"/>
        </w:rPr>
      </w:pPr>
      <w:r>
        <w:rPr>
          <w:rFonts w:ascii="Times New Roman;sans-serif" w:hAnsi="Times New Roman;sans-serif"/>
          <w:b/>
          <w:color w:val="000000"/>
          <w:sz w:val="32"/>
        </w:rPr>
        <w:t>OPAL Fuels Inc.</w:t>
      </w:r>
    </w:p>
    <w:p>
      <w:pPr>
        <w:pStyle w:val="TextBody"/>
        <w:spacing w:lineRule="auto" w:line="288" w:before="54"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spacing w:before="0" w:after="0"/>
        <w:rPr/>
      </w:pPr>
      <w:r>
        <w:rPr/>
      </w:r>
    </w:p>
    <w:tbl>
      <w:tblPr>
        <w:tblW w:w="8789" w:type="dxa"/>
        <w:jc w:val="left"/>
        <w:tblInd w:w="0" w:type="dxa"/>
        <w:tblCellMar>
          <w:top w:w="28" w:type="dxa"/>
          <w:left w:w="28" w:type="dxa"/>
          <w:bottom w:w="28" w:type="dxa"/>
          <w:right w:w="28" w:type="dxa"/>
        </w:tblCellMar>
      </w:tblPr>
      <w:tblGrid>
        <w:gridCol w:w="1303"/>
        <w:gridCol w:w="1147"/>
        <w:gridCol w:w="1150"/>
        <w:gridCol w:w="764"/>
        <w:gridCol w:w="764"/>
        <w:gridCol w:w="766"/>
        <w:gridCol w:w="847"/>
        <w:gridCol w:w="847"/>
        <w:gridCol w:w="1201"/>
      </w:tblGrid>
      <w:tr>
        <w:trPr/>
        <w:tc>
          <w:tcPr>
            <w:tcW w:w="1303"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incorporation) </w:t>
            </w:r>
          </w:p>
        </w:tc>
        <w:tc>
          <w:tcPr>
            <w:tcW w:w="2294" w:type="dxa"/>
            <w:gridSpan w:val="3"/>
            <w:tcBorders/>
            <w:shd w:fill="auto" w:val="clear"/>
            <w:tcMar>
              <w:top w:w="0" w:type="dxa"/>
              <w:left w:w="0" w:type="dxa"/>
              <w:bottom w:w="0" w:type="dxa"/>
              <w:right w:w="0" w:type="dxa"/>
            </w:tcMar>
            <w:vAlign w:val="center"/>
          </w:tcPr>
          <w:p>
            <w:pPr>
              <w:pStyle w:val="TableContents"/>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001-40272</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5" w:type="dxa"/>
            <w:gridSpan w:val="3"/>
            <w:tcBorders/>
            <w:shd w:fill="auto" w:val="clear"/>
            <w:tcMar>
              <w:top w:w="0" w:type="dxa"/>
              <w:left w:w="0" w:type="dxa"/>
              <w:bottom w:w="0" w:type="dxa"/>
              <w:right w:w="0" w:type="dxa"/>
            </w:tcMar>
            <w:vAlign w:val="center"/>
          </w:tcPr>
          <w:p>
            <w:pPr>
              <w:pStyle w:val="TableContents"/>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98-1578357</w:t>
            </w:r>
          </w:p>
          <w:p>
            <w:pPr>
              <w:pStyle w:val="TableContents"/>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20"/>
              </w:rPr>
              <w:t>One North Lexington Avenue</w:t>
            </w:r>
            <w:r>
              <w:rPr>
                <w:rFonts w:ascii="Helvetica;sans-serif" w:hAnsi="Helvetica;sans-serif"/>
                <w:b/>
                <w:color w:val="3051F2"/>
                <w:sz w:val="20"/>
              </w:rPr>
              <w:t xml:space="preserve">, </w:t>
            </w:r>
            <w:r>
              <w:rPr>
                <w:rFonts w:ascii="Times New Roman;sans-serif" w:hAnsi="Times New Roman;sans-serif"/>
                <w:b/>
                <w:color w:val="000000"/>
                <w:sz w:val="20"/>
              </w:rPr>
              <w:t>Suite 1450</w:t>
            </w:r>
          </w:p>
          <w:p>
            <w:pPr>
              <w:pStyle w:val="TableContents"/>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White Plains, New York </w:t>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89" w:type="dxa"/>
            <w:gridSpan w:val="9"/>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(914) 705-4000</w:t>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89"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8789"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spacing w:lineRule="auto" w:line="288" w:before="54" w:after="12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spacing w:lineRule="auto" w:line="288" w:before="216" w:after="283"/>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spacing w:before="0" w:after="0"/>
        <w:rPr/>
      </w:pPr>
      <w:r>
        <w:rPr/>
      </w:r>
    </w:p>
    <w:tbl>
      <w:tblPr>
        <w:tblW w:w="9522" w:type="dxa"/>
        <w:jc w:val="left"/>
        <w:tblInd w:w="0" w:type="dxa"/>
        <w:tblCellMar>
          <w:top w:w="28" w:type="dxa"/>
          <w:left w:w="28" w:type="dxa"/>
          <w:bottom w:w="28" w:type="dxa"/>
          <w:right w:w="28" w:type="dxa"/>
        </w:tblCellMar>
      </w:tblPr>
      <w:tblGrid>
        <w:gridCol w:w="124"/>
        <w:gridCol w:w="109"/>
        <w:gridCol w:w="109"/>
        <w:gridCol w:w="2685"/>
        <w:gridCol w:w="2685"/>
        <w:gridCol w:w="381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381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9554" w:type="dxa"/>
        <w:jc w:val="left"/>
        <w:tblInd w:w="0" w:type="dxa"/>
        <w:tblCellMar>
          <w:top w:w="28" w:type="dxa"/>
          <w:left w:w="28" w:type="dxa"/>
          <w:bottom w:w="28" w:type="dxa"/>
          <w:right w:w="28" w:type="dxa"/>
        </w:tblCellMar>
      </w:tblPr>
      <w:tblGrid>
        <w:gridCol w:w="1517"/>
        <w:gridCol w:w="1334"/>
        <w:gridCol w:w="1334"/>
        <w:gridCol w:w="515"/>
        <w:gridCol w:w="515"/>
        <w:gridCol w:w="515"/>
        <w:gridCol w:w="1120"/>
        <w:gridCol w:w="1120"/>
        <w:gridCol w:w="1584"/>
      </w:tblGrid>
      <w:tr>
        <w:trPr/>
        <w:tc>
          <w:tcPr>
            <w:tcW w:w="1517"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584" w:type="dxa"/>
            <w:tcBorders/>
            <w:shd w:fill="auto" w:val="clear"/>
            <w:vAlign w:val="center"/>
          </w:tcPr>
          <w:p>
            <w:pPr>
              <w:pStyle w:val="TableContents"/>
              <w:spacing w:before="0" w:after="283"/>
              <w:rPr>
                <w:sz w:val="4"/>
                <w:szCs w:val="4"/>
              </w:rPr>
            </w:pPr>
            <w:r>
              <w:rPr>
                <w:sz w:val="4"/>
                <w:szCs w:val="4"/>
              </w:rPr>
            </w:r>
          </w:p>
        </w:tc>
      </w:tr>
      <w:tr>
        <w:trPr/>
        <w:tc>
          <w:tcPr>
            <w:tcW w:w="9554"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545" w:type="dxa"/>
            <w:gridSpan w:val="3"/>
            <w:tcBorders/>
            <w:shd w:fill="auto" w:val="clear"/>
            <w:tcMar>
              <w:top w:w="0" w:type="dxa"/>
              <w:left w:w="0" w:type="dxa"/>
              <w:bottom w:w="0" w:type="dxa"/>
              <w:right w:w="0" w:type="dxa"/>
            </w:tcMar>
            <w:vAlign w:val="center"/>
          </w:tcPr>
          <w:p>
            <w:pPr>
              <w:pStyle w:val="TableContents"/>
              <w:spacing w:lineRule="auto" w:line="300" w:before="0" w:after="0"/>
              <w:jc w:val="left"/>
              <w:rPr>
                <w:rFonts w:ascii="Calibri;sans-serif" w:hAnsi="Calibri;sans-serif"/>
                <w:b/>
                <w:color w:val="000000"/>
                <w:sz w:val="20"/>
              </w:rPr>
            </w:pPr>
            <w:r>
              <w:rPr>
                <w:rFonts w:ascii="Calibri;sans-serif" w:hAnsi="Calibri;sans-serif"/>
                <w:b/>
                <w:color w:val="000000"/>
                <w:sz w:val="20"/>
              </w:rPr>
              <w:t>Trading Symbol(s)</w:t>
            </w:r>
          </w:p>
        </w:tc>
        <w:tc>
          <w:tcPr>
            <w:tcW w:w="38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$.0001 per share</w:t>
            </w:r>
          </w:p>
        </w:tc>
        <w:tc>
          <w:tcPr>
            <w:tcW w:w="154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82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lineRule="auto" w:line="288" w:before="0" w:after="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spacing w:lineRule="auto" w:line="288" w:before="108" w:after="283"/>
        <w:jc w:val="both"/>
        <w:rPr/>
      </w:pPr>
      <w:r>
        <w:rPr>
          <w:rFonts w:ascii="Times New Roman;sans-serif" w:hAnsi="Times New Roman;sans-serif"/>
          <w:b w:val="false"/>
          <w:color w:val="000000"/>
          <w:sz w:val="20"/>
        </w:rPr>
        <w:t>Emerging growth company</w:t>
      </w:r>
      <w:r>
        <w:rPr>
          <w:color w:val="000000"/>
        </w:rPr>
        <w:t>    ☒</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2"/>
        <w:rPr/>
      </w:pPr>
      <w:r>
        <w:rPr/>
      </w:r>
    </w:p>
    <w:p>
      <w:pPr>
        <w:pStyle w:val="TextBody"/>
        <w:spacing w:lineRule="auto" w:line="288" w:before="108"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color w:val="000000"/>
          <w:sz w:val="20"/>
        </w:rPr>
        <w:t>. ☐</w:t>
      </w:r>
    </w:p>
    <w:p>
      <w:pPr>
        <w:pStyle w:val="TextBody"/>
        <w:spacing w:before="0" w:after="2"/>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2"/>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before="0" w:after="0"/>
        <w:rPr/>
      </w:pPr>
      <w:r>
        <w:rPr/>
      </w:r>
    </w:p>
    <w:p>
      <w:pPr>
        <w:pStyle w:val="TextBody"/>
        <w:spacing w:lineRule="auto" w:line="268" w:before="0" w:after="0"/>
        <w:ind w:left="0" w:right="0" w:firstLine="660"/>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spacing w:before="0" w:after="0"/>
        <w:rPr/>
      </w:pPr>
      <w:r>
        <w:rPr/>
      </w:r>
    </w:p>
    <w:p>
      <w:pPr>
        <w:pStyle w:val="TextBody"/>
        <w:spacing w:lineRule="auto" w:line="288" w:before="0" w:after="0"/>
        <w:ind w:left="0" w:right="0" w:firstLine="660"/>
        <w:jc w:val="both"/>
        <w:rPr/>
      </w:pPr>
      <w:r>
        <w:rPr>
          <w:rFonts w:ascii="Times New Roman;sans-serif" w:hAnsi="Times New Roman;sans-serif"/>
          <w:b w:val="false"/>
          <w:color w:val="000000"/>
          <w:sz w:val="20"/>
        </w:rPr>
        <w:t xml:space="preserve">On April 28, 2023, OPAL Fuels Inc. (the </w:t>
      </w:r>
      <w:r>
        <w:rPr>
          <w:color w:val="000000"/>
          <w:highlight w:val="white"/>
        </w:rPr>
        <w:t>“</w:t>
      </w:r>
      <w:r>
        <w:rPr>
          <w:rFonts w:ascii="Times New Roman;sans-serif" w:hAnsi="Times New Roman;sans-serif"/>
          <w:b w:val="false"/>
          <w:color w:val="000000"/>
          <w:sz w:val="20"/>
        </w:rPr>
        <w:t xml:space="preserve">Company”) issued a press release </w:t>
      </w:r>
      <w:r>
        <w:rPr>
          <w:rFonts w:ascii="Times New Roman;sans-serif" w:hAnsi="Times New Roman;sans-serif"/>
          <w:b w:val="false"/>
          <w:color w:val="000000"/>
          <w:sz w:val="20"/>
          <w:highlight w:val="white"/>
        </w:rPr>
        <w:t xml:space="preserve">announcing that it will report </w:t>
      </w:r>
      <w:r>
        <w:rPr>
          <w:rFonts w:ascii="Times New Roman;sans-serif" w:hAnsi="Times New Roman;sans-serif"/>
          <w:b w:val="false"/>
          <w:color w:val="000000"/>
          <w:sz w:val="20"/>
        </w:rPr>
        <w:t xml:space="preserve">its earnings results for the first quarter ended March 31, 2023 after the market closes on Wednesday, May 10, 2023 and that it will host an earnings conference call on Thursday, May 11, 2023, at 11:00 AM EST. A copy of the press release is attached hereto as Exhibit 99.1. </w:t>
      </w:r>
    </w:p>
    <w:p>
      <w:pPr>
        <w:pStyle w:val="TextBody"/>
        <w:spacing w:before="0" w:after="0"/>
        <w:rPr/>
      </w:pPr>
      <w:r>
        <w:rPr/>
      </w:r>
    </w:p>
    <w:p>
      <w:pPr>
        <w:pStyle w:val="TextBody"/>
        <w:spacing w:lineRule="auto" w:line="288" w:before="0" w:after="0"/>
        <w:ind w:left="0" w:right="0" w:firstLine="6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disclosed under this Item 7.01,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pStyle w:val="TextBody"/>
        <w:spacing w:before="0" w:after="0"/>
        <w:rPr/>
      </w:pPr>
      <w:r>
        <w:rPr/>
      </w:r>
    </w:p>
    <w:p>
      <w:pPr>
        <w:pStyle w:val="TextBody"/>
        <w:spacing w:lineRule="auto" w:line="288" w:before="0" w:after="0"/>
        <w:ind w:left="0" w:right="0" w:firstLine="660"/>
        <w:jc w:val="both"/>
        <w:rPr>
          <w:rFonts w:ascii="Times New Roman;sans-serif" w:hAnsi="Times New Roman;sans-serif"/>
          <w:b w:val="false"/>
          <w:color w:val="000000"/>
          <w:sz w:val="20"/>
        </w:rPr>
      </w:pPr>
      <w:r>
        <w:rPr>
          <w:rFonts w:ascii="Times New Roman;sans-serif" w:hAnsi="Times New Roman;sans-serif"/>
          <w:b w:val="false"/>
          <w:color w:val="000000"/>
          <w:sz w:val="20"/>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pStyle w:val="TextBody"/>
        <w:spacing w:before="0" w:after="2"/>
        <w:rPr/>
      </w:pPr>
      <w:r>
        <w:rPr/>
      </w:r>
    </w:p>
    <w:p>
      <w:pPr>
        <w:pStyle w:val="TextBody"/>
        <w:spacing w:lineRule="auto" w:line="268" w:before="0" w:after="12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before="0" w:after="120"/>
        <w:rPr/>
      </w:pPr>
      <w:r>
        <w:rPr/>
      </w:r>
    </w:p>
    <w:tbl>
      <w:tblPr>
        <w:tblW w:w="6986" w:type="dxa"/>
        <w:jc w:val="left"/>
        <w:tblInd w:w="0" w:type="dxa"/>
        <w:tblCellMar>
          <w:top w:w="28" w:type="dxa"/>
          <w:left w:w="28" w:type="dxa"/>
          <w:bottom w:w="28" w:type="dxa"/>
          <w:right w:w="28" w:type="dxa"/>
        </w:tblCellMar>
      </w:tblPr>
      <w:tblGrid>
        <w:gridCol w:w="531"/>
        <w:gridCol w:w="468"/>
        <w:gridCol w:w="470"/>
        <w:gridCol w:w="109"/>
        <w:gridCol w:w="109"/>
        <w:gridCol w:w="109"/>
        <w:gridCol w:w="1520"/>
        <w:gridCol w:w="1520"/>
        <w:gridCol w:w="2150"/>
      </w:tblGrid>
      <w:tr>
        <w:trPr/>
        <w:tc>
          <w:tcPr>
            <w:tcW w:w="531"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r>
      <w:tr>
        <w:trPr/>
        <w:tc>
          <w:tcPr>
            <w:tcW w:w="14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Number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4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0" w:type="dxa"/>
            <w:gridSpan w:val="3"/>
            <w:tcBorders/>
            <w:shd w:fill="auto" w:val="clear"/>
            <w:tcMar>
              <w:top w:w="0" w:type="dxa"/>
              <w:left w:w="0" w:type="dxa"/>
              <w:bottom w:w="0" w:type="dxa"/>
              <w:right w:w="0" w:type="dxa"/>
            </w:tcMar>
            <w:vAlign w:val="center"/>
          </w:tcPr>
          <w:p>
            <w:pPr>
              <w:pStyle w:val="TableContents"/>
              <w:spacing w:lineRule="auto" w:line="300" w:before="0" w:after="2"/>
              <w:jc w:val="both"/>
              <w:rPr/>
            </w:pPr>
            <w:hyperlink w:anchor="opal_1q23earningsreleasean.htm">
              <w:r>
                <w:rPr>
                  <w:rStyle w:val="InternetLink"/>
                  <w:rFonts w:ascii="Times New Roman;sans-serif" w:hAnsi="Times New Roman;sans-serif"/>
                  <w:b w:val="false"/>
                  <w:color w:val="0000FF"/>
                  <w:sz w:val="20"/>
                  <w:u w:val="single"/>
                </w:rPr>
                <w:t>Press release, issued by OPAL Fuels Inc., dated April 28, 2023.</w:t>
              </w:r>
            </w:hyperlink>
          </w:p>
        </w:tc>
      </w:tr>
    </w:tbl>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2"/>
        <w:rPr/>
      </w:pPr>
      <w:r>
        <w:rPr/>
      </w:r>
    </w:p>
    <w:p>
      <w:pPr>
        <w:pStyle w:val="TextBody"/>
        <w:spacing w:before="0" w:after="0"/>
        <w:jc w:val="center"/>
        <w:rPr/>
      </w:pPr>
      <w:r>
        <w:rPr/>
      </w:r>
    </w:p>
    <w:p>
      <w:pPr>
        <w:pStyle w:val="TextBody"/>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Date: April 28, 2023</w:t>
      </w:r>
    </w:p>
    <w:tbl>
      <w:tblPr>
        <w:tblW w:w="2867" w:type="dxa"/>
        <w:jc w:val="right"/>
        <w:tblInd w:w="0" w:type="dxa"/>
        <w:tblCellMar>
          <w:top w:w="28" w:type="dxa"/>
          <w:left w:w="28" w:type="dxa"/>
          <w:bottom w:w="28" w:type="dxa"/>
          <w:right w:w="28" w:type="dxa"/>
        </w:tblCellMar>
      </w:tblPr>
      <w:tblGrid>
        <w:gridCol w:w="312"/>
        <w:gridCol w:w="273"/>
        <w:gridCol w:w="273"/>
        <w:gridCol w:w="584"/>
        <w:gridCol w:w="584"/>
        <w:gridCol w:w="841"/>
      </w:tblGrid>
      <w:tr>
        <w:trPr/>
        <w:tc>
          <w:tcPr>
            <w:tcW w:w="31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r>
      <w:tr>
        <w:trPr/>
        <w:tc>
          <w:tcPr>
            <w:tcW w:w="2867"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OPAL Fuels Inc.</w:t>
            </w:r>
          </w:p>
        </w:tc>
      </w:tr>
      <w:tr>
        <w:trPr/>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Anthony</w:t>
            </w:r>
          </w:p>
        </w:tc>
      </w:tr>
      <w:tr>
        <w:trPr/>
        <w:tc>
          <w:tcPr>
            <w:tcW w:w="85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 Anthony</w:t>
            </w:r>
          </w:p>
        </w:tc>
      </w:tr>
      <w:tr>
        <w:trPr/>
        <w:tc>
          <w:tcPr>
            <w:tcW w:w="85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0"/>
        <w:rPr/>
      </w:pPr>
      <w:r>
        <w:rPr/>
        <w:drawing>
          <wp:inline distT="0" distB="63500" distL="0" distR="0">
            <wp:extent cx="2009775" cy="5238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009775" cy="523875"/>
                    </a:xfrm>
                    <a:prstGeom prst="rect">
                      <a:avLst/>
                    </a:prstGeom>
                  </pic:spPr>
                </pic:pic>
              </a:graphicData>
            </a:graphic>
          </wp:inline>
        </w:drawing>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OPAL Fuels Announces First Quarter Earnings Release Date and Conference Call </w:t>
      </w:r>
    </w:p>
    <w:p>
      <w:pPr>
        <w:pStyle w:val="TextBody"/>
        <w:spacing w:before="0" w:after="0"/>
        <w:jc w:val="center"/>
        <w:rPr/>
      </w:pPr>
      <w:r>
        <w:rPr/>
      </w:r>
    </w:p>
    <w:p>
      <w:pPr>
        <w:pStyle w:val="TextBody"/>
        <w:spacing w:lineRule="auto" w:line="288" w:before="0" w:after="0"/>
        <w:jc w:val="both"/>
        <w:rPr/>
      </w:pPr>
      <w:r>
        <w:rPr>
          <w:rFonts w:ascii="Times New Roman;sans-serif" w:hAnsi="Times New Roman;sans-serif"/>
          <w:b w:val="false"/>
          <w:color w:val="000000"/>
          <w:sz w:val="24"/>
        </w:rPr>
        <w:t xml:space="preserve">WHITE PLAINS, N.Y. – (April 278, 2023) – </w:t>
      </w:r>
      <w:r>
        <w:rPr>
          <w:rFonts w:ascii="Times New Roman;sans-serif" w:hAnsi="Times New Roman;sans-serif"/>
          <w:b w:val="false"/>
          <w:color w:val="0563C1"/>
          <w:sz w:val="24"/>
          <w:u w:val="single"/>
        </w:rPr>
        <w:t>OPAL Fuels Inc.</w:t>
      </w:r>
      <w:r>
        <w:rPr>
          <w:color w:val="000000"/>
        </w:rPr>
        <w:t xml:space="preserve"> </w:t>
      </w:r>
      <w:r>
        <w:rPr>
          <w:rFonts w:ascii="Times New Roman;sans-serif" w:hAnsi="Times New Roman;sans-serif"/>
          <w:b w:val="false"/>
          <w:color w:val="000000"/>
          <w:sz w:val="24"/>
        </w:rPr>
        <w:t>(Nasdaq: OPAL), a leading vertically integrated producer and distributor of renewable natural gas (RNG), today announced that it will release its earnings results for the first quarter ended March 31, 2023, after market close on Wednesday, May 10, 2023. A conference call will take place on Thursday, May 11, 2023, at 11:00 a.m. Eastern Time.</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4"/>
        </w:rPr>
        <w:t xml:space="preserve">A listen-only connection to the investor presentation will be accessible at </w:t>
      </w:r>
      <w:r>
        <w:rPr>
          <w:rFonts w:ascii="Times New Roman;sans-serif" w:hAnsi="Times New Roman;sans-serif"/>
          <w:b w:val="false"/>
          <w:color w:val="0563C1"/>
          <w:sz w:val="24"/>
          <w:u w:val="single"/>
        </w:rPr>
        <w:t>https://edge.media-server.com/mmc/p/qbsqnkux</w:t>
      </w:r>
      <w:r>
        <w:rPr>
          <w:rFonts w:ascii="Times New Roman;sans-serif" w:hAnsi="Times New Roman;sans-serif"/>
          <w:b w:val="false"/>
          <w:color w:val="000000"/>
          <w:sz w:val="24"/>
        </w:rPr>
        <w:t xml:space="preserve">. Investors can also listen to a webcast of the presentation on the company’s Investor Relations website at </w:t>
      </w:r>
      <w:r>
        <w:rPr>
          <w:rFonts w:ascii="Times New Roman;sans-serif" w:hAnsi="Times New Roman;sans-serif"/>
          <w:b w:val="false"/>
          <w:color w:val="0563C1"/>
          <w:sz w:val="24"/>
          <w:u w:val="single"/>
        </w:rPr>
        <w:t>https://investors.opalfuels.com/news-events/events-presentations</w:t>
      </w:r>
      <w:r>
        <w:rPr>
          <w:rFonts w:ascii="Times New Roman;sans-serif" w:hAnsi="Times New Roman;sans-serif"/>
          <w:b w:val="false"/>
          <w:color w:val="000000"/>
          <w:sz w:val="24"/>
        </w:rPr>
        <w:t xml:space="preserve">. </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About OPAL Fuels Inc.</w:t>
      </w:r>
    </w:p>
    <w:p>
      <w:pPr>
        <w:pStyle w:val="TextBody"/>
        <w:spacing w:lineRule="auto" w:line="288" w:before="0" w:after="0"/>
        <w:jc w:val="both"/>
        <w:rPr/>
      </w:pPr>
      <w:r>
        <w:rPr>
          <w:rFonts w:ascii="Times New Roman;sans-serif" w:hAnsi="Times New Roman;sans-serif"/>
          <w:b w:val="false"/>
          <w:color w:val="0563C1"/>
          <w:sz w:val="24"/>
          <w:u w:val="single"/>
        </w:rPr>
        <w:t>OPAL Fuels</w:t>
      </w:r>
      <w:r>
        <w:rPr>
          <w:color w:val="0563C1"/>
          <w:u w:val="single"/>
        </w:rPr>
        <w:t xml:space="preserve"> </w:t>
      </w:r>
      <w:r>
        <w:rPr>
          <w:rFonts w:ascii="Times New Roman;sans-serif" w:hAnsi="Times New Roman;sans-serif"/>
          <w:b w:val="false"/>
          <w:color w:val="0563C1"/>
          <w:sz w:val="24"/>
          <w:u w:val="single"/>
        </w:rPr>
        <w:t>Inc.</w:t>
      </w:r>
      <w:r>
        <w:rPr>
          <w:color w:val="000000"/>
        </w:rPr>
        <w:t xml:space="preserve"> </w:t>
      </w:r>
      <w:r>
        <w:rPr>
          <w:rFonts w:ascii="Times New Roman;sans-serif" w:hAnsi="Times New Roman;sans-serif"/>
          <w:b w:val="false"/>
          <w:color w:val="000000"/>
          <w:sz w:val="24"/>
        </w:rPr>
        <w:t xml:space="preserve">(Nasdaq: OPAL) is a leading vertically integrated renewable fuels platform involved in the production and distribution of renewable natural gas (RNG) for the heavy-duty truck market. RNG is a proven low-carbon fuel that is rapidly decarbonizing the transportation industry now while also significantly reducing fuel costs for fleet owners. OPAL Fuels captures harmful methane emissions at the source and recycles the trapped energy into a commercially viable, lower-cost alternative to diesel fuel. The company also develops, constructs, and services RNG and hydrogen fueling stations. As a producer and distributor of carbon-reducing fuel for heavy-duty truck fleets for more than a decade, OPAL Fuels delivers complete renewable solutions to customers and production partners. To learn more about OPAL Fuels and how it is leading the effort to capture North America’s harmful methane emissions and decarbonize the transportation industry, please visit </w:t>
      </w:r>
      <w:r>
        <w:rPr>
          <w:rFonts w:ascii="Times New Roman;sans-serif" w:hAnsi="Times New Roman;sans-serif"/>
          <w:b w:val="false"/>
          <w:color w:val="0563C1"/>
          <w:sz w:val="24"/>
          <w:u w:val="single"/>
        </w:rPr>
        <w:t>www.opalfuels.com</w:t>
      </w:r>
      <w:r>
        <w:rPr>
          <w:color w:val="000000"/>
        </w:rPr>
        <w:t xml:space="preserve"> </w:t>
      </w:r>
      <w:r>
        <w:rPr>
          <w:rFonts w:ascii="Times New Roman;sans-serif" w:hAnsi="Times New Roman;sans-serif"/>
          <w:b w:val="false"/>
          <w:color w:val="000000"/>
          <w:sz w:val="24"/>
        </w:rPr>
        <w:t>and follow the company on LinkedIn and Twitter at @OPALFuels.</w:t>
      </w:r>
    </w:p>
    <w:p>
      <w:pPr>
        <w:pStyle w:val="TextBody"/>
        <w:spacing w:lineRule="auto" w:line="276" w:before="0" w:after="0"/>
        <w:jc w:val="center"/>
        <w:rPr>
          <w:rFonts w:ascii="Times New Roman;sans-serif" w:hAnsi="Times New Roman;sans-serif"/>
          <w:b/>
          <w:color w:val="000000"/>
          <w:sz w:val="24"/>
          <w:highlight w:val="white"/>
        </w:rPr>
      </w:pPr>
      <w:r>
        <w:rPr>
          <w:rFonts w:ascii="Times New Roman;sans-serif" w:hAnsi="Times New Roman;sans-serif"/>
          <w:b/>
          <w:color w:val="000000"/>
          <w:sz w:val="24"/>
          <w:highlight w:val="white"/>
        </w:rPr>
        <w:t># # #</w:t>
      </w:r>
    </w:p>
    <w:p>
      <w:pPr>
        <w:pStyle w:val="TextBody"/>
        <w:spacing w:before="0" w:after="0"/>
        <w:jc w:val="center"/>
        <w:rPr/>
      </w:pPr>
      <w:r>
        <w:rPr/>
      </w:r>
    </w:p>
    <w:p>
      <w:pPr>
        <w:pStyle w:val="TextBody"/>
        <w:spacing w:lineRule="auto" w:line="240" w:before="0" w:after="0"/>
        <w:jc w:val="both"/>
        <w:rPr>
          <w:rFonts w:ascii="Times New Roman;sans-serif" w:hAnsi="Times New Roman;sans-serif"/>
          <w:b/>
          <w:color w:val="000000"/>
          <w:sz w:val="24"/>
          <w:highlight w:val="white"/>
        </w:rPr>
      </w:pPr>
      <w:r>
        <w:rPr>
          <w:rFonts w:ascii="Times New Roman;sans-serif" w:hAnsi="Times New Roman;sans-serif"/>
          <w:b/>
          <w:color w:val="000000"/>
          <w:sz w:val="24"/>
          <w:highlight w:val="white"/>
        </w:rPr>
        <w:t>Forward-Looking Statements</w:t>
      </w:r>
    </w:p>
    <w:p>
      <w:pPr>
        <w:pStyle w:val="TextBody"/>
        <w:spacing w:lineRule="auto" w:line="276"/>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 xml:space="preserve">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012825"/>
                <wp:effectExtent l="0" t="0" r="0" b="0"/>
                <wp:wrapNone/>
                <wp:docPr id="6" name="Frame5"/>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1044" w:type="dxa"/>
                              <w:jc w:val="left"/>
                              <w:tblInd w:w="0" w:type="dxa"/>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481.35pt;mso-position-horizontal:left;mso-position-horizontal-relative:text">
                <v:textbox>
                  <w:txbxContent>
                    <w:tbl>
                      <w:tblPr>
                        <w:tblW w:w="1044" w:type="dxa"/>
                        <w:jc w:val="left"/>
                        <w:tblInd w:w="0" w:type="dxa"/>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76" w:before="0" w:after="0"/>
        <w:jc w:val="both"/>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annual report for the year ended December 31, 2022 filed on Form 10-K on March 28, 2023, and other filings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4"/>
          <w:highlight w:val="white"/>
        </w:rPr>
      </w:pPr>
      <w:r>
        <w:rPr>
          <w:rFonts w:ascii="Times New Roman;sans-serif" w:hAnsi="Times New Roman;sans-serif"/>
          <w:b/>
          <w:color w:val="000000"/>
          <w:sz w:val="24"/>
          <w:highlight w:val="white"/>
        </w:rPr>
        <w:t>Disclaimer</w: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Contact information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Media </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Jason Stewart</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Senior Director Public Relations and Marketing</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914-421-5336 </w:t>
      </w:r>
    </w:p>
    <w:p>
      <w:pPr>
        <w:pStyle w:val="TextBody"/>
        <w:spacing w:lineRule="auto" w:line="240" w:before="0" w:after="0"/>
        <w:jc w:val="both"/>
        <w:rPr/>
      </w:pPr>
      <w:r>
        <w:rPr>
          <w:rFonts w:ascii="Times New Roman;sans-serif" w:hAnsi="Times New Roman;sans-serif"/>
          <w:b w:val="false"/>
          <w:color w:val="0563C1"/>
          <w:sz w:val="24"/>
          <w:u w:val="single"/>
        </w:rPr>
        <w:t>jstewart@opalfuels.com</w:t>
      </w:r>
      <w:r>
        <w:rPr>
          <w:color w:val="000000"/>
        </w:rPr>
        <w:t xml:space="preserve">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ICR, Inc. </w:t>
      </w:r>
    </w:p>
    <w:p>
      <w:pPr>
        <w:pStyle w:val="TextBody"/>
        <w:spacing w:lineRule="auto" w:line="240" w:before="0" w:after="0"/>
        <w:jc w:val="both"/>
        <w:rPr>
          <w:rFonts w:ascii="Times New Roman;sans-serif" w:hAnsi="Times New Roman;sans-serif"/>
          <w:b w:val="false"/>
          <w:color w:val="0563C1"/>
          <w:sz w:val="24"/>
          <w:u w:val="single"/>
        </w:rPr>
      </w:pPr>
      <w:r>
        <w:rPr>
          <w:rFonts w:ascii="Times New Roman;sans-serif" w:hAnsi="Times New Roman;sans-serif"/>
          <w:b w:val="false"/>
          <w:color w:val="0563C1"/>
          <w:sz w:val="24"/>
          <w:u w:val="single"/>
        </w:rPr>
        <w:t>OPALFuelsPR@icrinc.com</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Investors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Todd Firestone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Vice President Investor Relations and Corporate Development</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914-705-4001</w:t>
      </w:r>
    </w:p>
    <w:p>
      <w:pPr>
        <w:pStyle w:val="TextBody"/>
        <w:spacing w:lineRule="auto" w:line="240"/>
        <w:jc w:val="both"/>
        <w:rPr/>
      </w:pPr>
      <w:r>
        <w:rPr>
          <w:rFonts w:ascii="Times New Roman;sans-serif" w:hAnsi="Times New Roman;sans-serif"/>
          <w:b w:val="false"/>
          <w:color w:val="0563C1"/>
          <w:sz w:val="24"/>
          <w:u w:val="single"/>
        </w:rPr>
        <w:t>investors@opalfuels.com</w:t>
      </w:r>
      <w:r>
        <w:rPr>
          <w:color w:val="000000"/>
        </w:rPr>
        <w:t xml:space="preserve"> </w:t>
      </w:r>
      <w:r>
        <w:br w:type="page"/>
      </w:r>
    </w:p>
    <w:p>
      <w:pPr>
        <w:pStyle w:val="TextBody"/>
        <w:spacing w:before="0" w:after="283"/>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012825"/>
                <wp:effectExtent l="0" t="0" r="0" b="0"/>
                <wp:wrapNone/>
                <wp:docPr id="7" name="Frame6"/>
                <a:graphic xmlns:a="http://schemas.openxmlformats.org/drawingml/2006/main">
                  <a:graphicData uri="http://schemas.microsoft.com/office/word/2010/wordprocessingShape">
                    <wps:wsp>
                      <wps:cNvSpPr txBox="1"/>
                      <wps:spPr>
                        <a:xfrm>
                          <a:off x="0" y="0"/>
                          <a:ext cx="6480175" cy="1012825"/>
                        </a:xfrm>
                        <a:prstGeom prst="rect"/>
                      </wps:spPr>
                      <wps:txbx>
                        <w:txbxContent>
                          <w:tbl>
                            <w:tblPr>
                              <w:tblW w:w="1044" w:type="dxa"/>
                              <w:jc w:val="left"/>
                              <w:tblInd w:w="0" w:type="dxa"/>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Helvetica">
    <w:altName w:val="Arial"/>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1391</Words>
  <CharactersWithSpaces>9359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