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167640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Section 15(d)</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ARCLIGHT CLEAN TRANSITION CORP. II</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31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3900" w:type="dxa"/>
            <w:vAlign w:val="bottom"/>
            <w:gridSpan w:val="4"/>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001-40272</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96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194"/>
        </w:trPr>
        <w:tc>
          <w:tcPr>
            <w:tcW w:w="3120" w:type="dxa"/>
            <w:vAlign w:val="bottom"/>
            <w:tcBorders>
              <w:top w:val="single" w:sz="8" w:color="auto"/>
            </w:tcBorders>
          </w:tcPr>
          <w:p>
            <w:pPr>
              <w:jc w:val="center"/>
              <w:ind w:left="41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5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322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tcPr>
          <w:p>
            <w:pPr>
              <w:jc w:val="center"/>
              <w:ind w:right="5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96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3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6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9"/>
              </w:rPr>
              <w:t>200 Clarendon Street, 55th Floor</w:t>
            </w:r>
          </w:p>
        </w:tc>
        <w:tc>
          <w:tcPr>
            <w:tcW w:w="296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6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Boston, MA, 02116</w:t>
            </w:r>
          </w:p>
        </w:tc>
        <w:tc>
          <w:tcPr>
            <w:tcW w:w="2960" w:type="dxa"/>
            <w:vAlign w:val="bottom"/>
          </w:tcPr>
          <w:p>
            <w:pPr>
              <w:spacing w:after="0"/>
              <w:rPr>
                <w:sz w:val="18"/>
                <w:szCs w:val="18"/>
                <w:color w:val="auto"/>
              </w:rPr>
            </w:pPr>
          </w:p>
        </w:tc>
      </w:tr>
      <w:tr>
        <w:trPr>
          <w:trHeight w:val="238"/>
        </w:trPr>
        <w:tc>
          <w:tcPr>
            <w:tcW w:w="3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4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960" w:type="dxa"/>
            <w:vAlign w:val="bottom"/>
          </w:tcPr>
          <w:p>
            <w:pPr>
              <w:spacing w:after="0"/>
              <w:rPr>
                <w:sz w:val="20"/>
                <w:szCs w:val="20"/>
                <w:color w:val="auto"/>
              </w:rPr>
            </w:pPr>
          </w:p>
        </w:tc>
      </w:tr>
      <w:tr>
        <w:trPr>
          <w:trHeight w:val="223"/>
        </w:trPr>
        <w:tc>
          <w:tcPr>
            <w:tcW w:w="3120" w:type="dxa"/>
            <w:vAlign w:val="bottom"/>
          </w:tcPr>
          <w:p>
            <w:pPr>
              <w:spacing w:after="0"/>
              <w:rPr>
                <w:sz w:val="19"/>
                <w:szCs w:val="19"/>
                <w:color w:val="auto"/>
              </w:rPr>
            </w:pPr>
          </w:p>
        </w:tc>
        <w:tc>
          <w:tcPr>
            <w:tcW w:w="1100" w:type="dxa"/>
            <w:vAlign w:val="bottom"/>
            <w:gridSpan w:val="3"/>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23"/>
        </w:trPr>
        <w:tc>
          <w:tcPr>
            <w:tcW w:w="3120" w:type="dxa"/>
            <w:vAlign w:val="bottom"/>
          </w:tcPr>
          <w:p>
            <w:pPr>
              <w:spacing w:after="0"/>
              <w:rPr>
                <w:sz w:val="24"/>
                <w:szCs w:val="24"/>
                <w:color w:val="auto"/>
              </w:rPr>
            </w:pPr>
          </w:p>
        </w:tc>
        <w:tc>
          <w:tcPr>
            <w:tcW w:w="3900" w:type="dxa"/>
            <w:vAlign w:val="bottom"/>
            <w:gridSpan w:val="4"/>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(617) 531-6300</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38"/>
        </w:trPr>
        <w:tc>
          <w:tcPr>
            <w:tcW w:w="3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60" w:type="dxa"/>
            <w:vAlign w:val="bottom"/>
            <w:gridSpan w:val="6"/>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960" w:type="dxa"/>
            <w:vAlign w:val="bottom"/>
          </w:tcPr>
          <w:p>
            <w:pPr>
              <w:spacing w:after="0"/>
              <w:rPr>
                <w:sz w:val="20"/>
                <w:szCs w:val="20"/>
                <w:color w:val="auto"/>
              </w:rPr>
            </w:pPr>
          </w:p>
        </w:tc>
      </w:tr>
      <w:tr>
        <w:trPr>
          <w:trHeight w:val="410"/>
        </w:trPr>
        <w:tc>
          <w:tcPr>
            <w:tcW w:w="3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6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960" w:type="dxa"/>
            <w:vAlign w:val="bottom"/>
          </w:tcPr>
          <w:p>
            <w:pPr>
              <w:spacing w:after="0"/>
              <w:rPr>
                <w:sz w:val="24"/>
                <w:szCs w:val="24"/>
                <w:color w:val="auto"/>
              </w:rPr>
            </w:pPr>
          </w:p>
        </w:tc>
      </w:tr>
      <w:tr>
        <w:trPr>
          <w:trHeight w:val="238"/>
        </w:trPr>
        <w:tc>
          <w:tcPr>
            <w:tcW w:w="3120" w:type="dxa"/>
            <w:vAlign w:val="bottom"/>
          </w:tcPr>
          <w:p>
            <w:pPr>
              <w:spacing w:after="0"/>
              <w:rPr>
                <w:sz w:val="20"/>
                <w:szCs w:val="20"/>
                <w:color w:val="auto"/>
              </w:rPr>
            </w:pPr>
          </w:p>
        </w:tc>
        <w:tc>
          <w:tcPr>
            <w:tcW w:w="5160" w:type="dxa"/>
            <w:vAlign w:val="bottom"/>
            <w:gridSpan w:val="7"/>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9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to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Units, each consisting of one Class A Ordinary</w:t>
            </w: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900" w:type="dxa"/>
            <w:vAlign w:val="bottom"/>
            <w:tcBorders>
              <w:top w:val="single" w:sz="8" w:color="auto"/>
            </w:tcBorders>
            <w:shd w:val="clear" w:color="auto" w:fill="CCEEFF"/>
          </w:tcPr>
          <w:p>
            <w:pPr>
              <w:jc w:val="center"/>
              <w:ind w:right="630"/>
              <w:spacing w:after="0" w:line="198" w:lineRule="exact"/>
              <w:rPr>
                <w:sz w:val="20"/>
                <w:szCs w:val="20"/>
                <w:color w:val="auto"/>
              </w:rPr>
            </w:pPr>
            <w:r>
              <w:rPr>
                <w:rFonts w:ascii="Times New Roman" w:cs="Times New Roman" w:eastAsia="Times New Roman" w:hAnsi="Times New Roman"/>
                <w:sz w:val="18"/>
                <w:szCs w:val="18"/>
                <w:color w:val="auto"/>
                <w:w w:val="99"/>
              </w:rPr>
              <w:t>ACTDU</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40" w:type="dxa"/>
            <w:vAlign w:val="bottom"/>
            <w:gridSpan w:val="3"/>
            <w:shd w:val="clear" w:color="auto" w:fill="CCEEFF"/>
          </w:tcPr>
          <w:p>
            <w:pPr>
              <w:jc w:val="center"/>
              <w:ind w:right="920"/>
              <w:spacing w:after="0"/>
              <w:rPr>
                <w:sz w:val="20"/>
                <w:szCs w:val="20"/>
                <w:color w:val="auto"/>
              </w:rPr>
            </w:pPr>
            <w:r>
              <w:rPr>
                <w:rFonts w:ascii="Times New Roman" w:cs="Times New Roman" w:eastAsia="Times New Roman" w:hAnsi="Times New Roman"/>
                <w:sz w:val="18"/>
                <w:szCs w:val="18"/>
                <w:color w:val="auto"/>
                <w:w w:val="99"/>
              </w:rPr>
              <w:t>Share, $0.0001 par value, and one-fifth of one</w:t>
            </w: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4540" w:type="dxa"/>
            <w:vAlign w:val="bottom"/>
            <w:gridSpan w:val="3"/>
            <w:shd w:val="clear" w:color="auto" w:fill="CCEEFF"/>
          </w:tcPr>
          <w:p>
            <w:pPr>
              <w:jc w:val="center"/>
              <w:ind w:right="920"/>
              <w:spacing w:after="0"/>
              <w:rPr>
                <w:sz w:val="20"/>
                <w:szCs w:val="20"/>
                <w:color w:val="auto"/>
              </w:rPr>
            </w:pPr>
            <w:r>
              <w:rPr>
                <w:rFonts w:ascii="Times New Roman" w:cs="Times New Roman" w:eastAsia="Times New Roman" w:hAnsi="Times New Roman"/>
                <w:sz w:val="18"/>
                <w:szCs w:val="18"/>
                <w:color w:val="auto"/>
                <w:w w:val="99"/>
              </w:rPr>
              <w:t>redeemable warrant</w:t>
            </w:r>
          </w:p>
        </w:tc>
        <w:tc>
          <w:tcPr>
            <w:tcW w:w="2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4540" w:type="dxa"/>
            <w:vAlign w:val="bottom"/>
            <w:gridSpan w:val="3"/>
          </w:tcPr>
          <w:p>
            <w:pPr>
              <w:jc w:val="center"/>
              <w:ind w:right="920"/>
              <w:spacing w:after="0" w:line="198" w:lineRule="exact"/>
              <w:rPr>
                <w:sz w:val="20"/>
                <w:szCs w:val="20"/>
                <w:color w:val="auto"/>
              </w:rPr>
            </w:pPr>
            <w:r>
              <w:rPr>
                <w:rFonts w:ascii="Times New Roman" w:cs="Times New Roman" w:eastAsia="Times New Roman" w:hAnsi="Times New Roman"/>
                <w:sz w:val="18"/>
                <w:szCs w:val="18"/>
                <w:color w:val="auto"/>
              </w:rPr>
              <w:t>Class A Ordinary Shares included as part of</w:t>
            </w:r>
          </w:p>
        </w:tc>
        <w:tc>
          <w:tcPr>
            <w:tcW w:w="3100" w:type="dxa"/>
            <w:vAlign w:val="bottom"/>
            <w:gridSpan w:val="2"/>
          </w:tcPr>
          <w:p>
            <w:pPr>
              <w:jc w:val="center"/>
              <w:ind w:right="900"/>
              <w:spacing w:after="0" w:line="198" w:lineRule="exact"/>
              <w:rPr>
                <w:sz w:val="20"/>
                <w:szCs w:val="20"/>
                <w:color w:val="auto"/>
              </w:rPr>
            </w:pPr>
            <w:r>
              <w:rPr>
                <w:rFonts w:ascii="Times New Roman" w:cs="Times New Roman" w:eastAsia="Times New Roman" w:hAnsi="Times New Roman"/>
                <w:sz w:val="18"/>
                <w:szCs w:val="18"/>
                <w:color w:val="auto"/>
                <w:w w:val="97"/>
              </w:rPr>
              <w:t>ACTD</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rPr>
              <w:t>the units</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198"/>
        </w:trPr>
        <w:tc>
          <w:tcPr>
            <w:tcW w:w="4540" w:type="dxa"/>
            <w:vAlign w:val="bottom"/>
            <w:gridSpan w:val="3"/>
            <w:shd w:val="clear" w:color="auto" w:fill="CCEEFF"/>
          </w:tcPr>
          <w:p>
            <w:pPr>
              <w:jc w:val="center"/>
              <w:ind w:right="920"/>
              <w:spacing w:after="0" w:line="198" w:lineRule="exact"/>
              <w:rPr>
                <w:sz w:val="20"/>
                <w:szCs w:val="20"/>
                <w:color w:val="auto"/>
              </w:rPr>
            </w:pPr>
            <w:r>
              <w:rPr>
                <w:rFonts w:ascii="Times New Roman" w:cs="Times New Roman" w:eastAsia="Times New Roman" w:hAnsi="Times New Roman"/>
                <w:sz w:val="18"/>
                <w:szCs w:val="18"/>
                <w:color w:val="auto"/>
                <w:w w:val="99"/>
              </w:rPr>
              <w:t>Redeemable warrants included as part of the</w:t>
            </w:r>
          </w:p>
        </w:tc>
        <w:tc>
          <w:tcPr>
            <w:tcW w:w="3100" w:type="dxa"/>
            <w:vAlign w:val="bottom"/>
            <w:gridSpan w:val="2"/>
            <w:shd w:val="clear" w:color="auto" w:fill="CCEEFF"/>
          </w:tcPr>
          <w:p>
            <w:pPr>
              <w:jc w:val="center"/>
              <w:ind w:right="920"/>
              <w:spacing w:after="0" w:line="198" w:lineRule="exact"/>
              <w:rPr>
                <w:sz w:val="20"/>
                <w:szCs w:val="20"/>
                <w:color w:val="auto"/>
              </w:rPr>
            </w:pPr>
            <w:r>
              <w:rPr>
                <w:rFonts w:ascii="Times New Roman" w:cs="Times New Roman" w:eastAsia="Times New Roman" w:hAnsi="Times New Roman"/>
                <w:sz w:val="18"/>
                <w:szCs w:val="18"/>
                <w:color w:val="auto"/>
                <w:w w:val="99"/>
              </w:rPr>
              <w:t>ACTDW</w:t>
            </w:r>
          </w:p>
        </w:tc>
        <w:tc>
          <w:tcPr>
            <w:tcW w:w="3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40" w:type="dxa"/>
            <w:vAlign w:val="bottom"/>
            <w:gridSpan w:val="3"/>
            <w:shd w:val="clear" w:color="auto" w:fill="CCEEFF"/>
          </w:tcPr>
          <w:p>
            <w:pPr>
              <w:jc w:val="center"/>
              <w:ind w:right="920"/>
              <w:spacing w:after="0"/>
              <w:rPr>
                <w:sz w:val="20"/>
                <w:szCs w:val="20"/>
                <w:color w:val="auto"/>
              </w:rPr>
            </w:pPr>
            <w:r>
              <w:rPr>
                <w:rFonts w:ascii="Times New Roman" w:cs="Times New Roman" w:eastAsia="Times New Roman" w:hAnsi="Times New Roman"/>
                <w:sz w:val="18"/>
                <w:szCs w:val="18"/>
                <w:color w:val="auto"/>
                <w:w w:val="99"/>
              </w:rPr>
              <w:t>units, each whole warrant exercisable for one</w:t>
            </w: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16"/>
        </w:trPr>
        <w:tc>
          <w:tcPr>
            <w:tcW w:w="4540" w:type="dxa"/>
            <w:vAlign w:val="bottom"/>
            <w:gridSpan w:val="3"/>
            <w:shd w:val="clear" w:color="auto" w:fill="CCEEFF"/>
          </w:tcPr>
          <w:p>
            <w:pPr>
              <w:jc w:val="center"/>
              <w:ind w:right="920"/>
              <w:spacing w:after="0"/>
              <w:rPr>
                <w:sz w:val="20"/>
                <w:szCs w:val="20"/>
                <w:color w:val="auto"/>
              </w:rPr>
            </w:pPr>
            <w:r>
              <w:rPr>
                <w:rFonts w:ascii="Times New Roman" w:cs="Times New Roman" w:eastAsia="Times New Roman" w:hAnsi="Times New Roman"/>
                <w:sz w:val="18"/>
                <w:szCs w:val="18"/>
                <w:color w:val="auto"/>
              </w:rPr>
              <w:t>Class A Ordinary Share at an exercise price of</w:t>
            </w: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511175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914"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July 15, 2022, ArcLight Clean Transition Corp. II (“</w:t>
      </w:r>
      <w:r>
        <w:rPr>
          <w:rFonts w:ascii="Times New Roman" w:cs="Times New Roman" w:eastAsia="Times New Roman" w:hAnsi="Times New Roman"/>
          <w:sz w:val="18"/>
          <w:szCs w:val="18"/>
          <w:b w:val="1"/>
          <w:bCs w:val="1"/>
          <w:color w:val="auto"/>
        </w:rPr>
        <w:t>ArcLight</w:t>
      </w:r>
      <w:r>
        <w:rPr>
          <w:rFonts w:ascii="Times New Roman" w:cs="Times New Roman" w:eastAsia="Times New Roman" w:hAnsi="Times New Roman"/>
          <w:sz w:val="18"/>
          <w:szCs w:val="18"/>
          <w:color w:val="auto"/>
        </w:rPr>
        <w:t>”) held an extraordinary general meeting of its shareholders (the “</w:t>
      </w:r>
      <w:r>
        <w:rPr>
          <w:rFonts w:ascii="Times New Roman" w:cs="Times New Roman" w:eastAsia="Times New Roman" w:hAnsi="Times New Roman"/>
          <w:sz w:val="18"/>
          <w:szCs w:val="18"/>
          <w:b w:val="1"/>
          <w:bCs w:val="1"/>
          <w:color w:val="auto"/>
        </w:rPr>
        <w:t>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at which holders of 29,019,058 ordinary shares (consisting of 21,239,982 Class A ordinary shares and 7,779,076 Class B ordinary shares)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 in person or by proxy, representing 74.61% of the voting power of ArcLight’s ordinary shares as of the date of the Special Meeting, and constituting a quorum for the transaction of business. The proposals listed below are described in more detail in the definitive proxy statement/prospectus of ArcLight which was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June 27, 2022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A summary of the voting results at the Special Meeting is set forth below:</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shareholders approved the Business Combination Proposal, the Domestication Proposal, the Organizational Documents Proposals, the Advisory Charter Proposals, the Nasdaq Proposal and the Equity Incentive Plan Proposal (each as defined in the Proxy Statement).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voting results for each proposal were as follows:</w:t>
            </w:r>
          </w:p>
        </w:tc>
        <w:tc>
          <w:tcPr>
            <w:tcW w:w="2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91"/>
        </w:trPr>
        <w:tc>
          <w:tcPr>
            <w:tcW w:w="660" w:type="dxa"/>
            <w:vAlign w:val="bottom"/>
          </w:tcPr>
          <w:p>
            <w:pPr>
              <w:spacing w:after="0"/>
              <w:rPr>
                <w:sz w:val="24"/>
                <w:szCs w:val="24"/>
                <w:color w:val="auto"/>
              </w:rPr>
            </w:pPr>
          </w:p>
        </w:tc>
        <w:tc>
          <w:tcPr>
            <w:tcW w:w="4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Business Combination Proposal:</w:t>
            </w: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73"/>
        </w:trPr>
        <w:tc>
          <w:tcPr>
            <w:tcW w:w="660" w:type="dxa"/>
            <w:vAlign w:val="bottom"/>
          </w:tcPr>
          <w:p>
            <w:pPr>
              <w:spacing w:after="0"/>
              <w:rPr>
                <w:sz w:val="24"/>
                <w:szCs w:val="24"/>
                <w:color w:val="auto"/>
              </w:rPr>
            </w:pPr>
          </w:p>
        </w:tc>
        <w:tc>
          <w:tcPr>
            <w:tcW w:w="2620" w:type="dxa"/>
            <w:vAlign w:val="bottom"/>
            <w:tcBorders>
              <w:top w:val="single" w:sz="8" w:color="auto"/>
            </w:tcBorders>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00" w:type="dxa"/>
            <w:vAlign w:val="bottom"/>
            <w:gridSpan w:val="3"/>
          </w:tcPr>
          <w:p>
            <w:pPr>
              <w:spacing w:after="0"/>
              <w:rPr>
                <w:sz w:val="24"/>
                <w:szCs w:val="24"/>
                <w:color w:val="auto"/>
              </w:rPr>
            </w:pPr>
          </w:p>
        </w:tc>
        <w:tc>
          <w:tcPr>
            <w:tcW w:w="276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6"/>
        </w:trPr>
        <w:tc>
          <w:tcPr>
            <w:tcW w:w="2700" w:type="dxa"/>
            <w:vAlign w:val="bottom"/>
            <w:tcBorders>
              <w:top w:val="single" w:sz="8" w:color="auto"/>
            </w:tcBorders>
            <w:gridSpan w:val="2"/>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27,257,394</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center"/>
              <w:ind w:right="950"/>
              <w:spacing w:after="0"/>
              <w:rPr>
                <w:sz w:val="20"/>
                <w:szCs w:val="20"/>
                <w:color w:val="auto"/>
              </w:rPr>
            </w:pPr>
            <w:r>
              <w:rPr>
                <w:rFonts w:ascii="Times New Roman" w:cs="Times New Roman" w:eastAsia="Times New Roman" w:hAnsi="Times New Roman"/>
                <w:sz w:val="18"/>
                <w:szCs w:val="18"/>
                <w:color w:val="auto"/>
                <w:w w:val="99"/>
              </w:rPr>
              <w:t>1,761,614</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392"/>
        </w:trPr>
        <w:tc>
          <w:tcPr>
            <w:tcW w:w="660" w:type="dxa"/>
            <w:vAlign w:val="bottom"/>
          </w:tcPr>
          <w:p>
            <w:pPr>
              <w:spacing w:after="0"/>
              <w:rPr>
                <w:sz w:val="24"/>
                <w:szCs w:val="24"/>
                <w:color w:val="auto"/>
              </w:rPr>
            </w:pPr>
          </w:p>
        </w:tc>
        <w:tc>
          <w:tcPr>
            <w:tcW w:w="4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Domestication Proposal:</w:t>
            </w: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73"/>
        </w:trPr>
        <w:tc>
          <w:tcPr>
            <w:tcW w:w="660" w:type="dxa"/>
            <w:vAlign w:val="bottom"/>
          </w:tcPr>
          <w:p>
            <w:pPr>
              <w:spacing w:after="0"/>
              <w:rPr>
                <w:sz w:val="24"/>
                <w:szCs w:val="24"/>
                <w:color w:val="auto"/>
              </w:rPr>
            </w:pPr>
          </w:p>
        </w:tc>
        <w:tc>
          <w:tcPr>
            <w:tcW w:w="2040" w:type="dxa"/>
            <w:vAlign w:val="bottom"/>
            <w:tcBorders>
              <w:top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80" w:type="dxa"/>
            <w:vAlign w:val="bottom"/>
            <w:gridSpan w:val="8"/>
          </w:tcPr>
          <w:p>
            <w:pPr>
              <w:spacing w:after="0"/>
              <w:rPr>
                <w:sz w:val="24"/>
                <w:szCs w:val="24"/>
                <w:color w:val="auto"/>
              </w:rPr>
            </w:pPr>
          </w:p>
        </w:tc>
        <w:tc>
          <w:tcPr>
            <w:tcW w:w="276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6"/>
        </w:trPr>
        <w:tc>
          <w:tcPr>
            <w:tcW w:w="2700" w:type="dxa"/>
            <w:vAlign w:val="bottom"/>
            <w:tcBorders>
              <w:top w:val="single" w:sz="8" w:color="auto"/>
            </w:tcBorders>
            <w:gridSpan w:val="2"/>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27,689,021</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center"/>
              <w:ind w:right="950"/>
              <w:spacing w:after="0"/>
              <w:rPr>
                <w:sz w:val="20"/>
                <w:szCs w:val="20"/>
                <w:color w:val="auto"/>
              </w:rPr>
            </w:pPr>
            <w:r>
              <w:rPr>
                <w:rFonts w:ascii="Times New Roman" w:cs="Times New Roman" w:eastAsia="Times New Roman" w:hAnsi="Times New Roman"/>
                <w:sz w:val="18"/>
                <w:szCs w:val="18"/>
                <w:color w:val="auto"/>
                <w:w w:val="99"/>
              </w:rPr>
              <w:t>1,329,707</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330</w:t>
            </w:r>
          </w:p>
        </w:tc>
      </w:tr>
      <w:tr>
        <w:trPr>
          <w:trHeight w:val="391"/>
        </w:trPr>
        <w:tc>
          <w:tcPr>
            <w:tcW w:w="660" w:type="dxa"/>
            <w:vAlign w:val="bottom"/>
          </w:tcPr>
          <w:p>
            <w:pPr>
              <w:spacing w:after="0"/>
              <w:rPr>
                <w:sz w:val="24"/>
                <w:szCs w:val="24"/>
                <w:color w:val="auto"/>
              </w:rPr>
            </w:pPr>
          </w:p>
        </w:tc>
        <w:tc>
          <w:tcPr>
            <w:tcW w:w="4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Organizational Documents Proposal:</w:t>
            </w: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73"/>
        </w:trPr>
        <w:tc>
          <w:tcPr>
            <w:tcW w:w="660" w:type="dxa"/>
            <w:vAlign w:val="bottom"/>
          </w:tcPr>
          <w:p>
            <w:pPr>
              <w:spacing w:after="0"/>
              <w:rPr>
                <w:sz w:val="24"/>
                <w:szCs w:val="24"/>
                <w:color w:val="auto"/>
              </w:rPr>
            </w:pPr>
          </w:p>
        </w:tc>
        <w:tc>
          <w:tcPr>
            <w:tcW w:w="2600" w:type="dxa"/>
            <w:vAlign w:val="bottom"/>
            <w:tcBorders>
              <w:top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20" w:type="dxa"/>
            <w:vAlign w:val="bottom"/>
            <w:gridSpan w:val="4"/>
          </w:tcPr>
          <w:p>
            <w:pPr>
              <w:spacing w:after="0"/>
              <w:rPr>
                <w:sz w:val="24"/>
                <w:szCs w:val="24"/>
                <w:color w:val="auto"/>
              </w:rPr>
            </w:pPr>
          </w:p>
        </w:tc>
        <w:tc>
          <w:tcPr>
            <w:tcW w:w="276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6"/>
        </w:trPr>
        <w:tc>
          <w:tcPr>
            <w:tcW w:w="2700" w:type="dxa"/>
            <w:vAlign w:val="bottom"/>
            <w:tcBorders>
              <w:top w:val="single" w:sz="8" w:color="auto"/>
            </w:tcBorders>
            <w:gridSpan w:val="2"/>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27,689,022</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center"/>
              <w:ind w:right="950"/>
              <w:spacing w:after="0"/>
              <w:rPr>
                <w:sz w:val="20"/>
                <w:szCs w:val="20"/>
                <w:color w:val="auto"/>
              </w:rPr>
            </w:pPr>
            <w:r>
              <w:rPr>
                <w:rFonts w:ascii="Times New Roman" w:cs="Times New Roman" w:eastAsia="Times New Roman" w:hAnsi="Times New Roman"/>
                <w:sz w:val="18"/>
                <w:szCs w:val="18"/>
                <w:color w:val="auto"/>
                <w:w w:val="99"/>
              </w:rPr>
              <w:t>1,329,706</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330</w:t>
            </w:r>
          </w:p>
        </w:tc>
      </w:tr>
      <w:tr>
        <w:trPr>
          <w:trHeight w:val="392"/>
        </w:trPr>
        <w:tc>
          <w:tcPr>
            <w:tcW w:w="660" w:type="dxa"/>
            <w:vAlign w:val="bottom"/>
          </w:tcPr>
          <w:p>
            <w:pPr>
              <w:spacing w:after="0"/>
              <w:rPr>
                <w:sz w:val="24"/>
                <w:szCs w:val="24"/>
                <w:color w:val="auto"/>
              </w:rPr>
            </w:pPr>
          </w:p>
        </w:tc>
        <w:tc>
          <w:tcPr>
            <w:tcW w:w="4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Advisory Charter Proposal A:</w:t>
            </w: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73"/>
        </w:trPr>
        <w:tc>
          <w:tcPr>
            <w:tcW w:w="660" w:type="dxa"/>
            <w:vAlign w:val="bottom"/>
          </w:tcPr>
          <w:p>
            <w:pPr>
              <w:spacing w:after="0"/>
              <w:rPr>
                <w:sz w:val="24"/>
                <w:szCs w:val="24"/>
                <w:color w:val="auto"/>
              </w:rPr>
            </w:pPr>
          </w:p>
        </w:tc>
        <w:tc>
          <w:tcPr>
            <w:tcW w:w="2120" w:type="dxa"/>
            <w:vAlign w:val="bottom"/>
            <w:tcBorders>
              <w:top w:val="single" w:sz="8" w:color="auto"/>
            </w:tcBorders>
            <w:gridSpan w:val="4"/>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00" w:type="dxa"/>
            <w:vAlign w:val="bottom"/>
            <w:gridSpan w:val="5"/>
          </w:tcPr>
          <w:p>
            <w:pPr>
              <w:spacing w:after="0"/>
              <w:rPr>
                <w:sz w:val="24"/>
                <w:szCs w:val="24"/>
                <w:color w:val="auto"/>
              </w:rPr>
            </w:pPr>
          </w:p>
        </w:tc>
        <w:tc>
          <w:tcPr>
            <w:tcW w:w="276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6"/>
        </w:trPr>
        <w:tc>
          <w:tcPr>
            <w:tcW w:w="2700" w:type="dxa"/>
            <w:vAlign w:val="bottom"/>
            <w:tcBorders>
              <w:top w:val="single" w:sz="8" w:color="auto"/>
            </w:tcBorders>
            <w:gridSpan w:val="2"/>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21,970,748</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center"/>
              <w:ind w:right="950"/>
              <w:spacing w:after="0"/>
              <w:rPr>
                <w:sz w:val="20"/>
                <w:szCs w:val="20"/>
                <w:color w:val="auto"/>
              </w:rPr>
            </w:pPr>
            <w:r>
              <w:rPr>
                <w:rFonts w:ascii="Times New Roman" w:cs="Times New Roman" w:eastAsia="Times New Roman" w:hAnsi="Times New Roman"/>
                <w:sz w:val="18"/>
                <w:szCs w:val="18"/>
                <w:color w:val="auto"/>
                <w:w w:val="99"/>
              </w:rPr>
              <w:t>5,717,777</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1,330,533</w:t>
            </w:r>
          </w:p>
        </w:tc>
      </w:tr>
      <w:tr>
        <w:trPr>
          <w:trHeight w:val="392"/>
        </w:trPr>
        <w:tc>
          <w:tcPr>
            <w:tcW w:w="660" w:type="dxa"/>
            <w:vAlign w:val="bottom"/>
          </w:tcPr>
          <w:p>
            <w:pPr>
              <w:spacing w:after="0"/>
              <w:rPr>
                <w:sz w:val="24"/>
                <w:szCs w:val="24"/>
                <w:color w:val="auto"/>
              </w:rPr>
            </w:pPr>
          </w:p>
        </w:tc>
        <w:tc>
          <w:tcPr>
            <w:tcW w:w="4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Advisory Charter Proposal B:</w:t>
            </w: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73"/>
        </w:trPr>
        <w:tc>
          <w:tcPr>
            <w:tcW w:w="660" w:type="dxa"/>
            <w:vAlign w:val="bottom"/>
          </w:tcPr>
          <w:p>
            <w:pPr>
              <w:spacing w:after="0"/>
              <w:rPr>
                <w:sz w:val="24"/>
                <w:szCs w:val="24"/>
                <w:color w:val="auto"/>
              </w:rPr>
            </w:pPr>
          </w:p>
        </w:tc>
        <w:tc>
          <w:tcPr>
            <w:tcW w:w="2100" w:type="dxa"/>
            <w:vAlign w:val="bottom"/>
            <w:tcBorders>
              <w:top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20" w:type="dxa"/>
            <w:vAlign w:val="bottom"/>
            <w:gridSpan w:val="6"/>
          </w:tcPr>
          <w:p>
            <w:pPr>
              <w:spacing w:after="0"/>
              <w:rPr>
                <w:sz w:val="24"/>
                <w:szCs w:val="24"/>
                <w:color w:val="auto"/>
              </w:rPr>
            </w:pPr>
          </w:p>
        </w:tc>
        <w:tc>
          <w:tcPr>
            <w:tcW w:w="276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6"/>
        </w:trPr>
        <w:tc>
          <w:tcPr>
            <w:tcW w:w="2700" w:type="dxa"/>
            <w:vAlign w:val="bottom"/>
            <w:tcBorders>
              <w:top w:val="single" w:sz="8" w:color="auto"/>
            </w:tcBorders>
            <w:gridSpan w:val="2"/>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25,658,604</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center"/>
              <w:ind w:right="950"/>
              <w:spacing w:after="0"/>
              <w:rPr>
                <w:sz w:val="20"/>
                <w:szCs w:val="20"/>
                <w:color w:val="auto"/>
              </w:rPr>
            </w:pPr>
            <w:r>
              <w:rPr>
                <w:rFonts w:ascii="Times New Roman" w:cs="Times New Roman" w:eastAsia="Times New Roman" w:hAnsi="Times New Roman"/>
                <w:sz w:val="18"/>
                <w:szCs w:val="18"/>
                <w:color w:val="auto"/>
                <w:w w:val="99"/>
              </w:rPr>
              <w:t>2,029,719</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1,330,735</w:t>
            </w:r>
          </w:p>
        </w:tc>
      </w:tr>
      <w:tr>
        <w:trPr>
          <w:trHeight w:val="392"/>
        </w:trPr>
        <w:tc>
          <w:tcPr>
            <w:tcW w:w="660" w:type="dxa"/>
            <w:vAlign w:val="bottom"/>
          </w:tcPr>
          <w:p>
            <w:pPr>
              <w:spacing w:after="0"/>
              <w:rPr>
                <w:sz w:val="24"/>
                <w:szCs w:val="24"/>
                <w:color w:val="auto"/>
              </w:rPr>
            </w:pPr>
          </w:p>
        </w:tc>
        <w:tc>
          <w:tcPr>
            <w:tcW w:w="4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Advisory Charter Proposal C:</w:t>
            </w: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73"/>
        </w:trPr>
        <w:tc>
          <w:tcPr>
            <w:tcW w:w="660" w:type="dxa"/>
            <w:vAlign w:val="bottom"/>
          </w:tcPr>
          <w:p>
            <w:pPr>
              <w:spacing w:after="0"/>
              <w:rPr>
                <w:sz w:val="24"/>
                <w:szCs w:val="24"/>
                <w:color w:val="auto"/>
              </w:rPr>
            </w:pPr>
          </w:p>
        </w:tc>
        <w:tc>
          <w:tcPr>
            <w:tcW w:w="2100" w:type="dxa"/>
            <w:vAlign w:val="bottom"/>
            <w:tcBorders>
              <w:top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20" w:type="dxa"/>
            <w:vAlign w:val="bottom"/>
            <w:gridSpan w:val="6"/>
          </w:tcPr>
          <w:p>
            <w:pPr>
              <w:spacing w:after="0"/>
              <w:rPr>
                <w:sz w:val="24"/>
                <w:szCs w:val="24"/>
                <w:color w:val="auto"/>
              </w:rPr>
            </w:pPr>
          </w:p>
        </w:tc>
        <w:tc>
          <w:tcPr>
            <w:tcW w:w="276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6"/>
        </w:trPr>
        <w:tc>
          <w:tcPr>
            <w:tcW w:w="2700" w:type="dxa"/>
            <w:vAlign w:val="bottom"/>
            <w:tcBorders>
              <w:top w:val="single" w:sz="8" w:color="auto"/>
            </w:tcBorders>
            <w:gridSpan w:val="2"/>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25,421,917</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center"/>
              <w:ind w:right="950"/>
              <w:spacing w:after="0"/>
              <w:rPr>
                <w:sz w:val="20"/>
                <w:szCs w:val="20"/>
                <w:color w:val="auto"/>
              </w:rPr>
            </w:pPr>
            <w:r>
              <w:rPr>
                <w:rFonts w:ascii="Times New Roman" w:cs="Times New Roman" w:eastAsia="Times New Roman" w:hAnsi="Times New Roman"/>
                <w:sz w:val="18"/>
                <w:szCs w:val="18"/>
                <w:color w:val="auto"/>
                <w:w w:val="99"/>
              </w:rPr>
              <w:t>2,266,606</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1,330,535</w:t>
            </w:r>
          </w:p>
        </w:tc>
      </w:tr>
      <w:tr>
        <w:trPr>
          <w:trHeight w:val="392"/>
        </w:trPr>
        <w:tc>
          <w:tcPr>
            <w:tcW w:w="660" w:type="dxa"/>
            <w:vAlign w:val="bottom"/>
          </w:tcPr>
          <w:p>
            <w:pPr>
              <w:spacing w:after="0"/>
              <w:rPr>
                <w:sz w:val="24"/>
                <w:szCs w:val="24"/>
                <w:color w:val="auto"/>
              </w:rPr>
            </w:pPr>
          </w:p>
        </w:tc>
        <w:tc>
          <w:tcPr>
            <w:tcW w:w="4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Advisory Charter Proposal D:</w:t>
            </w: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73"/>
        </w:trPr>
        <w:tc>
          <w:tcPr>
            <w:tcW w:w="660" w:type="dxa"/>
            <w:vAlign w:val="bottom"/>
          </w:tcPr>
          <w:p>
            <w:pPr>
              <w:spacing w:after="0"/>
              <w:rPr>
                <w:sz w:val="24"/>
                <w:szCs w:val="24"/>
                <w:color w:val="auto"/>
              </w:rPr>
            </w:pPr>
          </w:p>
        </w:tc>
        <w:tc>
          <w:tcPr>
            <w:tcW w:w="2120" w:type="dxa"/>
            <w:vAlign w:val="bottom"/>
            <w:tcBorders>
              <w:top w:val="single" w:sz="8" w:color="auto"/>
            </w:tcBorders>
            <w:gridSpan w:val="4"/>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00" w:type="dxa"/>
            <w:vAlign w:val="bottom"/>
            <w:gridSpan w:val="5"/>
          </w:tcPr>
          <w:p>
            <w:pPr>
              <w:spacing w:after="0"/>
              <w:rPr>
                <w:sz w:val="24"/>
                <w:szCs w:val="24"/>
                <w:color w:val="auto"/>
              </w:rPr>
            </w:pPr>
          </w:p>
        </w:tc>
        <w:tc>
          <w:tcPr>
            <w:tcW w:w="276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6"/>
        </w:trPr>
        <w:tc>
          <w:tcPr>
            <w:tcW w:w="2700" w:type="dxa"/>
            <w:vAlign w:val="bottom"/>
            <w:tcBorders>
              <w:top w:val="single" w:sz="8" w:color="auto"/>
            </w:tcBorders>
            <w:gridSpan w:val="2"/>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22,207,633</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center"/>
              <w:ind w:right="950"/>
              <w:spacing w:after="0"/>
              <w:rPr>
                <w:sz w:val="20"/>
                <w:szCs w:val="20"/>
                <w:color w:val="auto"/>
              </w:rPr>
            </w:pPr>
            <w:r>
              <w:rPr>
                <w:rFonts w:ascii="Times New Roman" w:cs="Times New Roman" w:eastAsia="Times New Roman" w:hAnsi="Times New Roman"/>
                <w:sz w:val="18"/>
                <w:szCs w:val="18"/>
                <w:color w:val="auto"/>
                <w:w w:val="99"/>
              </w:rPr>
              <w:t>5,480,880</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1,330,545</w:t>
            </w:r>
          </w:p>
        </w:tc>
      </w:tr>
      <w:tr>
        <w:trPr>
          <w:trHeight w:val="392"/>
        </w:trPr>
        <w:tc>
          <w:tcPr>
            <w:tcW w:w="660" w:type="dxa"/>
            <w:vAlign w:val="bottom"/>
          </w:tcPr>
          <w:p>
            <w:pPr>
              <w:spacing w:after="0"/>
              <w:rPr>
                <w:sz w:val="24"/>
                <w:szCs w:val="24"/>
                <w:color w:val="auto"/>
              </w:rPr>
            </w:pPr>
          </w:p>
        </w:tc>
        <w:tc>
          <w:tcPr>
            <w:tcW w:w="4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Advisory Charter Proposal E:</w:t>
            </w: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73"/>
        </w:trPr>
        <w:tc>
          <w:tcPr>
            <w:tcW w:w="660" w:type="dxa"/>
            <w:vAlign w:val="bottom"/>
          </w:tcPr>
          <w:p>
            <w:pPr>
              <w:spacing w:after="0"/>
              <w:rPr>
                <w:sz w:val="24"/>
                <w:szCs w:val="24"/>
                <w:color w:val="auto"/>
              </w:rPr>
            </w:pPr>
          </w:p>
        </w:tc>
        <w:tc>
          <w:tcPr>
            <w:tcW w:w="2080" w:type="dxa"/>
            <w:vAlign w:val="bottom"/>
            <w:tcBorders>
              <w:top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40" w:type="dxa"/>
            <w:vAlign w:val="bottom"/>
            <w:gridSpan w:val="7"/>
          </w:tcPr>
          <w:p>
            <w:pPr>
              <w:spacing w:after="0"/>
              <w:rPr>
                <w:sz w:val="24"/>
                <w:szCs w:val="24"/>
                <w:color w:val="auto"/>
              </w:rPr>
            </w:pPr>
          </w:p>
        </w:tc>
        <w:tc>
          <w:tcPr>
            <w:tcW w:w="276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6"/>
        </w:trPr>
        <w:tc>
          <w:tcPr>
            <w:tcW w:w="2700" w:type="dxa"/>
            <w:vAlign w:val="bottom"/>
            <w:tcBorders>
              <w:top w:val="single" w:sz="8" w:color="auto"/>
            </w:tcBorders>
            <w:gridSpan w:val="2"/>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21,970,416</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center"/>
              <w:ind w:right="950"/>
              <w:spacing w:after="0"/>
              <w:rPr>
                <w:sz w:val="20"/>
                <w:szCs w:val="20"/>
                <w:color w:val="auto"/>
              </w:rPr>
            </w:pPr>
            <w:r>
              <w:rPr>
                <w:rFonts w:ascii="Times New Roman" w:cs="Times New Roman" w:eastAsia="Times New Roman" w:hAnsi="Times New Roman"/>
                <w:sz w:val="18"/>
                <w:szCs w:val="18"/>
                <w:color w:val="auto"/>
                <w:w w:val="99"/>
              </w:rPr>
              <w:t>5,718,107</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1,330,535</w:t>
            </w:r>
          </w:p>
        </w:tc>
      </w:tr>
      <w:tr>
        <w:trPr>
          <w:trHeight w:val="655"/>
        </w:trPr>
        <w:tc>
          <w:tcPr>
            <w:tcW w:w="6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center"/>
              <w:ind w:right="990"/>
              <w:spacing w:after="0"/>
              <w:rPr>
                <w:sz w:val="20"/>
                <w:szCs w:val="20"/>
                <w:color w:val="auto"/>
              </w:rPr>
            </w:pPr>
            <w:r>
              <w:rPr>
                <w:rFonts w:ascii="Times New Roman" w:cs="Times New Roman" w:eastAsia="Times New Roman" w:hAnsi="Times New Roman"/>
                <w:sz w:val="18"/>
                <w:szCs w:val="18"/>
                <w:color w:val="auto"/>
                <w:w w:val="88"/>
              </w:rPr>
              <w:t>1</w:t>
            </w: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Advisory Charter Proposal F:</w:t>
            </w:r>
          </w:p>
        </w:tc>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spacing w:after="0"/>
              <w:rPr>
                <w:sz w:val="17"/>
                <w:szCs w:val="17"/>
                <w:color w:val="auto"/>
              </w:rPr>
            </w:pPr>
          </w:p>
        </w:tc>
      </w:tr>
      <w:tr>
        <w:trPr>
          <w:trHeight w:val="473"/>
        </w:trPr>
        <w:tc>
          <w:tcPr>
            <w:tcW w:w="660" w:type="dxa"/>
            <w:vAlign w:val="bottom"/>
          </w:tcPr>
          <w:p>
            <w:pPr>
              <w:spacing w:after="0"/>
              <w:rPr>
                <w:sz w:val="24"/>
                <w:szCs w:val="24"/>
                <w:color w:val="auto"/>
              </w:rPr>
            </w:pPr>
          </w:p>
        </w:tc>
        <w:tc>
          <w:tcPr>
            <w:tcW w:w="2060" w:type="dxa"/>
            <w:vAlign w:val="bottom"/>
            <w:tcBorders>
              <w:top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120" w:type="dxa"/>
            <w:vAlign w:val="bottom"/>
            <w:gridSpan w:val="3"/>
          </w:tcPr>
          <w:p>
            <w:pPr>
              <w:spacing w:after="0"/>
              <w:rPr>
                <w:sz w:val="24"/>
                <w:szCs w:val="24"/>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6"/>
        </w:trPr>
        <w:tc>
          <w:tcPr>
            <w:tcW w:w="2720" w:type="dxa"/>
            <w:vAlign w:val="bottom"/>
            <w:tcBorders>
              <w:top w:val="single" w:sz="8" w:color="auto"/>
            </w:tcBorders>
            <w:gridSpan w:val="3"/>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25,659,006</w:t>
            </w: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2,029,709</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1,330,343</w:t>
            </w:r>
          </w:p>
        </w:tc>
      </w:tr>
      <w:tr>
        <w:trPr>
          <w:trHeight w:val="392"/>
        </w:trPr>
        <w:tc>
          <w:tcPr>
            <w:tcW w:w="660" w:type="dxa"/>
            <w:vAlign w:val="bottom"/>
          </w:tcPr>
          <w:p>
            <w:pPr>
              <w:spacing w:after="0"/>
              <w:rPr>
                <w:sz w:val="24"/>
                <w:szCs w:val="24"/>
                <w:color w:val="auto"/>
              </w:rPr>
            </w:pPr>
          </w:p>
        </w:tc>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Nasdaq Proposal:</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73"/>
        </w:trPr>
        <w:tc>
          <w:tcPr>
            <w:tcW w:w="660" w:type="dxa"/>
            <w:vAlign w:val="bottom"/>
          </w:tcPr>
          <w:p>
            <w:pPr>
              <w:spacing w:after="0"/>
              <w:rPr>
                <w:sz w:val="24"/>
                <w:szCs w:val="24"/>
                <w:color w:val="auto"/>
              </w:rPr>
            </w:pPr>
          </w:p>
        </w:tc>
        <w:tc>
          <w:tcPr>
            <w:tcW w:w="1540" w:type="dxa"/>
            <w:vAlign w:val="bottom"/>
            <w:tcBorders>
              <w:top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40" w:type="dxa"/>
            <w:vAlign w:val="bottom"/>
            <w:gridSpan w:val="4"/>
          </w:tcPr>
          <w:p>
            <w:pPr>
              <w:spacing w:after="0"/>
              <w:rPr>
                <w:sz w:val="24"/>
                <w:szCs w:val="24"/>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6"/>
        </w:trPr>
        <w:tc>
          <w:tcPr>
            <w:tcW w:w="2720" w:type="dxa"/>
            <w:vAlign w:val="bottom"/>
            <w:tcBorders>
              <w:top w:val="single" w:sz="8" w:color="auto"/>
            </w:tcBorders>
            <w:gridSpan w:val="3"/>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26,339,017</w:t>
            </w: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2,679,711</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330</w:t>
            </w:r>
          </w:p>
        </w:tc>
      </w:tr>
      <w:tr>
        <w:trPr>
          <w:trHeight w:val="392"/>
        </w:trPr>
        <w:tc>
          <w:tcPr>
            <w:tcW w:w="660" w:type="dxa"/>
            <w:vAlign w:val="bottom"/>
          </w:tcPr>
          <w:p>
            <w:pPr>
              <w:spacing w:after="0"/>
              <w:rPr>
                <w:sz w:val="24"/>
                <w:szCs w:val="24"/>
                <w:color w:val="auto"/>
              </w:rPr>
            </w:pPr>
          </w:p>
        </w:tc>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Equity Incentive Plan Proposal:</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73"/>
        </w:trPr>
        <w:tc>
          <w:tcPr>
            <w:tcW w:w="660" w:type="dxa"/>
            <w:vAlign w:val="bottom"/>
          </w:tcPr>
          <w:p>
            <w:pPr>
              <w:spacing w:after="0"/>
              <w:rPr>
                <w:sz w:val="24"/>
                <w:szCs w:val="24"/>
                <w:color w:val="auto"/>
              </w:rPr>
            </w:pPr>
          </w:p>
        </w:tc>
        <w:tc>
          <w:tcPr>
            <w:tcW w:w="2560" w:type="dxa"/>
            <w:vAlign w:val="bottom"/>
            <w:tcBorders>
              <w:top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620" w:type="dxa"/>
            <w:vAlign w:val="bottom"/>
            <w:gridSpan w:val="2"/>
          </w:tcPr>
          <w:p>
            <w:pPr>
              <w:spacing w:after="0"/>
              <w:rPr>
                <w:sz w:val="24"/>
                <w:szCs w:val="24"/>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6"/>
        </w:trPr>
        <w:tc>
          <w:tcPr>
            <w:tcW w:w="2720" w:type="dxa"/>
            <w:vAlign w:val="bottom"/>
            <w:tcBorders>
              <w:top w:val="single" w:sz="8" w:color="auto"/>
            </w:tcBorders>
            <w:gridSpan w:val="3"/>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21,870,447</w:t>
            </w: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7,148,081</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530</w:t>
            </w:r>
          </w:p>
        </w:tc>
      </w:tr>
    </w:tbl>
    <w:p>
      <w:pPr>
        <w:spacing w:after="0" w:line="200" w:lineRule="exact"/>
        <w:rPr>
          <w:sz w:val="20"/>
          <w:szCs w:val="20"/>
          <w:color w:val="auto"/>
        </w:rPr>
      </w:pPr>
    </w:p>
    <w:p>
      <w:pPr>
        <w:spacing w:after="0" w:line="2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there were sufficient votes to approve the above proposal, the “Adjournment Proposal” described in the Proxy Statement was not presented to shareholders.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on the results of the Special Meeting, and subject to the satisfaction or waiver of certain other closing conditions as described in the Proxy Statement, the transactions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xml:space="preserve">”) contemplated by that certain Business Combination Agreement, dated as of December 2, 2021, by and among ArcLight, OPAL Fuels LLC, a Delaware limited liability company </w:t>
      </w:r>
      <w:r>
        <w:rPr>
          <w:rFonts w:ascii="Times New Roman" w:cs="Times New Roman" w:eastAsia="Times New Roman" w:hAnsi="Times New Roman"/>
          <w:sz w:val="18"/>
          <w:szCs w:val="18"/>
          <w:b w:val="1"/>
          <w:bCs w:val="1"/>
          <w:color w:val="auto"/>
        </w:rPr>
        <w:t>(“OPAL Fuels</w:t>
      </w:r>
      <w:r>
        <w:rPr>
          <w:rFonts w:ascii="Times New Roman" w:cs="Times New Roman" w:eastAsia="Times New Roman" w:hAnsi="Times New Roman"/>
          <w:sz w:val="18"/>
          <w:szCs w:val="18"/>
          <w:color w:val="auto"/>
        </w:rPr>
        <w:t>”) and OPAL HoldCo LLC, a Delaware limited liability company, including the Domestication and the Business Combination (as such terms are defined in the Proxy Statement), are expected to be consummated upon satisfaction of all closing conditions. Following the consummation of the Transactions, the common stock and warrants of New OPAL (as such term is defined in the Proxy Statement) are expected to begin trading on the Nasdaq Capital Market under the symbols “OPAL” and “OPALW,”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ArcLight has filed with the SEC a Registration Statement on Form S-4 (as amended, the “Registration Statement”), which includes the related proxy statement/prospectus of ArcLight with respect to the shareholders’ meeting (the “Proxy Statement”). The Registration Statement was declared effective by the SEC on June 27, 2022. This document does not contain all the information that should be considered concerning the Business Combination and is not intended to form the basis of any investment decision or any other decision in respect of the Business Combination.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AND SECURITY HOLDERS AND OTHER INTERESTED PARTIES ARE URGED TO READ THE PROXY STATEMENT AND ANY OTHER RELEVANT DOCUMENTS THAT HAVE BEEN FILED OR WILL BE FILED WITH THE SEC, AS WELL AS ANY AMENDMENTS OR SUPPLEMENTS TO THESE DOCUMENTS, CAREFULLY AND IN THEIR ENTIRETY BECAUSE THEY CONTAIN IMPORTANT INFORMATION ABOUT ARCLIGHT, OPAL FUELS, THE BUSINESS COMBINATION AND RELATED MATTERS.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will also be able to obtain copies of the Registration Statement, without charge, at the SEC’s website at www.sec.gov. In addition, the documents filed by ArcLight may be obtained free of charge from ArcLight at https://www.arclightclean.com or by directing a request to: ArcLight Clean Transition Corp. II, 200 Clarendon Street, 55th Floor, Boston, MA 02116.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Forward-looking statements are statements that are not historical facts and generally relate to future events or ArcLight’s or OPAL Fuels’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 management, and OPAL Fuels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Statement Regarding Forward-Looking Statements” in the Registration Statement and other filings with the SEC, as well as (1) factors associated with companies, such as OPAL Fuels, that are engaged in the production and integration of renewable natural gas (RNG), including anticipated trends, growth rates, and challenges in those businesses and in the markets in which they operate; (2) macroeconomic conditions related to the global COVID-19 pandemic; (3) the effects of increased competition; (4) contractual arrangements with, and the cooperation of, landfill and livestock waste site owners and operators, on which OPAL Fuels operates its landfill gas and livestock waste projects that generate electricity and RNG prices for environmental attributes, low carbon fuel standard credits and other incentives; (5) the ability to identify, acquire, develop and operate renewable projects and RNG fueling stations; (6) delays in obtaining, adverse conditions contained in, or the inability to obtain necessary regulatory approvals or complete regulatory reviews required to complete the proposed transaction; (7) the outcome of any legal proceedings that may be instituted in connection with the proposed transaction; and (8) the ability of the combined company that results from the proposed transaction to issue equity or equity-linked securities or obtain debt financing in connection with the transaction or in the future.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Both ArcLight and OPAL Fuels expressly disclaim any obligations or undertaking to release publicly any updates or revisions to any forward-looking statements contained herein to reflect any change in ArcLight’s or OPAL Fuels’ expectations with respect thereto or any change in events, conditions or circumstances on which any statement is based.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July 18, 2022, ArcLight issued a press release announcing the results of the Special Meeting. A copy of the press release is attached as Exhibit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July 18, 2022.</w:t>
      </w:r>
    </w:p>
    <w:p>
      <w:pPr>
        <w:spacing w:after="0" w:line="27" w:lineRule="exact"/>
        <w:rPr>
          <w:sz w:val="20"/>
          <w:szCs w:val="20"/>
          <w:color w:val="auto"/>
        </w:rPr>
      </w:pPr>
    </w:p>
    <w:p>
      <w:pPr>
        <w:ind w:left="5580" w:right="4320" w:hanging="5572"/>
        <w:spacing w:after="0" w:line="793"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18, 2022</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F. Erhard</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John F. Erhard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164465</wp:posOffset>
            </wp:positionV>
            <wp:extent cx="173990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39900" cy="44577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164465</wp:posOffset>
            </wp:positionV>
            <wp:extent cx="1671955" cy="685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7195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 Shareholders Approve Previously Announced Business Combination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OPAL Fuels LLC</w:t>
      </w:r>
    </w:p>
    <w:p>
      <w:pPr>
        <w:spacing w:after="0" w:line="207"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of ArcLight Clean Transition Corp. II (“ArcLight”) have approved the previously announced business combination (the “Business Combination”) at the Special Meeting held on July 15.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is anticipated to close upon satisfaction of all closing conditions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BOSTON &amp; WHITE PLAINS, N.Y. – (July 18, 2022) – ArcLight (Nasdaq: ACTD) announced today that shareholders approved the previously proposed business combination with OPAL Fuels LLC (“OPAL Fuels”), a vertically integrated producer and distributor of renewable natural gas (“RNG”).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formal results of the vote will be included in a Current Report on Form 8-K to be filed by ArcLight with the U.S. Securities and Exchange Commission (the “SEC”).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combination is expected to close upon satisfaction of all closing conditions. The combined entity will be renamed OPAL Fuels Inc. and its Class A ordinary shares will trade on the Nasdaq under the ticker symbol “OPAL” and its warrants will trade on the Nasdaq under the ticker symbol “OPALW”.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OPAL Fuels LLC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OPAL Fuels LLC is a leading vertically integrated renewable fuels platform involved in the production and distribution of renewable natural gas (RNG) for the heavy-duty truck market. RNG is a proven low-carbon fuel that is rapidly decarbonizing the transportation industry now while also significantly reducing costs for fleet owners. OPAL Fuels captures harmful methane emissions at the source and recycles the trapped energy into a commercially viable, lower-cost alternative to diesel fuel. OPAL Fuels also develops, constructs, and services RNG and hydrogen fueling stations. As a producer and distributor of carbon-reducing fuel for heavy-duty truck fleets for more than a decade, the company delivers best-in-class, complete renewable solutions to customers and production partners. To learn more about OPAL Fuels and how it is leading the effort to capture North America’s harmful methane emissions and decarbonize the transportation industry, please visit www.opalfuels.com and follow the company on LinkedIn and Twitter at @OPALFuels.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ArcLight Clean Transition Corp. II</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ArcLight, led by Chairman Daniel Revers and President and Chief Executive Officer Jake Erhard, is a special purpose acquisition company formed for the purpose of effecting a capital stock exchange, asset acquisition, share purchase, reorganization, or similar business combination with one or more businesses focused on opportunities created by the accelerating transition toward sustainable use of energy and natural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ArcLight has filed with the SEC a Registration Statement on Form S-4 (as amended, the “Registration Statement”), which includes the related proxy statement/prospectus of ArcLight with respect to the shareholders’ meeting (the “Proxy Statement”). The Registration Statement was declared effective by the SEC on June 27, 2022. This document does not contain all the information that should be considered concerning the Business Combination and is not intended to form the basis of any investment decision or any other decision in respect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t>INVESTORS AND SECURITY HOLDERS AND OTHER INTERESTED PARTIES ARE URGED TO READ THE PROXY STATEMENT AND ANY OTHER RELEVANT DOCUMENTS THAT HAVE BEEN FILED OR WILL BE FILED WITH THE SEC, AS WELL AS ANY AMENDMENTS OR SUPPLEMENTS TO THESE DOCUMENTS, CAREFULLY AND IN THEIR ENTIRETY BECAUSE THEY CONTAIN IMPORTANT INFORMATION ABOUT ARCLIGHT, OPAL FUELS, THE BUSINESS COMBINATION AND RELATED MATTERS.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will also be able to obtain copies of the Registration Statement, without charge, at the SEC’s website at www.sec.gov. In addition, the documents filed by ArcLight may be obtained free of charge from ArcLight at https://www.arclightclean.com or by directing a request to: ArcLight Clean Transition Corp. II, 200 Clarendon Street, 55th Floor, Boston, MA 02116.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Forward-looking statements are statements that are not historical facts and generally relate to future events or ArcLight’s or OPAL Fuels’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 management, and OPAL Fuels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Statement Regarding Forward-Looking Statements” in the Registration Statement and other filings with the SEC, as well as (1) factors associated with companies, such as OPAL Fuels, that are engaged in the production and integration of renewable natural gas (RNG), including anticipated trends, growth rates, and challenges in those businesses and in the markets in which they operate; (2) macroeconomic conditions related to the global COVID-19 pandemic; (3) the effects of increased competition; (4) contractual arrangements with, and the cooperation of, landfill and livestock waste site owners and operators, on which OPAL Fuels operates its landfill gas and livestock waste projects that generate electricity and RNG prices for environmental attributes, low carbon fuel standard credits and other incentives; (5) the ability to identify, acquire, develop and operate renewable projects and RNG fueling stations; (6) delays in obtaining, adverse conditions contained in, or the inability to obtain necessary regulatory approvals or complete regulatory reviews required to complete the proposed transaction; (7) the outcome of any legal proceedings that may be instituted in connection with the proposed transaction; and (8) the ability of the combined company that results from the proposed transaction to issue equity or equity-linked securities or obtain debt financing in connection with the transaction or in the future.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Both ArcLight and OPAL Fuels expressly disclaim any obligations or undertaking to release publicly any updates or revisions to any forward-looking statements contained herein to reflect any change in ArcLight’s or OPAL Fuels’ expectations with respect thereto or any change in events, conditions or circumstances on which any statement is based.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OPAL Fuels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Stewart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Public Relations and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914-421-5336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jstewart@opalfuels.com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OPALFuelsPR@icrinc.com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OPALFuelsIR@icrinc.com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ArcLight Clean Transition Corp.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Marco Gatti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617-531-6300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investor.relations@arclightclean.com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88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2022-07-18T06:36:52Z</dcterms:created>
  <dcterms:modified xsi:type="dcterms:W3CDTF">2022-07-18T06:36:52Z</dcterms:modified>
</cp:coreProperties>
</file>