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59438315.xml.htm"/>
      <w:bookmarkStart w:id="1" w:name="kswkform4_175943831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Moll Lance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8285 TOURNAMENT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MEMPHIS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38125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OPAL Fuels Inc.</w:t>
              </w:r>
            </w:hyperlink>
            <w:r>
              <w:rPr/>
              <w:t xml:space="preserve"> [ </w:t>
            </w:r>
            <w:r>
              <w:rPr>
                <w:rFonts w:ascii="Times;serif" w:hAnsi="Times;serif"/>
                <w:color w:val="0000FF"/>
                <w:sz w:val="24"/>
                <w:shd w:fill="FFFFFF" w:val="clear"/>
              </w:rPr>
              <w:t>OPAL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4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46"/>
        <w:gridCol w:w="801"/>
        <w:gridCol w:w="801"/>
        <w:gridCol w:w="936"/>
        <w:gridCol w:w="831"/>
        <w:gridCol w:w="846"/>
      </w:tblGrid>
      <w:tr>
        <w:trPr>
          <w:tblHeader w:val="true"/>
        </w:trPr>
        <w:tc>
          <w:tcPr>
            <w:tcW w:w="121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4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26,680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26,680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26,680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October 1, 2025, the Reporting Person was granted 26,482 RSUs pursuant to the terms of the Issuer's 2022 Omnibus Equity Incentive Plan. The RSUs are scheduled to vest on September 30, 2026, provided that the Reporting Person continues to provide services to the Issuer through the applicable vesting date. Each restricted stock unit represents the right to receive, at settlement, one share of Class A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Coghlin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47544" TargetMode="External"/><Relationship Id="rId5" Type="http://schemas.openxmlformats.org/officeDocument/2006/relationships/hyperlink" Target="http://www.sec.gov/cgi-bin/browse-edgar?action=getcompany&amp;CIK=00018422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635</Words>
  <Characters>3418</Characters>
  <CharactersWithSpaces>3991</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