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August 10, 2026 </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OPAL Fuels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001-40272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80-0990453</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North Lexington Avenue</w:t>
            </w:r>
            <w:r>
              <w:rPr>
                <w:rFonts w:ascii="Helvetica;sans-serif" w:hAnsi="Helvetica;sans-serif"/>
                <w:b/>
                <w:color w:val="000000"/>
                <w:sz w:val="20"/>
              </w:rPr>
              <w:t>,</w:t>
            </w:r>
            <w:r>
              <w:rPr>
                <w:color w:val="3051F2"/>
              </w:rPr>
              <w:t xml:space="preserve"> </w:t>
            </w:r>
            <w:r>
              <w:rPr>
                <w:rFonts w:ascii="Times New Roman;serif" w:hAnsi="Times New Roman;serif"/>
                <w:b/>
                <w:color w:val="000000"/>
                <w:sz w:val="20"/>
              </w:rPr>
              <w:t>Suite 1450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808" w:type="dxa"/>
        <w:jc w:val="left"/>
        <w:tblInd w:w="0" w:type="dxa"/>
        <w:tblLayout w:type="fixed"/>
        <w:tblCellMar>
          <w:top w:w="28" w:type="dxa"/>
          <w:left w:w="28" w:type="dxa"/>
          <w:bottom w:w="28" w:type="dxa"/>
          <w:right w:w="28" w:type="dxa"/>
        </w:tblCellMar>
      </w:tblPr>
      <w:tblGrid>
        <w:gridCol w:w="1555"/>
        <w:gridCol w:w="1367"/>
        <w:gridCol w:w="1367"/>
        <w:gridCol w:w="565"/>
        <w:gridCol w:w="565"/>
        <w:gridCol w:w="56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erif" w:hAnsi="Times New Roman;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660"/>
        <w:jc w:val="both"/>
        <w:rPr>
          <w:rFonts w:ascii="Times New Roman;serif" w:hAnsi="Times New Roman;serif"/>
          <w:b w:val="false"/>
          <w:color w:val="000000"/>
          <w:sz w:val="20"/>
        </w:rPr>
      </w:pPr>
      <w:r>
        <w:rPr>
          <w:rFonts w:ascii="Times New Roman;serif" w:hAnsi="Times New Roman;serif"/>
          <w:b w:val="false"/>
          <w:color w:val="000000"/>
          <w:sz w:val="20"/>
        </w:rPr>
        <w:t>On August 10, 2026, OPAL Fuels Inc. (the "Company") issued a press release regarding its financial results for the quarter ended June 30, 2026. A copy of the press release is furnished as Exhibit 99.1 hereto.</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on Renewable Power, RNG development costs, and ITC proceeds, net. 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limited as an analytical tool and should not be considered in isolation from, or as a substitute for, the Company’s GAAP results. The Company expects to continue reporting non-GAAP financial measures, adjusting for the items described above (and/or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120"/>
        <w:jc w:val="left"/>
        <w:rPr/>
      </w:pPr>
      <w:r>
        <w:rPr/>
      </w:r>
    </w:p>
    <w:tbl>
      <w:tblPr>
        <w:tblW w:w="7150"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568"/>
        <w:gridCol w:w="1568"/>
        <w:gridCol w:w="2218"/>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opalfuelsq226earningsrelea.htm">
              <w:r>
                <w:rPr>
                  <w:rStyle w:val="InternetLink"/>
                  <w:rFonts w:ascii="Times New Roman;serif" w:hAnsi="Times New Roman;serif"/>
                  <w:b w:val="false"/>
                  <w:color w:val="0000FF"/>
                  <w:sz w:val="20"/>
                  <w:u w:val="single"/>
                </w:rPr>
                <w:t>Press release, issued by OPAL Fuels Inc., dated August 10, 2026.</w:t>
              </w:r>
            </w:hyperlink>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w:t>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120"/>
        <w:jc w:val="both"/>
        <w:rPr/>
      </w:pPr>
      <w:r>
        <w:rPr/>
      </w:r>
    </w:p>
    <w:p>
      <w:pPr>
        <w:pStyle w:val="TextBody"/>
        <w:bidi w:val="0"/>
        <w:spacing w:before="0" w:after="120"/>
        <w:jc w:val="left"/>
        <w:rPr/>
      </w:pPr>
      <w:r>
        <w:rPr/>
      </w:r>
    </w:p>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0"/>
        </w:rPr>
        <w:t>August 10, 2026</w:t>
      </w:r>
    </w:p>
    <w:tbl>
      <w:tblPr>
        <w:tblW w:w="2868" w:type="dxa"/>
        <w:jc w:val="right"/>
        <w:tblInd w:w="0" w:type="dxa"/>
        <w:tblLayout w:type="fixed"/>
        <w:tblCellMar>
          <w:top w:w="28" w:type="dxa"/>
          <w:left w:w="28" w:type="dxa"/>
          <w:bottom w:w="28" w:type="dxa"/>
          <w:right w:w="28" w:type="dxa"/>
        </w:tblCellMar>
      </w:tblPr>
      <w:tblGrid>
        <w:gridCol w:w="312"/>
        <w:gridCol w:w="273"/>
        <w:gridCol w:w="273"/>
        <w:gridCol w:w="584"/>
        <w:gridCol w:w="584"/>
        <w:gridCol w:w="842"/>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86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Kazi Hasan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00"/>
        <w:jc w:val="left"/>
        <w:rPr/>
      </w:pPr>
      <w:r>
        <w:rPr/>
        <w:drawing>
          <wp:inline distT="0" distB="0" distL="0" distR="0">
            <wp:extent cx="1752600" cy="4667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752600" cy="466725"/>
                    </a:xfrm>
                    <a:prstGeom prst="rect">
                      <a:avLst/>
                    </a:prstGeom>
                  </pic:spPr>
                </pic:pic>
              </a:graphicData>
            </a:graphic>
          </wp:inline>
        </w:drawing>
      </w: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FOR IMMEDIATE RELEASE</w:t>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 xml:space="preserve">OPAL Fuels Reports Second Quarter 2026 Results </w:t>
      </w:r>
    </w:p>
    <w:p>
      <w:pPr>
        <w:pStyle w:val="TextBody"/>
        <w:bidi w:val="0"/>
        <w:spacing w:lineRule="auto" w:line="288" w:before="0" w:after="200"/>
        <w:jc w:val="both"/>
        <w:rPr/>
      </w:pPr>
      <w:r>
        <w:rPr>
          <w:rFonts w:ascii="Times New Roman;serif" w:hAnsi="Times New Roman;serif"/>
          <w:b w:val="false"/>
          <w:color w:val="000000"/>
          <w:sz w:val="22"/>
        </w:rPr>
        <w:t xml:space="preserve">WHITE PLAINS, N.Y. – (August 10, 2026) – </w:t>
      </w:r>
      <w:r>
        <w:rPr>
          <w:rFonts w:ascii="Times New Roman;serif" w:hAnsi="Times New Roman;serif"/>
          <w:b w:val="false"/>
          <w:color w:val="0000FF"/>
          <w:sz w:val="22"/>
          <w:u w:val="single"/>
        </w:rPr>
        <w:t>OPAL Fuels</w:t>
      </w:r>
      <w:r>
        <w:rPr>
          <w:color w:val="0000FF"/>
        </w:rPr>
        <w:t xml:space="preserve"> </w:t>
      </w:r>
      <w:r>
        <w:rPr>
          <w:rFonts w:ascii="Times New Roman;serif" w:hAnsi="Times New Roman;serif"/>
          <w:b w:val="false"/>
          <w:color w:val="000000"/>
          <w:sz w:val="22"/>
        </w:rPr>
        <w:t>(“OPAL Fuels” or the “Company”) (Nasdaq: OPAL) today announced financial and operating results for the three and six months ended June 30, 2026.</w:t>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"Second quarter financial results were solid and in line with our expectations with adjusted EBITDA growth of 40% percent over the second quarter of last year," said Adam Comora, Co-Chief Executive Officer of OPAL Fuels. "Contribution from 45Z production tax credits, growth in our FSS segment, and G&amp;A cost savings drove financial results in a flat RIN price environment versus last year. These results keep us on track to meet our annual guidance.”</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continue to pursue opportunities to drive increased production and EBITDA at our existing operating facilities, which require minimal capital investment. In addition, we are advancing the construction of new RNG facilities that will expand our production capacity as they come online," said Jonathan Maurer, Co-Chief Executive Officer of OPAL Fuels. “Longer term growth for OPAL Fuels is underpinned by the structural economic advantage of natural gas versus diesel. Our vertically integrated model allows us to capitalize on this opportunity.”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Financial Highlights</w:t>
      </w:r>
    </w:p>
    <w:p>
      <w:pPr>
        <w:pStyle w:val="TextBody"/>
        <w:bidi w:val="0"/>
        <w:spacing w:before="0" w:after="0"/>
        <w:jc w:val="both"/>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for the three and six months ended June 30, 2026, was $23.1 million and $39.8 million compared to $16.5 million and $36.6 million for the comparable periods last year an increase of 40% and 9% respectively.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 xml:space="preserve">Revenue for the three and six months ended June 30, 2026, was $83.4 million and $156.8 million respectively, an increase of 4% and a decrease of (5)% compared to the same periods last year.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 xml:space="preserve">Net (loss) income for the three and six months ended June 30, 2026 was $(4.1) million and $(9.7) million, compared to $7.6 million and $8.8 million in the same periods last year.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Basic and diluted net (loss) income per share attributable to Class A common shareholders for the three and six months ended months ended June 30, 2026 were $(0.05) and $(0.14)</w:t>
      </w:r>
      <w:r>
        <w:rPr>
          <w:color w:val="000000"/>
        </w:rPr>
        <w:t xml:space="preserve"> </w:t>
      </w:r>
      <w:r>
        <w:rPr>
          <w:rFonts w:ascii="Times New Roman;serif" w:hAnsi="Times New Roman;serif"/>
          <w:b w:val="false"/>
          <w:color w:val="000000"/>
          <w:sz w:val="22"/>
        </w:rPr>
        <w:t xml:space="preserve">compared to </w:t>
      </w:r>
      <w:r>
        <w:rPr>
          <w:rFonts w:ascii="Times New Roman;serif" w:hAnsi="Times New Roman;serif"/>
          <w:b w:val="false"/>
          <w:color w:val="000000"/>
          <w:sz w:val="24"/>
        </w:rPr>
        <w:t>$0.03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4"/>
        </w:rPr>
        <w:t>$0.02</w:t>
      </w:r>
      <w:r>
        <w:rPr>
          <w:color w:val="000000"/>
        </w:rPr>
        <w:t xml:space="preserve"> </w:t>
      </w:r>
      <w:r>
        <w:rPr>
          <w:rFonts w:ascii="Times New Roman;serif" w:hAnsi="Times New Roman;serif"/>
          <w:b w:val="false"/>
          <w:color w:val="000000"/>
          <w:sz w:val="22"/>
        </w:rPr>
        <w:t xml:space="preserve">in the comparable period last year.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In April we entered into a $100 million Master Agreement establishing the key terms and conditions to monetize section 45Z Production Tax Credits.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 xml:space="preserve">At June 30, 2026, RNG Pending Monetization totaled $16.3 million. </w:t>
      </w:r>
    </w:p>
    <w:p>
      <w:pPr>
        <w:pStyle w:val="TextBody"/>
        <w:bidi w:val="0"/>
        <w:spacing w:lineRule="auto" w:line="288" w:before="0" w:after="20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This is a non-GAAP financial measure. A reconciliation of this non-GAAP financial measure to its comparable GAAP financial measure has been provided in the financial tables included in this press release. An explanation of this measure and how it is calculated is also included below under the heading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erif" w:hAnsi="Times New Roman;serif"/>
          <w:b/>
          <w:color w:val="000000"/>
          <w:sz w:val="22"/>
        </w:rPr>
        <w:t>Operational Highlights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RNG produced was 1.3 million and 2.4 million MMBtu for the three and six months ended June 30, 2026, an increase of 4% and 6% compared to the prior-year period.</w:t>
      </w:r>
      <w:r>
        <w:rPr>
          <w:rFonts w:ascii="Times New Roman;serif" w:hAnsi="Times New Roman;serif"/>
          <w:b w:val="false"/>
          <w:color w:val="000000"/>
          <w:sz w:val="14"/>
        </w:rPr>
        <w:t>(2)</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Fuel Station Services segment sold, dispensed, and serviced an aggregate of 39.0 and 78.0 million GGEs of transportation fuel for the three and six months ended June 30, 2026, a decrease of 4% and 4% compared to the prior-year periods. Of this amount, RNG dispensed as transportation fuel was 20.9 and 38.8 million GGEs, an increase of 1% and a decrease of 3% compared to the prior-year periods.</w:t>
      </w:r>
    </w:p>
    <w:p>
      <w:pPr>
        <w:pStyle w:val="TextBody"/>
        <w:bidi w:val="0"/>
        <w:spacing w:lineRule="auto" w:line="288" w:before="0" w:after="20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OPAL Fuels' proportional share with respect to RNG projects owned with joint venture partners. Includes Sunoma and Biotown.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Guidance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 xml:space="preserve">We maintain 2026 guidance. </w:t>
      </w:r>
      <w:r>
        <w:rPr>
          <w:rFonts w:ascii="Times New Roman;serif" w:hAnsi="Times New Roman;serif"/>
          <w:b w:val="false"/>
          <w:color w:val="FFFFFF"/>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before="0" w:after="0"/>
        <w:jc w:val="both"/>
        <w:rPr/>
      </w:pPr>
      <w:r>
        <w:rPr/>
      </w:r>
    </w:p>
    <w:tbl>
      <w:tblPr>
        <w:tblW w:w="9073" w:type="dxa"/>
        <w:jc w:val="center"/>
        <w:tblInd w:w="0" w:type="dxa"/>
        <w:tblLayout w:type="fixed"/>
        <w:tblCellMar>
          <w:top w:w="28" w:type="dxa"/>
          <w:left w:w="28" w:type="dxa"/>
          <w:bottom w:w="28" w:type="dxa"/>
          <w:right w:w="28" w:type="dxa"/>
        </w:tblCellMar>
      </w:tblPr>
      <w:tblGrid>
        <w:gridCol w:w="1456"/>
        <w:gridCol w:w="1280"/>
        <w:gridCol w:w="1284"/>
        <w:gridCol w:w="266"/>
        <w:gridCol w:w="909"/>
        <w:gridCol w:w="137"/>
        <w:gridCol w:w="266"/>
        <w:gridCol w:w="909"/>
        <w:gridCol w:w="137"/>
        <w:gridCol w:w="219"/>
        <w:gridCol w:w="859"/>
        <w:gridCol w:w="113"/>
        <w:gridCol w:w="219"/>
        <w:gridCol w:w="859"/>
        <w:gridCol w:w="160"/>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dollars, except RNG Fuel data)</w:t>
            </w:r>
          </w:p>
        </w:tc>
        <w:tc>
          <w:tcPr>
            <w:tcW w:w="262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RNG Fuel</w:t>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Fuel Station Services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Renewable Power</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Revenue </w:t>
            </w:r>
            <w:r>
              <w:rPr>
                <w:rFonts w:ascii="Times New Roman;serif" w:hAnsi="Times New Roman;serif"/>
                <w:b w:val="false"/>
                <w:color w:val="000000"/>
                <w:sz w:val="13"/>
              </w:rPr>
              <w:t>(1)</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operating expenses </w:t>
            </w:r>
            <w:r>
              <w:rPr>
                <w:rFonts w:ascii="Times New Roman;serif" w:hAnsi="Times New Roman;serif"/>
                <w:b w:val="false"/>
                <w:color w:val="000000"/>
                <w:sz w:val="13"/>
              </w:rPr>
              <w:t>(2)</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color w:val="000000"/>
              </w:rPr>
              <w:t xml:space="preserve"> </w:t>
            </w:r>
            <w:r>
              <w:rPr>
                <w:rFonts w:ascii="Times New Roman;serif" w:hAnsi="Times New Roman;serif"/>
                <w:b w:val="false"/>
                <w:color w:val="000000"/>
                <w:sz w:val="13"/>
              </w:rPr>
              <w:t>(3)</w:t>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RNG Fuel </w:t>
            </w:r>
            <w:r>
              <w:rPr>
                <w:rFonts w:ascii="Times New Roman;serif" w:hAnsi="Times New Roman;serif"/>
                <w:b w:val="false"/>
                <w:color w:val="000000"/>
                <w:sz w:val="13"/>
              </w:rPr>
              <w:t>(4)</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Renewable Power </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99" w:type="dxa"/>
        <w:jc w:val="center"/>
        <w:tblInd w:w="0" w:type="dxa"/>
        <w:tblLayout w:type="fixed"/>
        <w:tblCellMar>
          <w:top w:w="28" w:type="dxa"/>
          <w:left w:w="28" w:type="dxa"/>
          <w:bottom w:w="28" w:type="dxa"/>
          <w:right w:w="28" w:type="dxa"/>
        </w:tblCellMar>
      </w:tblPr>
      <w:tblGrid>
        <w:gridCol w:w="1440"/>
        <w:gridCol w:w="1265"/>
        <w:gridCol w:w="1269"/>
        <w:gridCol w:w="255"/>
        <w:gridCol w:w="256"/>
        <w:gridCol w:w="109"/>
        <w:gridCol w:w="255"/>
        <w:gridCol w:w="256"/>
        <w:gridCol w:w="109"/>
        <w:gridCol w:w="255"/>
        <w:gridCol w:w="256"/>
        <w:gridCol w:w="109"/>
        <w:gridCol w:w="255"/>
        <w:gridCol w:w="25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produced (Million MMBtus)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sold (Million GGEs)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volume delivered (Million GGEs)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revenues from equity method investments.</w:t>
      </w:r>
    </w:p>
    <w:p>
      <w:pPr>
        <w:pStyle w:val="TextBody"/>
        <w:bidi w:val="0"/>
        <w:spacing w:lineRule="auto" w:line="288" w:before="0" w:after="200"/>
        <w:ind w:left="0" w:right="0" w:hanging="27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Includes selling, general and administrative expenses, depreciation and amortization expenses, impairment and income from equity method investments. Please refer to the Statement of Operations at the end of the press release for additional information. </w:t>
      </w:r>
    </w:p>
    <w:p>
      <w:pPr>
        <w:pStyle w:val="TextBody"/>
        <w:bidi w:val="0"/>
        <w:spacing w:lineRule="auto" w:line="288" w:before="0" w:after="200"/>
        <w:ind w:left="0" w:right="0" w:hanging="27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pStyle w:val="TextBody"/>
        <w:bidi w:val="0"/>
        <w:spacing w:lineRule="auto" w:line="288" w:before="0" w:after="200"/>
        <w:ind w:left="0" w:right="0" w:hanging="27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In 2025 includes incremental virtual pipeline costs (i.e., actual costs less anticipated operating costs of a permanent interconnection) on our Prince William RNG project which are temporary in nature and incurred in 2025.</w:t>
      </w:r>
    </w:p>
    <w:p>
      <w:pPr>
        <w:pStyle w:val="TextBody"/>
        <w:bidi w:val="0"/>
        <w:spacing w:before="0" w:after="20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Results of Operations from equity method investments</w:t>
      </w:r>
    </w:p>
    <w:tbl>
      <w:tblPr>
        <w:tblW w:w="10205" w:type="dxa"/>
        <w:jc w:val="center"/>
        <w:tblInd w:w="0" w:type="dxa"/>
        <w:tblLayout w:type="fixed"/>
        <w:tblCellMar>
          <w:top w:w="28" w:type="dxa"/>
          <w:left w:w="28" w:type="dxa"/>
          <w:bottom w:w="28" w:type="dxa"/>
          <w:right w:w="28" w:type="dxa"/>
        </w:tblCellMar>
      </w:tblPr>
      <w:tblGrid>
        <w:gridCol w:w="1900"/>
        <w:gridCol w:w="1660"/>
        <w:gridCol w:w="1666"/>
        <w:gridCol w:w="261"/>
        <w:gridCol w:w="891"/>
        <w:gridCol w:w="134"/>
        <w:gridCol w:w="261"/>
        <w:gridCol w:w="891"/>
        <w:gridCol w:w="134"/>
        <w:gridCol w:w="238"/>
        <w:gridCol w:w="814"/>
        <w:gridCol w:w="122"/>
        <w:gridCol w:w="238"/>
        <w:gridCol w:w="814"/>
        <w:gridCol w:w="181"/>
      </w:tblGrid>
      <w:tr>
        <w:trPr/>
        <w:tc>
          <w:tcPr>
            <w:tcW w:w="190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0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2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dollars)</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31,757 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54,274 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14,382 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OPAL's share of revenues from equity method investments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23,466 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OPAL's share of gross profit from equity method investments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OPAL's share of net (loss) income from equity method investments⁽¹⁾</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OPAL’s share of Adjusted EBITDA from equity method investments</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Net income from equity method investments represents our portion of the net income from equity method investments including $1.72 million and $3.42 million</w:t>
      </w:r>
      <w:r>
        <w:rPr>
          <w:color w:val="000000"/>
        </w:rPr>
        <w:t xml:space="preserve"> </w:t>
      </w:r>
      <w:r>
        <w:rPr>
          <w:rFonts w:ascii="Times New Roman;serif" w:hAnsi="Times New Roman;serif"/>
          <w:b w:val="false"/>
          <w:color w:val="000000"/>
          <w:sz w:val="16"/>
        </w:rPr>
        <w:t>of amortization expense related to basis differences for the three and six months ended June 30, 2026, and $1.70 million and $3.42 million for the three and six months ended June 30, 2025.</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Landfill RNG Facility Capacity and Utilization Summary</w:t>
      </w:r>
    </w:p>
    <w:tbl>
      <w:tblPr>
        <w:tblW w:w="9191" w:type="dxa"/>
        <w:jc w:val="center"/>
        <w:tblInd w:w="0" w:type="dxa"/>
        <w:tblLayout w:type="fixed"/>
        <w:tblCellMar>
          <w:top w:w="28" w:type="dxa"/>
          <w:left w:w="28" w:type="dxa"/>
          <w:bottom w:w="28" w:type="dxa"/>
          <w:right w:w="28" w:type="dxa"/>
        </w:tblCellMar>
      </w:tblPr>
      <w:tblGrid>
        <w:gridCol w:w="1501"/>
        <w:gridCol w:w="1317"/>
        <w:gridCol w:w="1322"/>
        <w:gridCol w:w="292"/>
        <w:gridCol w:w="292"/>
        <w:gridCol w:w="727"/>
        <w:gridCol w:w="292"/>
        <w:gridCol w:w="292"/>
        <w:gridCol w:w="727"/>
        <w:gridCol w:w="259"/>
        <w:gridCol w:w="259"/>
        <w:gridCol w:w="643"/>
        <w:gridCol w:w="259"/>
        <w:gridCol w:w="259"/>
        <w:gridCol w:w="750"/>
      </w:tblGrid>
      <w:tr>
        <w:trPr/>
        <w:tc>
          <w:tcPr>
            <w:tcW w:w="150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9"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Landfill RNG Facility Capacity and Utilization</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Design Capacity (Million MMBtus) </w:t>
            </w:r>
            <w:r>
              <w:rPr>
                <w:rFonts w:ascii="Times New Roman;serif" w:hAnsi="Times New Roman;serif"/>
                <w:b w:val="false"/>
                <w:color w:val="000000"/>
                <w:sz w:val="13"/>
              </w:rPr>
              <w:t>(1)(3)</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Volume of Inlet Gas (Million MMBtus) </w:t>
            </w:r>
            <w:r>
              <w:rPr>
                <w:rFonts w:ascii="Times New Roman;serif" w:hAnsi="Times New Roman;serif"/>
                <w:b w:val="false"/>
                <w:color w:val="000000"/>
                <w:sz w:val="13"/>
              </w:rPr>
              <w:t>(2)</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Inlet Design Capacity Utilization (%) </w:t>
            </w:r>
            <w:r>
              <w:rPr>
                <w:rFonts w:ascii="Times New Roman;serif" w:hAnsi="Times New Roman;serif"/>
                <w:b w:val="false"/>
                <w:color w:val="000000"/>
                <w:sz w:val="13"/>
              </w:rPr>
              <w:t>(2)</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RNG Fuel volume produced (Million MMBtus)</w:t>
            </w:r>
            <w:r>
              <w:rPr>
                <w:rFonts w:ascii="Times New Roman;serif" w:hAnsi="Times New Roman;serif"/>
                <w:b w:val="false"/>
                <w:color w:val="000000"/>
                <w:sz w:val="13"/>
              </w:rPr>
              <w:t>(3)</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Utilization of Inlet Gas (%)</w:t>
            </w:r>
            <w:r>
              <w:rPr>
                <w:color w:val="000000"/>
              </w:rPr>
              <w:t xml:space="preserve"> </w:t>
            </w:r>
            <w:r>
              <w:rPr>
                <w:rFonts w:ascii="Times New Roman;serif" w:hAnsi="Times New Roman;serif"/>
                <w:b w:val="false"/>
                <w:color w:val="000000"/>
                <w:sz w:val="13"/>
              </w:rPr>
              <w:t>(4)</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 Excludes Sunoma and Biotown.</w:t>
      </w:r>
    </w:p>
    <w:p>
      <w:pPr>
        <w:pStyle w:val="TextBody"/>
        <w:bidi w:val="0"/>
        <w:spacing w:lineRule="auto" w:line="288" w:before="0" w:after="20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pStyle w:val="TextBody"/>
        <w:bidi w:val="0"/>
        <w:spacing w:lineRule="auto" w:line="288" w:before="0" w:after="20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Excludes Sunoma and Biotown</w:t>
      </w:r>
    </w:p>
    <w:p>
      <w:pPr>
        <w:pStyle w:val="TextBody"/>
        <w:bidi w:val="0"/>
        <w:spacing w:lineRule="auto" w:line="288" w:before="0" w:after="20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 Excludes Sunoma and Biotown.</w:t>
      </w:r>
    </w:p>
    <w:p>
      <w:pPr>
        <w:pStyle w:val="TextBody"/>
        <w:bidi w:val="0"/>
        <w:spacing w:before="0" w:after="20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RNG Pending Monetization Summary</w:t>
      </w:r>
    </w:p>
    <w:tbl>
      <w:tblPr>
        <w:tblW w:w="10002" w:type="dxa"/>
        <w:jc w:val="center"/>
        <w:tblInd w:w="0" w:type="dxa"/>
        <w:tblLayout w:type="fixed"/>
        <w:tblCellMar>
          <w:top w:w="28" w:type="dxa"/>
          <w:left w:w="28" w:type="dxa"/>
          <w:bottom w:w="28" w:type="dxa"/>
          <w:right w:w="28" w:type="dxa"/>
        </w:tblCellMar>
      </w:tblPr>
      <w:tblGrid>
        <w:gridCol w:w="2163"/>
        <w:gridCol w:w="1897"/>
        <w:gridCol w:w="1910"/>
        <w:gridCol w:w="211"/>
        <w:gridCol w:w="736"/>
        <w:gridCol w:w="109"/>
        <w:gridCol w:w="416"/>
        <w:gridCol w:w="1244"/>
        <w:gridCol w:w="215"/>
        <w:gridCol w:w="211"/>
        <w:gridCol w:w="736"/>
        <w:gridCol w:w="154"/>
      </w:tblGrid>
      <w:tr>
        <w:trPr/>
        <w:tc>
          <w:tcPr>
            <w:tcW w:w="216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average realized sales prices)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9"/>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Value of RNG awaiting credit generation using quarter end price</w:t>
            </w:r>
            <w:r>
              <w:rPr>
                <w:color w:val="000000"/>
              </w:rPr>
              <w:t xml:space="preserve"> </w:t>
            </w:r>
            <w:r>
              <w:rPr>
                <w:rFonts w:ascii="Times New Roman;serif" w:hAnsi="Times New Roman;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4,214</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RIN Metrics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as of April 1, 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Generated in current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RIN credit balance (Available for sale) as of June 30, 2026</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D3 price per RIN at quarter end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Value of RINs using quarter end price </w:t>
            </w:r>
            <w:r>
              <w:rPr>
                <w:rFonts w:ascii="Times New Roman;serif" w:hAnsi="Times New Roman;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LCFS Metrics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share) as of April 1, 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Generated in current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LCFS credit balance (Available for sale) as of June 30, 2026</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LCFS credit price at quarter end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Value of LCFSs using quarter end price </w:t>
            </w:r>
            <w:r>
              <w:rPr>
                <w:rFonts w:ascii="Times New Roman;serif" w:hAnsi="Times New Roman;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Value of RECs using quarter end price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Metrics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realized sales price during quarter - RIN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realized sales price during quarter - LCFS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Value of RNG Pending Monetization and Credits at quarter end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4,687</w:t>
            </w: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16,324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Liquidity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As of June 30, 2026, our liquidity was $162.3 million, consisting of $91.4 million of cash and cash equivalents, $19.3 million of unused capacity under the revolver, $51.6 million of undrawn preferred stock facility.</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Capital Expenditures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six months ended June 30, 2026, OPAL Fuels invested $52.7 million across RNG projects in construction, OPAL Fuels owned fueling stations in construction and finance transformation as compared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to $33.4 million in the prior year. As part of OPAL Fuels' accounting policy, maintenance capital on existing facilities is expensed.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addition, for the six months ended June 30, 2026, the Company's portion of capital expenditures in unconsolidated entities was $10.8 million compared to $12.7 million in the prior year. This represents our share of capital expenditures incurred by equity method investments.</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Earnings Call</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 webcast to review OPAL Fuels’ Second Quarter 2026 results is being held today, August 10, 2026 at 11:00AM EDT.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Materials to be discussed in the webcast will be available before the call on the Company's website.</w:t>
      </w:r>
    </w:p>
    <w:p>
      <w:pPr>
        <w:pStyle w:val="TextBody"/>
        <w:bidi w:val="0"/>
        <w:spacing w:lineRule="auto" w:line="288" w:before="0" w:after="200"/>
        <w:jc w:val="left"/>
        <w:rPr/>
      </w:pPr>
      <w:r>
        <w:rPr>
          <w:rFonts w:ascii="Times New Roman;serif" w:hAnsi="Times New Roman;serif"/>
          <w:b w:val="false"/>
          <w:color w:val="000000"/>
          <w:sz w:val="22"/>
        </w:rPr>
        <w:t xml:space="preserve">Participants may access the call at </w:t>
      </w:r>
      <w:r>
        <w:rPr>
          <w:rFonts w:ascii="Times New Roman;serif" w:hAnsi="Times New Roman;serif"/>
          <w:b w:val="false"/>
          <w:color w:val="0E32E1"/>
          <w:sz w:val="22"/>
          <w:u w:val="single"/>
        </w:rPr>
        <w:t>https://edge.media-server.com/mmc/p/yubhgs6w</w:t>
      </w:r>
    </w:p>
    <w:p>
      <w:pPr>
        <w:pStyle w:val="TextBody"/>
        <w:bidi w:val="0"/>
        <w:spacing w:lineRule="auto" w:line="288" w:before="0" w:after="200"/>
        <w:jc w:val="left"/>
        <w:rPr/>
      </w:pPr>
      <w:r>
        <w:rPr>
          <w:rFonts w:ascii="Times New Roman;serif" w:hAnsi="Times New Roman;serif"/>
          <w:b w:val="false"/>
          <w:color w:val="000000"/>
          <w:sz w:val="22"/>
        </w:rPr>
        <w:t xml:space="preserve">Investors can also listen to a webcast of the presentation on the Company’s Investor Relations website at </w:t>
      </w:r>
      <w:r>
        <w:rPr>
          <w:rFonts w:ascii="Times New Roman;serif" w:hAnsi="Times New Roman;serif"/>
          <w:b w:val="false"/>
          <w:color w:val="0E32E1"/>
          <w:sz w:val="22"/>
          <w:u w:val="single"/>
        </w:rPr>
        <w:t>https://opalfuels.gcs-web.com/news-events/events-presentations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_____________________</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0"/>
        <w:jc w:val="both"/>
        <w:rPr/>
      </w:pPr>
      <w:r>
        <w:rPr/>
      </w:r>
    </w:p>
    <w:p>
      <w:pPr>
        <w:pStyle w:val="TextBody"/>
        <w:bidi w:val="0"/>
        <w:spacing w:before="0" w:after="2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Glossary of terms</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D3” </w:t>
      </w:r>
      <w:r>
        <w:rPr>
          <w:rFonts w:ascii="Times New Roman;serif" w:hAnsi="Times New Roman;serif"/>
          <w:b w:val="false"/>
          <w:color w:val="000000"/>
          <w:sz w:val="22"/>
        </w:rPr>
        <w:t>refers to cellulosic biofuel with a 60% GHG reduction requirement.</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GGE” </w:t>
      </w:r>
      <w:r>
        <w:rPr>
          <w:rFonts w:ascii="Times New Roman;serif" w:hAnsi="Times New Roman;serif"/>
          <w:b w:val="false"/>
          <w:color w:val="000000"/>
          <w:sz w:val="22"/>
        </w:rPr>
        <w:t xml:space="preserve">refers to gasoline gallon equivalent. The conversion ratio is 1 MMBtu of natural gas equal to 7.74 GGE. </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LCFS” </w:t>
      </w:r>
      <w:r>
        <w:rPr>
          <w:rFonts w:ascii="Times New Roman;serif" w:hAnsi="Times New Roman;serif"/>
          <w:b w:val="false"/>
          <w:color w:val="000000"/>
          <w:sz w:val="22"/>
        </w:rPr>
        <w:t>refers to Low Carbon Fuel Standard or similar types of federal and state programs.</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MMBtu” </w:t>
      </w:r>
      <w:r>
        <w:rPr>
          <w:rFonts w:ascii="Times New Roman;serif" w:hAnsi="Times New Roman;serif"/>
          <w:b w:val="false"/>
          <w:color w:val="000000"/>
          <w:sz w:val="22"/>
        </w:rPr>
        <w:t xml:space="preserve">refers to million British thermal units. </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RECs” </w:t>
      </w:r>
      <w:r>
        <w:rPr>
          <w:rFonts w:ascii="Times New Roman;serif" w:hAnsi="Times New Roman;serif"/>
          <w:b w:val="false"/>
          <w:color w:val="000000"/>
          <w:sz w:val="22"/>
        </w:rPr>
        <w:t>refers to renewable energy credits.</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Renewable Power” </w:t>
      </w:r>
      <w:r>
        <w:rPr>
          <w:rFonts w:ascii="Times New Roman;serif" w:hAnsi="Times New Roman;serif"/>
          <w:b w:val="false"/>
          <w:color w:val="000000"/>
          <w:sz w:val="22"/>
        </w:rPr>
        <w:t>refers to electricity generated from renewable sources.</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RIN” </w:t>
      </w:r>
      <w:r>
        <w:rPr>
          <w:rFonts w:ascii="Times New Roman;serif" w:hAnsi="Times New Roman;serif"/>
          <w:b w:val="false"/>
          <w:color w:val="000000"/>
          <w:sz w:val="22"/>
        </w:rPr>
        <w:t>refers to Renewable Identification Numbers.</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RNG” </w:t>
      </w:r>
      <w:r>
        <w:rPr>
          <w:rFonts w:ascii="Times New Roman;serif" w:hAnsi="Times New Roman;serif"/>
          <w:b w:val="false"/>
          <w:color w:val="000000"/>
          <w:sz w:val="22"/>
        </w:rPr>
        <w:t>refers to renewable natural gas.</w:t>
      </w:r>
    </w:p>
    <w:p>
      <w:pPr>
        <w:pStyle w:val="TextBody"/>
        <w:bidi w:val="0"/>
        <w:spacing w:lineRule="auto" w:line="288" w:before="0" w:after="200"/>
        <w:jc w:val="both"/>
        <w:rPr/>
      </w:pPr>
      <w:r>
        <w:rPr>
          <w:color w:val="000000"/>
        </w:rPr>
        <w:t>“</w:t>
      </w:r>
      <w:r>
        <w:rPr>
          <w:rFonts w:ascii="Times New Roman;serif" w:hAnsi="Times New Roman;serif"/>
          <w:b w:val="false"/>
          <w:i/>
          <w:color w:val="000000"/>
          <w:sz w:val="22"/>
        </w:rPr>
        <w:t xml:space="preserve">VIEs” </w:t>
      </w:r>
      <w:r>
        <w:rPr>
          <w:rFonts w:ascii="Times New Roman;serif" w:hAnsi="Times New Roman;serif"/>
          <w:b w:val="false"/>
          <w:color w:val="000000"/>
          <w:sz w:val="22"/>
        </w:rPr>
        <w:t>refers to variable interest entities.</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About OPAL Fuels</w:t>
      </w:r>
    </w:p>
    <w:p>
      <w:pPr>
        <w:pStyle w:val="TextBody"/>
        <w:bidi w:val="0"/>
        <w:spacing w:lineRule="auto" w:line="288" w:before="0" w:after="200"/>
        <w:jc w:val="both"/>
        <w:rPr/>
      </w:pPr>
      <w:r>
        <w:rPr>
          <w:rFonts w:ascii="Times New Roman;serif" w:hAnsi="Times New Roman;serif"/>
          <w:b w:val="false"/>
          <w:color w:val="0E32E1"/>
          <w:sz w:val="22"/>
        </w:rPr>
        <w:t>OPAL Fuels</w:t>
      </w:r>
      <w:r>
        <w:rPr>
          <w:color w:val="000000"/>
        </w:rPr>
        <w:t xml:space="preserve"> </w:t>
      </w:r>
      <w:r>
        <w:rPr>
          <w:rFonts w:ascii="Times New Roman;serif" w:hAnsi="Times New Roman;serif"/>
          <w:b w:val="false"/>
          <w:color w:val="000000"/>
          <w:sz w:val="22"/>
        </w:rPr>
        <w:t xml:space="preserve">(Nasdaq: OPAL) is a leader in the capture and conversion of biogas into low carbon intensity RNG and Renewable Power. OPAL 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serif" w:hAnsi="Times New Roman;serif"/>
          <w:b w:val="false"/>
          <w:color w:val="0E32E1"/>
          <w:sz w:val="22"/>
        </w:rPr>
        <w:t>www.opalfuels.com</w:t>
      </w:r>
      <w:r>
        <w:rPr>
          <w:rFonts w:ascii="Times New Roman;serif" w:hAnsi="Times New Roman;serif"/>
          <w:b w:val="false"/>
          <w:color w:val="000000"/>
          <w:sz w:val="22"/>
        </w:rPr>
        <w:t>.</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“Forward-Looking Statements and Risk Factor Summary” in the Company's annual report on Form 10-K and quarterly reports on Form 10-Q, and other filings the Company makes with the Securities and Exchange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Disclaimer</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This communication is for informational purposes only and is neither an offer to purchase, nor a solicitation of an offer to sell, subscribe for or buy, any securities,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Contact information</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Investors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Todd Firestone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Vice President, Investor Relations and Corporate Development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(914) 705-4001</w:t>
      </w:r>
    </w:p>
    <w:p>
      <w:pPr>
        <w:pStyle w:val="TextBody"/>
        <w:bidi w:val="0"/>
        <w:spacing w:lineRule="auto" w:line="288" w:before="0" w:after="20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investors@opalfuels.com</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Media</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Harrison Feuer</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Senior Director, Communications and Public Policy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(914) 721-3723</w:t>
      </w:r>
    </w:p>
    <w:p>
      <w:pPr>
        <w:pStyle w:val="TextBody"/>
        <w:bidi w:val="0"/>
        <w:spacing w:lineRule="auto" w:line="288" w:before="0" w:after="20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hfeuer@opalfuels.com</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3037"/>
        <w:gridCol w:w="2466"/>
        <w:gridCol w:w="2417"/>
        <w:gridCol w:w="196"/>
        <w:gridCol w:w="871"/>
        <w:gridCol w:w="109"/>
        <w:gridCol w:w="199"/>
        <w:gridCol w:w="751"/>
        <w:gridCol w:w="159"/>
      </w:tblGrid>
      <w:tr>
        <w:trPr/>
        <w:tc>
          <w:tcPr>
            <w:tcW w:w="3037"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color w:val="000000"/>
                <w:sz w:val="16"/>
              </w:rPr>
              <w:t>Assets</w:t>
            </w:r>
            <w:r>
              <w:rPr>
                <w:rFonts w:ascii="Times New Roman;serif" w:hAnsi="Times New Roman;serif"/>
                <w:b/>
                <w:color w:val="000000"/>
                <w:sz w:val="10"/>
              </w:rPr>
              <w:t>(1)</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(Unaudited)</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Accounts receivable, net of allowances of $1,040 and $469, respectively</w:t>
            </w:r>
            <w:r>
              <w:rPr>
                <w:rFonts w:ascii="Times New Roman;serif" w:hAnsi="Times New Roman;serif"/>
                <w:b w:val="false"/>
                <w:color w:val="000000"/>
                <w:sz w:val="10"/>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61,806 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8,276 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Parts inventory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16,018 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122,682 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525,773 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495,634 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other entities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231,223 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sales-type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8,224 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44,398 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1,040,244 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959,469 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color w:val="000000"/>
                <w:sz w:val="16"/>
              </w:rPr>
              <w:t>Liabilities and Stockholders' Equity (Deficit)</w:t>
            </w:r>
            <w:r>
              <w:rPr>
                <w:rFonts w:ascii="Times New Roman;serif" w:hAnsi="Times New Roman;serif"/>
                <w:b/>
                <w:color w:val="000000"/>
                <w:sz w:val="10"/>
              </w:rPr>
              <w:t>(1)</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Accounts payable</w:t>
            </w:r>
            <w:r>
              <w:rPr>
                <w:rFonts w:ascii="Times New Roman;serif" w:hAnsi="Times New Roman;serif"/>
                <w:b w:val="false"/>
                <w:color w:val="000000"/>
                <w:sz w:val="10"/>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19,004 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6,296 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Loan,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63,857 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104,219 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Loans, net of debt issuance costs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412,809 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337,063 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20,430 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461,712 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Stockholders' equity (deficit)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shares issued: 31,993,327 and 30,633,161 as of June 30, 2026 and December 31, 2025, respectively; shares outstanding: 30,357,544 and 28,997,378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121,500,000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Class C common stock, $0.0001 par value; none issued and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Class D common stock, $0.0001 par value, 22,899,037 shares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in treasury, at cost; 1,635,783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(deficit) attributable to the Company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(12,930)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(deficit)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(10,141)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preferred, redeemable non-controlling interests and stockholders' equity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1,040,244 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959,469 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Includes amounts related to consolidated VIEs, which are presented separately in the table below. </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related</w:t>
        <w:noBreakHyphen/>
        <w:t>party amounts of $1,016 and $13,318 as of June 30, 2026 and December 31, 2025, respectively.</w:t>
      </w:r>
    </w:p>
    <w:p>
      <w:pPr>
        <w:pStyle w:val="TextBody"/>
        <w:bidi w:val="0"/>
        <w:spacing w:lineRule="auto" w:line="288" w:before="0" w:after="20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related</w:t>
        <w:noBreakHyphen/>
        <w:t>party amounts of $2,715 and $8,951 as of June 30, 2026 and December 31, 2025, respectively.</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159"/>
        <w:gridCol w:w="1842"/>
        <w:gridCol w:w="1864"/>
        <w:gridCol w:w="230"/>
        <w:gridCol w:w="759"/>
        <w:gridCol w:w="127"/>
        <w:gridCol w:w="230"/>
        <w:gridCol w:w="759"/>
        <w:gridCol w:w="127"/>
        <w:gridCol w:w="211"/>
        <w:gridCol w:w="697"/>
        <w:gridCol w:w="117"/>
        <w:gridCol w:w="211"/>
        <w:gridCol w:w="697"/>
        <w:gridCol w:w="175"/>
      </w:tblGrid>
      <w:tr>
        <w:trPr/>
        <w:tc>
          <w:tcPr>
            <w:tcW w:w="215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1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RNG fuel</w:t>
            </w:r>
            <w:r>
              <w:rPr>
                <w:rFonts w:ascii="Times New Roman;serif" w:hAnsi="Times New Roman;serif"/>
                <w:b w:val="false"/>
                <w:color w:val="000000"/>
                <w:sz w:val="10"/>
              </w:rPr>
              <w:t>(1)</w:t>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45,459 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52,729 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Fuel station services</w:t>
            </w:r>
            <w:r>
              <w:rPr>
                <w:rFonts w:ascii="Times New Roman;serif" w:hAnsi="Times New Roman;serif"/>
                <w:b w:val="false"/>
                <w:color w:val="000000"/>
                <w:sz w:val="10"/>
              </w:rPr>
              <w:t>(2)</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53,064 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97,630 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97,704 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Renewable power</w:t>
            </w:r>
            <w:r>
              <w:rPr>
                <w:rFonts w:ascii="Times New Roman;serif" w:hAnsi="Times New Roman;serif"/>
                <w:b w:val="false"/>
                <w:color w:val="000000"/>
                <w:sz w:val="10"/>
              </w:rPr>
              <w:t>(3)</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15,430 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83,399 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156,774 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165,863 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RNG fuel</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23,567 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Fuel station services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75,752 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78,453 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Renewable power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13,661 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Project development and startup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9,558 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29,458 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33,427 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 xml:space="preserve">Impairment loss </w:t>
            </w:r>
            <w:r>
              <w:rPr>
                <w:rFonts w:ascii="Times New Roman;serif" w:hAnsi="Times New Roman;serif"/>
                <w:b w:val="false"/>
                <w:color w:val="000000"/>
                <w:sz w:val="10"/>
              </w:rPr>
              <w:t>(4)</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equity method investments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(1,240)</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81,283 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164,628 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168,632 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(3,011)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(2,769)</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Other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financing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(6,637)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(13,087)</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(5,874)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(5,300)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(12,333)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(10,111)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before income tax benefit</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(8,885)</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(20,187)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(12,880)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21,723 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(9,740)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redeemable non-controlling interest</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(7,136)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(19,703)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the redeemable preferred non-controlling interest to its redemption amount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Class A common stockholders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(4,143)</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0"/>
        <w:jc w:val="center"/>
        <w:rPr/>
      </w:pPr>
      <w:r>
        <w:rPr/>
      </w:r>
    </w:p>
    <w:p>
      <w:pPr>
        <w:pStyle w:val="TextBody"/>
        <w:bidi w:val="0"/>
        <w:spacing w:lineRule="auto" w:line="288" w:before="200" w:after="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revenues from related parties of $125 and $17,878 for the three months ended June 30, 2026 and 2025, respectively.</w:t>
      </w:r>
    </w:p>
    <w:p>
      <w:pPr>
        <w:pStyle w:val="TextBody"/>
        <w:bidi w:val="0"/>
        <w:spacing w:lineRule="auto" w:line="288" w:before="200" w:after="8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Includes revenues from related parties of $17,167 and $37,979 for the six months ended June 30, 2026 and 2025, respectively.</w:t>
      </w:r>
    </w:p>
    <w:p>
      <w:pPr>
        <w:pStyle w:val="TextBody"/>
        <w:bidi w:val="0"/>
        <w:spacing w:lineRule="auto" w:line="288" w:before="200" w:after="6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revenues from related parties of $3,251 and $12,826 for the three months ended June 30, 2026 and 2025, respectively.</w:t>
      </w:r>
    </w:p>
    <w:p>
      <w:pPr>
        <w:pStyle w:val="TextBody"/>
        <w:bidi w:val="0"/>
        <w:spacing w:lineRule="auto" w:line="288" w:before="200" w:after="8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Includes revenues from related parties of $16,358 and $29,429 for the six months ended June 30, 2026 and 2025, respectively.</w:t>
      </w:r>
    </w:p>
    <w:p>
      <w:pPr>
        <w:pStyle w:val="TextBody"/>
        <w:bidi w:val="0"/>
        <w:spacing w:lineRule="auto" w:line="288" w:before="200" w:after="6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revenues from related parties of $0 and $1,488 for the three months ended June 30, 2026 and 2025, respectively.</w:t>
      </w:r>
    </w:p>
    <w:p>
      <w:pPr>
        <w:pStyle w:val="TextBody"/>
        <w:bidi w:val="0"/>
        <w:spacing w:lineRule="auto" w:line="288" w:before="200" w:after="8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Includes revenues from related parties of $872 and $2,654 for the six months ended June 30, 2026 and 2025, respectively.</w:t>
      </w:r>
    </w:p>
    <w:p>
      <w:pPr>
        <w:pStyle w:val="TextBody"/>
        <w:bidi w:val="0"/>
        <w:spacing w:lineRule="auto" w:line="288" w:before="200" w:after="6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impairment charges recognized in the Renewable Power and Fuel Station Services segments, primarily related to assets no longer expected to be utilized following the repurposing of a renewable power facility to RNG operations during the three and six months ended June 30, 2026.</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9312" w:type="dxa"/>
        <w:jc w:val="center"/>
        <w:tblInd w:w="0" w:type="dxa"/>
        <w:tblLayout w:type="fixed"/>
        <w:tblCellMar>
          <w:top w:w="28" w:type="dxa"/>
          <w:left w:w="28" w:type="dxa"/>
          <w:bottom w:w="28" w:type="dxa"/>
          <w:right w:w="28" w:type="dxa"/>
        </w:tblCellMar>
      </w:tblPr>
      <w:tblGrid>
        <w:gridCol w:w="2666"/>
        <w:gridCol w:w="2346"/>
        <w:gridCol w:w="2353"/>
        <w:gridCol w:w="196"/>
        <w:gridCol w:w="646"/>
        <w:gridCol w:w="109"/>
        <w:gridCol w:w="196"/>
        <w:gridCol w:w="646"/>
        <w:gridCol w:w="154"/>
      </w:tblGrid>
      <w:tr>
        <w:trPr/>
        <w:tc>
          <w:tcPr>
            <w:tcW w:w="2666"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Assets' impairment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investments in other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return on investments in other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Accounts receivable</w:t>
            </w:r>
            <w:r>
              <w:rPr>
                <w:rFonts w:ascii="Times New Roman;serif" w:hAnsi="Times New Roman;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Parts 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and long-term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Accounts payable</w:t>
            </w:r>
            <w:r>
              <w:rPr>
                <w:rFonts w:ascii="Times New Roman;serif" w:hAnsi="Times New Roman;serif"/>
                <w:b w:val="false"/>
                <w:color w:val="000000"/>
                <w:sz w:val="10"/>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and non-current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return of investments in other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related to investments in other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disposal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redeemable preferred non-controlling interest and warrants issuance, net of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redeemable preferred non</w:t>
              <w:noBreakHyphen/>
              <w:t>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shares of Class A common stock under the ATM program,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principal portion of finance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non-redeemable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 related to net share settlement of equity awards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restricted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cash, and cash equivalents, beginning of period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decrease (increase) from related parties of $12,302 and $(10,974) for the six months ended June 30, 2026 and 2025, respectively</w:t>
      </w:r>
    </w:p>
    <w:p>
      <w:pPr>
        <w:pStyle w:val="TextBody"/>
        <w:bidi w:val="0"/>
        <w:spacing w:lineRule="auto" w:line="240"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(decrease) increase from related parties of $(6,236) and $356 for the six months ended June 30, 2026 and 2025, respectively</w:t>
      </w:r>
    </w:p>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Non-GAAP Financial Measures (Unaudited)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Adjusted EBITDA</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To supplement the Company's unaudited condensed consolidated financial statements presented in accordance with GAAP,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RNG development costs, 45z generation and ITC proceeds, net.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reconciliation of our net income to Adjusted EBITDA: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Reconciliation of GAAP Net (Loss) Income to Adjusted EBITDA </w:t>
      </w:r>
    </w:p>
    <w:p>
      <w:pPr>
        <w:pStyle w:val="TextBody"/>
        <w:bidi w:val="0"/>
        <w:spacing w:lineRule="auto" w:line="288" w:before="0" w:after="0"/>
        <w:jc w:val="center"/>
        <w:rPr/>
      </w:pPr>
      <w:r>
        <w:rPr>
          <w:rFonts w:ascii="Times New Roman;serif" w:hAnsi="Times New Roman;serif"/>
          <w:b/>
          <w:color w:val="000000"/>
          <w:sz w:val="22"/>
        </w:rPr>
        <w:t xml:space="preserve">For the </w:t>
      </w:r>
      <w:r>
        <w:rPr>
          <w:rFonts w:ascii="Times New Roman;serif" w:hAnsi="Times New Roman;serif"/>
          <w:b/>
          <w:color w:val="000000"/>
          <w:sz w:val="20"/>
        </w:rPr>
        <w:t>Three and Six Months Ended June 30,</w:t>
      </w:r>
      <w:r>
        <w:rPr>
          <w:color w:val="000000"/>
        </w:rPr>
        <w:t xml:space="preserve"> </w:t>
      </w:r>
      <w:r>
        <w:rPr>
          <w:rFonts w:ascii="Times New Roman;serif" w:hAnsi="Times New Roman;serif"/>
          <w:b/>
          <w:color w:val="000000"/>
          <w:sz w:val="22"/>
        </w:rPr>
        <w:t>2026</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of dollars)</w:t>
      </w:r>
    </w:p>
    <w:tbl>
      <w:tblPr>
        <w:tblW w:w="10611" w:type="dxa"/>
        <w:jc w:val="center"/>
        <w:tblInd w:w="0" w:type="dxa"/>
        <w:tblLayout w:type="fixed"/>
        <w:tblCellMar>
          <w:top w:w="28" w:type="dxa"/>
          <w:left w:w="28" w:type="dxa"/>
          <w:bottom w:w="28" w:type="dxa"/>
          <w:right w:w="28" w:type="dxa"/>
        </w:tblCellMar>
      </w:tblPr>
      <w:tblGrid>
        <w:gridCol w:w="784"/>
        <w:gridCol w:w="303"/>
        <w:gridCol w:w="159"/>
        <w:gridCol w:w="196"/>
        <w:gridCol w:w="646"/>
        <w:gridCol w:w="109"/>
        <w:gridCol w:w="196"/>
        <w:gridCol w:w="646"/>
        <w:gridCol w:w="109"/>
        <w:gridCol w:w="196"/>
        <w:gridCol w:w="581"/>
        <w:gridCol w:w="109"/>
        <w:gridCol w:w="196"/>
        <w:gridCol w:w="571"/>
        <w:gridCol w:w="109"/>
        <w:gridCol w:w="196"/>
        <w:gridCol w:w="646"/>
        <w:gridCol w:w="109"/>
        <w:gridCol w:w="196"/>
        <w:gridCol w:w="646"/>
        <w:gridCol w:w="109"/>
        <w:gridCol w:w="196"/>
        <w:gridCol w:w="646"/>
        <w:gridCol w:w="109"/>
        <w:gridCol w:w="196"/>
        <w:gridCol w:w="581"/>
        <w:gridCol w:w="109"/>
        <w:gridCol w:w="196"/>
        <w:gridCol w:w="661"/>
        <w:gridCol w:w="109"/>
        <w:gridCol w:w="196"/>
        <w:gridCol w:w="646"/>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475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RNG Fuel</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Fuel Station Services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 Power</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RNG Fuel</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Fuel Station Services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 Power</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 xml:space="preserve">Net (loss) income </w:t>
            </w:r>
            <w:r>
              <w:rPr>
                <w:rFonts w:ascii="Times New Roman;serif" w:hAnsi="Times New Roman;serif"/>
                <w:b w:val="false"/>
                <w:color w:val="000000"/>
                <w:sz w:val="10"/>
              </w:rPr>
              <w:t xml:space="preserve">(1)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Adjustments to reconcile net (loss) income to Adjusted EBITDA</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Interest and financing expense,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Net income attributable to non-redeemable non-controlling interests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Depreciation, amortization and accretion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Adjustments to reflect Adjusted EBITDA from equity method investments</w:t>
            </w:r>
            <w:r>
              <w:rPr>
                <w:color w:val="000000"/>
              </w:rPr>
              <w:t xml:space="preserve"> </w:t>
            </w:r>
            <w:r>
              <w:rPr>
                <w:rFonts w:ascii="Times New Roman;serif" w:hAnsi="Times New Roman;serif"/>
                <w:b w:val="false"/>
                <w:color w:val="000000"/>
                <w:sz w:val="10"/>
              </w:rPr>
              <w:t xml:space="preserve">(2)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Impairment, fair value changes and certain financing and ITC-related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Stock-based compensation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 xml:space="preserve">RNG development costs </w:t>
            </w:r>
            <w:r>
              <w:rPr>
                <w:rFonts w:ascii="Times New Roman;serif" w:hAnsi="Times New Roman;serif"/>
                <w:b w:val="false"/>
                <w:color w:val="000000"/>
                <w:sz w:val="10"/>
              </w:rPr>
              <w:t xml:space="preserve">(3)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Major maintenance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 xml:space="preserve">45Z </w:t>
            </w:r>
            <w:r>
              <w:rPr>
                <w:rFonts w:ascii="Times New Roman;serif" w:hAnsi="Times New Roman;serif"/>
                <w:b w:val="false"/>
                <w:color w:val="000000"/>
                <w:sz w:val="10"/>
              </w:rPr>
              <w:t>(4)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Tax benefit, net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39,825 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Net (loss) income by segment is included in our quarterly report on Form 10-Q. </w:t>
      </w:r>
    </w:p>
    <w:p>
      <w:pPr>
        <w:pStyle w:val="TextBody"/>
        <w:bidi w:val="0"/>
        <w:spacing w:lineRule="auto" w:line="288" w:before="0" w:after="20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interest, depreciation, amortization and accretion and RNG development costs incurred on equity method investments.</w:t>
      </w:r>
    </w:p>
    <w:p>
      <w:pPr>
        <w:pStyle w:val="TextBody"/>
        <w:bidi w:val="0"/>
        <w:spacing w:lineRule="auto" w:line="288" w:before="0" w:after="20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Includes development costs on our Central Valley and Prince William facilities.</w:t>
      </w:r>
    </w:p>
    <w:p>
      <w:pPr>
        <w:pStyle w:val="TextBody"/>
        <w:bidi w:val="0"/>
        <w:spacing w:lineRule="auto" w:line="288" w:before="0" w:after="20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45Z production tax credits are recorded within tax benefit on the condensed consolidated statements of operations for the three and six months ended June 30, 2026 net of costs.</w:t>
      </w:r>
    </w:p>
    <w:p>
      <w:pPr>
        <w:pStyle w:val="TextBody"/>
        <w:bidi w:val="0"/>
        <w:spacing w:before="0" w:after="20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Reconciliation of GAAP Net Income (Loss) to Adjusted EBITDA </w:t>
      </w:r>
    </w:p>
    <w:p>
      <w:pPr>
        <w:pStyle w:val="TextBody"/>
        <w:bidi w:val="0"/>
        <w:spacing w:lineRule="auto" w:line="288" w:before="0" w:after="0"/>
        <w:jc w:val="center"/>
        <w:rPr/>
      </w:pPr>
      <w:r>
        <w:rPr>
          <w:rFonts w:ascii="Times New Roman;serif" w:hAnsi="Times New Roman;serif"/>
          <w:b/>
          <w:color w:val="000000"/>
          <w:sz w:val="22"/>
        </w:rPr>
        <w:t xml:space="preserve">For the </w:t>
      </w:r>
      <w:r>
        <w:rPr>
          <w:rFonts w:ascii="Times New Roman;serif" w:hAnsi="Times New Roman;serif"/>
          <w:b/>
          <w:color w:val="000000"/>
          <w:sz w:val="20"/>
        </w:rPr>
        <w:t>Three and Six Months Ended June 30,</w:t>
      </w:r>
      <w:r>
        <w:rPr>
          <w:color w:val="000000"/>
        </w:rPr>
        <w:t xml:space="preserve"> </w:t>
      </w:r>
      <w:r>
        <w:rPr>
          <w:rFonts w:ascii="Times New Roman;serif" w:hAnsi="Times New Roman;serif"/>
          <w:b/>
          <w:color w:val="000000"/>
          <w:sz w:val="22"/>
        </w:rPr>
        <w:t>2025</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of dollars)</w:t>
      </w:r>
    </w:p>
    <w:tbl>
      <w:tblPr>
        <w:tblW w:w="10701" w:type="dxa"/>
        <w:jc w:val="center"/>
        <w:tblInd w:w="0" w:type="dxa"/>
        <w:tblLayout w:type="fixed"/>
        <w:tblCellMar>
          <w:top w:w="28" w:type="dxa"/>
          <w:left w:w="28" w:type="dxa"/>
          <w:bottom w:w="28" w:type="dxa"/>
          <w:right w:w="28" w:type="dxa"/>
        </w:tblCellMar>
      </w:tblPr>
      <w:tblGrid>
        <w:gridCol w:w="843"/>
        <w:gridCol w:w="201"/>
        <w:gridCol w:w="202"/>
        <w:gridCol w:w="196"/>
        <w:gridCol w:w="646"/>
        <w:gridCol w:w="109"/>
        <w:gridCol w:w="196"/>
        <w:gridCol w:w="646"/>
        <w:gridCol w:w="109"/>
        <w:gridCol w:w="201"/>
        <w:gridCol w:w="572"/>
        <w:gridCol w:w="113"/>
        <w:gridCol w:w="196"/>
        <w:gridCol w:w="661"/>
        <w:gridCol w:w="109"/>
        <w:gridCol w:w="196"/>
        <w:gridCol w:w="646"/>
        <w:gridCol w:w="109"/>
        <w:gridCol w:w="196"/>
        <w:gridCol w:w="646"/>
        <w:gridCol w:w="109"/>
        <w:gridCol w:w="196"/>
        <w:gridCol w:w="646"/>
        <w:gridCol w:w="109"/>
        <w:gridCol w:w="196"/>
        <w:gridCol w:w="581"/>
        <w:gridCol w:w="109"/>
        <w:gridCol w:w="196"/>
        <w:gridCol w:w="661"/>
        <w:gridCol w:w="109"/>
        <w:gridCol w:w="196"/>
        <w:gridCol w:w="64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475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RNG Fuel</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Fuel Station Services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 Power</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RNG Fuel</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Fuel Station Services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 Power</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 xml:space="preserve">Net income (loss) </w:t>
            </w:r>
            <w:r>
              <w:rPr>
                <w:rFonts w:ascii="Times New Roman;serif" w:hAnsi="Times New Roman;serif"/>
                <w:b w:val="false"/>
                <w:color w:val="000000"/>
                <w:sz w:val="10"/>
              </w:rPr>
              <w:t xml:space="preserve">(1)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Adjusted EBITDA</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financing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Adjustments to reflect Adjusted EBITDA from equity method investments</w:t>
            </w:r>
            <w:r>
              <w:rPr>
                <w:color w:val="000000"/>
              </w:rPr>
              <w:t xml:space="preserve"> </w:t>
            </w:r>
            <w:r>
              <w:rPr>
                <w:rFonts w:ascii="Times New Roman;serif" w:hAnsi="Times New Roman;serif"/>
                <w:b w:val="false"/>
                <w:color w:val="000000"/>
                <w:sz w:val="10"/>
              </w:rPr>
              <w:t xml:space="preserve">(2)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Fair value changes and non-recurring charges</w:t>
            </w:r>
            <w:r>
              <w:rPr>
                <w:color w:val="000000"/>
              </w:rPr>
              <w:t xml:space="preserve"> </w:t>
            </w:r>
            <w:r>
              <w:rPr>
                <w:rFonts w:ascii="Times New Roman;serif" w:hAnsi="Times New Roman;serif"/>
                <w:b w:val="false"/>
                <w:color w:val="000000"/>
                <w:sz w:val="10"/>
              </w:rPr>
              <w:t xml:space="preserve">(3)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 xml:space="preserve">RNG development costs </w:t>
            </w:r>
            <w:r>
              <w:rPr>
                <w:rFonts w:ascii="Times New Roman;serif" w:hAnsi="Times New Roman;serif"/>
                <w:b w:val="false"/>
                <w:color w:val="000000"/>
                <w:sz w:val="10"/>
              </w:rPr>
              <w:t xml:space="preserve">(4)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Major maintenance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benefit,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Net income (loss) by segment is included in our quarterly report on Form 10-Q. </w:t>
      </w:r>
    </w:p>
    <w:p>
      <w:pPr>
        <w:pStyle w:val="TextBody"/>
        <w:bidi w:val="0"/>
        <w:spacing w:lineRule="auto" w:line="288" w:before="0" w:after="20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interest, depreciation, amortization and accretion and RNG development costs incurred on equity method investments.</w:t>
      </w:r>
    </w:p>
    <w:p>
      <w:pPr>
        <w:pStyle w:val="TextBody"/>
        <w:bidi w:val="0"/>
        <w:spacing w:lineRule="auto" w:line="288" w:before="0" w:after="20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changes in the fair value, ITC costs and one-time, non-recurring charges</w:t>
      </w:r>
    </w:p>
    <w:p>
      <w:pPr>
        <w:pStyle w:val="TextBody"/>
        <w:bidi w:val="0"/>
        <w:spacing w:lineRule="auto" w:line="288" w:before="0" w:after="20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Includes virtual pipeline costs on our Prince William and Polk facilities. These are temporary additional transportation costs incurred until a permanent pipeline solution is completed. Also includes RNG development costs which are lease costs related to Central Valley litigation.</w:t>
      </w:r>
    </w:p>
    <w:p>
      <w:pPr>
        <w:pStyle w:val="TextBody"/>
        <w:bidi w:val="0"/>
        <w:spacing w:before="0" w:after="20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9"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5924</Words>
  <Characters>33299</Characters>
  <CharactersWithSpaces>38709</CharactersWithSpaces>
  <Paragraphs>1177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