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24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241165"/>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6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Birck Darrell</w:t>
              </w:r>
            </w:hyperlink>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6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52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03/31/2025</w:t>
            </w: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AVENUE, SUITE 1450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751"/>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7" w:lineRule="exact"/>
        <w:rPr>
          <w:sz w:val="20"/>
          <w:szCs w:val="20"/>
          <w:color w:val="auto"/>
        </w:rPr>
      </w:pPr>
    </w:p>
    <w:p>
      <w:pPr>
        <w:sectPr>
          <w:pgSz w:w="11900" w:h="16838" w:orient="portrait"/>
          <w:cols w:equalWidth="0" w:num="2">
            <w:col w:w="7660" w:space="69"/>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300"/>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0"/>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0"/>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110,122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03/31/2025</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110,122</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110,122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7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110,122 RSUs pursuant to the Plan. A total of 36,708 RSUs are scheduled to vest on March 31, 2026, a total of 36,707 RSUs are scheduled to vest on March 31, 2027, and a total of 36,707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0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7903"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2025-04-02T19:42:07Z</dcterms:created>
  <dcterms:modified xsi:type="dcterms:W3CDTF">2025-04-02T19:42:07Z</dcterms:modified>
</cp:coreProperties>
</file>