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10-Q/A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(Amendment 1)</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53" w:after="3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bidi w:val="0"/>
        <w:spacing w:before="0" w:after="10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53" w:after="3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_______________ to ____________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001-40272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OPAL FUELS INC.</w:t>
      </w:r>
    </w:p>
    <w:p>
      <w:pPr>
        <w:pStyle w:val="TextBody"/>
        <w:bidi w:val="0"/>
        <w:spacing w:lineRule="auto" w:line="288"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color w:val="000000"/>
                <w:sz w:val="20"/>
              </w:rPr>
            </w:pPr>
            <w:r>
              <w:rPr>
                <w:rFonts w:ascii="Times New Roman;sans-serif" w:hAnsi="Times New Roman;sans-serif"/>
                <w:b/>
                <w:color w:val="000000"/>
                <w:sz w:val="20"/>
              </w:rPr>
              <w:t>98-1578357</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2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ans-serif" w:hAnsi="Times New Roman;sans-serif"/>
                <w:b/>
                <w:color w:val="000000"/>
                <w:sz w:val="20"/>
              </w:rPr>
            </w:pPr>
            <w:r>
              <w:rPr>
                <w:rFonts w:ascii="Times New Roman;sans-serif" w:hAnsi="Times New Roman;sans-serif"/>
                <w:b/>
                <w:color w:val="000000"/>
                <w:sz w:val="20"/>
              </w:rPr>
              <w:t>One North Lexington Avenue, Suite 1450</w:t>
            </w:r>
          </w:p>
        </w:tc>
        <w:tc>
          <w:tcPr>
            <w:tcW w:w="327"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White Plains,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ans-serif" w:hAnsi="Times New Roman;sans-serif"/>
                <w:b/>
                <w:color w:val="000000"/>
                <w:sz w:val="20"/>
              </w:rPr>
            </w:pPr>
            <w:r>
              <w:rPr>
                <w:rFonts w:ascii="Times New Roman;sans-serif" w:hAnsi="Times New Roman;sans-serif"/>
                <w:b/>
                <w:color w:val="000000"/>
                <w:sz w:val="20"/>
              </w:rPr>
              <w:t>10601</w:t>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(914) 705-4000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689" w:type="dxa"/>
        <w:jc w:val="left"/>
        <w:tblInd w:w="0" w:type="dxa"/>
        <w:tblLayout w:type="fixed"/>
        <w:tblCellMar>
          <w:top w:w="28" w:type="dxa"/>
          <w:left w:w="28" w:type="dxa"/>
          <w:bottom w:w="28" w:type="dxa"/>
          <w:right w:w="28" w:type="dxa"/>
        </w:tblCellMar>
      </w:tblPr>
      <w:tblGrid>
        <w:gridCol w:w="1581"/>
        <w:gridCol w:w="1384"/>
        <w:gridCol w:w="1400"/>
        <w:gridCol w:w="539"/>
        <w:gridCol w:w="539"/>
        <w:gridCol w:w="541"/>
        <w:gridCol w:w="1085"/>
        <w:gridCol w:w="1085"/>
        <w:gridCol w:w="1535"/>
      </w:tblGrid>
      <w:tr>
        <w:trPr/>
        <w:tc>
          <w:tcPr>
            <w:tcW w:w="15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3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OPAL</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 </w:t>
      </w:r>
    </w:p>
    <w:p>
      <w:pPr>
        <w:pStyle w:val="TextBody"/>
        <w:bidi w:val="0"/>
        <w:spacing w:before="0" w:after="0"/>
        <w:jc w:val="both"/>
        <w:rPr/>
      </w:pPr>
      <w:r>
        <w:rPr/>
      </w:r>
    </w:p>
    <w:p>
      <w:pPr>
        <w:pStyle w:val="TextBody"/>
        <w:bidi w:val="0"/>
        <w:spacing w:lineRule="auto" w:line="288" w:before="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53" w:after="283"/>
        <w:jc w:val="right"/>
        <w:rPr>
          <w:color w:val="000000"/>
        </w:rPr>
      </w:pPr>
      <w:r>
        <w:rPr>
          <w:color w:val="000000"/>
        </w:rPr>
        <w:t>☐</w:t>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 shell company (as defined in Rule 12b-2 of the Exchange Act).     Yes   ☐     No  </w:t>
      </w:r>
      <w:r>
        <w:rPr>
          <w:color w:val="000000"/>
        </w:rPr>
        <w:t>☒</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0"/>
        </w:rPr>
        <w:t>As of August 9, 2024</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0"/>
        </w:rPr>
        <w:t xml:space="preserve">a total of </w:t>
      </w:r>
      <w:r>
        <w:rPr>
          <w:rFonts w:ascii="Times New Roman;sans-serif" w:hAnsi="Times New Roman;sans-serif"/>
          <w:b w:val="false"/>
          <w:color w:val="000000"/>
          <w:sz w:val="20"/>
          <w:shd w:fill="FFFFFF" w:val="clear"/>
        </w:rPr>
        <w:t>28,422,786</w:t>
      </w:r>
      <w:r>
        <w:rPr>
          <w:color w:val="000000"/>
        </w:rPr>
        <w:t xml:space="preserve"> </w:t>
      </w:r>
      <w:r>
        <w:rPr>
          <w:rFonts w:ascii="Times New Roman;sans-serif" w:hAnsi="Times New Roman;sans-serif"/>
          <w:b w:val="false"/>
          <w:color w:val="000000"/>
          <w:sz w:val="20"/>
        </w:rPr>
        <w:t>shares of Class A common stock, par value $0.0001 per share, 71,500,000 shares of Class B common stock, par value of $0.0001 per share and 72,899,037 shares of Class D common stock, par value $0.0001 per share were outstanding.</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OPAL Fuels Inc. (the “Company”) is filing this Amendment No. 1 to its Quarterly Report on Form 10-Q for the period ended June 30, 2024, as filed with the U.S. Securities and Exchange Commission on August 9, 2024, to correct a typographical error in the certification by the Company’s principal financial officer in Exhibit 32.3, pursuant to 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the Private Securities Litigation Reform Act of 1995, that involve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Words such as “anticipates,” “believes,” “estimates,” “expects,” “forecasts,” “future,” “goal,” “intends,” “may,” “objective,” “outlook,” “plans,” “projected,” “propose,” “seeks,” “target,” “will,” “would”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ability to grow and manage growth profitably, and maintain relationships with customers and suppliers;</w:t>
      </w:r>
    </w:p>
    <w:p>
      <w:pPr>
        <w:pStyle w:val="TextBody"/>
        <w:bidi w:val="0"/>
        <w:spacing w:lineRule="auto" w:line="276" w:before="0" w:after="0"/>
        <w:jc w:val="left"/>
        <w:rPr/>
      </w:pPr>
      <w:r>
        <w:rPr>
          <w:color w:val="000000"/>
        </w:rPr>
        <w:t>▪</w:t>
      </w:r>
      <w:r>
        <w:rPr>
          <w:rFonts w:ascii="Times New Roman;sans-serif" w:hAnsi="Times New Roman;sans-serif"/>
          <w:b w:val="false"/>
          <w:color w:val="000000"/>
          <w:sz w:val="20"/>
        </w:rPr>
        <w:t>our success in retaining or recruiting, our principal officers, key employees or directors;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intense competition and competitive pressures from other companies in the industry in which we operate;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increased costs of, or delays in obtaining, key components or labor for the construction and completion of landfill gas ("LFG") and livestock waste projects that generate electricity and renewable natural gas (“RNG”), compressed natural gas (“CNG”) and hydrogen dispensing stations;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factors relating to our business, operations and financial performance, including market conditions and global and economic factors beyond our control;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reduction or elimination of government economic incentives to the renewable energy market;</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factors associated with companies that are engaged in the production and integration of RNG, including (i) anticipated trends, growth rates and challenges in those businesses and in the markets in which they operate, (ii) contractual arrangements with, and the cooperation of, owners and operators of the landfill and livestock biogas conversion project facilities, on which we operate our LFG and livestock waste projects that generate electricity and (iii) RNG prices for Environmental Attributes (as defined below), low carbon fuel standard ("LCFS") credits and other incentives;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ability to identify, acquire, develop and operate renewable projects and fueling stations ("Fueling Stations");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ability to issue equity or equity-linked securities or obtain or amend debt financing;</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demand for renewable energy not being sustained;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impacts of climate change, changing weather patterns and conditions and natural disasters; and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the effect of legal, tax and regulatory changes. </w:t>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Form 10-Q and in our Annual Report on Form 10-K, which was filed with the SEC on March 15, 2024 (our "Annual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8"/>
        <w:gridCol w:w="366"/>
        <w:gridCol w:w="366"/>
        <w:gridCol w:w="2940"/>
        <w:gridCol w:w="2774"/>
        <w:gridCol w:w="2646"/>
        <w:gridCol w:w="202"/>
        <w:gridCol w:w="202"/>
        <w:gridCol w:w="291"/>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951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2d7d870374940d2902bd50b91a2b750_13">
              <w:r>
                <w:rPr>
                  <w:rStyle w:val="InternetLink"/>
                  <w:rFonts w:ascii="Times New Roman;sans-serif" w:hAnsi="Times New Roman;sans-serif"/>
                  <w:b/>
                  <w:color w:val="000000"/>
                  <w:sz w:val="20"/>
                  <w:u w:val="single"/>
                </w:rPr>
                <w:t>PART I. FINANCIAL INFORMATION</w:t>
              </w:r>
            </w:hyperlink>
          </w:p>
        </w:tc>
        <w:tc>
          <w:tcPr>
            <w:tcW w:w="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6">
              <w:r>
                <w:rPr>
                  <w:rStyle w:val="InternetLink"/>
                  <w:rFonts w:ascii="Times New Roman;sans-serif" w:hAnsi="Times New Roman;sans-serif"/>
                  <w:b w:val="false"/>
                  <w:color w:val="000000"/>
                  <w:sz w:val="20"/>
                  <w:u w:val="single"/>
                </w:rPr>
                <w:t>ITEM 1.</w:t>
              </w:r>
            </w:hyperlink>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3">
              <w:r>
                <w:rPr>
                  <w:rStyle w:val="InternetLink"/>
                  <w:rFonts w:ascii="Times New Roman;sans-serif" w:hAnsi="Times New Roman;sans-serif"/>
                  <w:b w:val="false"/>
                  <w:color w:val="000000"/>
                  <w:sz w:val="20"/>
                  <w:u w:val="single"/>
                </w:rPr>
                <w:t>FINANCIAL STATEMENTS</w:t>
              </w:r>
            </w:hyperlink>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2d7d870374940d2902bd50b91a2b750_16">
              <w:r>
                <w:rPr>
                  <w:rStyle w:val="InternetLink"/>
                  <w:rFonts w:ascii="Times New Roman;sans-serif" w:hAnsi="Times New Roman;sans-serif"/>
                  <w:b w:val="false"/>
                  <w:color w:val="000000"/>
                  <w:sz w:val="20"/>
                  <w:u w:val="single"/>
                </w:rPr>
                <w:t>1</w:t>
              </w:r>
            </w:hyperlink>
          </w:p>
        </w:tc>
      </w:tr>
      <w:tr>
        <w:trPr/>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9">
              <w:r>
                <w:rPr>
                  <w:rStyle w:val="InternetLink"/>
                  <w:rFonts w:ascii="Times New Roman;sans-serif" w:hAnsi="Times New Roman;sans-serif"/>
                  <w:b w:val="false"/>
                  <w:color w:val="000080"/>
                  <w:sz w:val="20"/>
                  <w:u w:val="single"/>
                </w:rPr>
                <w:t xml:space="preserve">Condensed Consolidated Balance </w:t>
              </w:r>
            </w:hyperlink>
            <w:hyperlink w:anchor="i62d7d870374940d2902bd50b91a2b750_19">
              <w:r>
                <w:rPr>
                  <w:rStyle w:val="InternetLink"/>
                  <w:rFonts w:ascii="Times New Roman;sans-serif" w:hAnsi="Times New Roman;sans-serif"/>
                  <w:b w:val="false"/>
                  <w:color w:val="000080"/>
                  <w:sz w:val="20"/>
                  <w:u w:val="single"/>
                </w:rPr>
                <w:t>S</w:t>
              </w:r>
            </w:hyperlink>
            <w:hyperlink w:anchor="i62d7d870374940d2902bd50b91a2b750_19">
              <w:r>
                <w:rPr>
                  <w:rStyle w:val="InternetLink"/>
                  <w:rFonts w:ascii="Times New Roman;sans-serif" w:hAnsi="Times New Roman;sans-serif"/>
                  <w:b w:val="false"/>
                  <w:color w:val="000080"/>
                  <w:sz w:val="20"/>
                  <w:u w:val="single"/>
                </w:rPr>
                <w:t>heets as of June 30, 2024 (Unaudited) And December 31,</w:t>
              </w:r>
            </w:hyperlink>
            <w:hyperlink w:anchor="i62d7d870374940d2902bd50b91a2b750_19">
              <w:r>
                <w:rPr>
                  <w:rStyle w:val="InternetLink"/>
                  <w:rFonts w:ascii="Times New Roman;sans-serif" w:hAnsi="Times New Roman;sans-serif"/>
                  <w:b w:val="false"/>
                  <w:color w:val="000080"/>
                  <w:sz w:val="20"/>
                  <w:u w:val="single"/>
                </w:rPr>
                <w:t xml:space="preserve"> 2023</w:t>
              </w:r>
            </w:hyperlink>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2d7d870374940d2902bd50b91a2b750_19">
              <w:r>
                <w:rPr>
                  <w:rStyle w:val="InternetLink"/>
                  <w:rFonts w:ascii="Times New Roman;sans-serif" w:hAnsi="Times New Roman;sans-serif"/>
                  <w:b w:val="false"/>
                  <w:color w:val="000000"/>
                  <w:sz w:val="20"/>
                  <w:u w:val="single"/>
                </w:rPr>
                <w:t>1</w:t>
              </w:r>
            </w:hyperlink>
          </w:p>
        </w:tc>
      </w:tr>
      <w:tr>
        <w:trPr/>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25">
              <w:r>
                <w:rPr>
                  <w:rStyle w:val="InternetLink"/>
                  <w:rFonts w:ascii="Times New Roman;sans-serif" w:hAnsi="Times New Roman;sans-serif"/>
                  <w:b w:val="false"/>
                  <w:color w:val="000000"/>
                  <w:sz w:val="20"/>
                  <w:u w:val="single"/>
                </w:rPr>
                <w:t>Unaudited Condensed Consolidated Statements of Operations for the three and six months ended June 30, 2024 and 2023</w:t>
              </w:r>
            </w:hyperlink>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2d7d870374940d2902bd50b91a2b750_25">
              <w:r>
                <w:rPr>
                  <w:rStyle w:val="InternetLink"/>
                  <w:rFonts w:ascii="Times New Roman;sans-serif" w:hAnsi="Times New Roman;sans-serif"/>
                  <w:b w:val="false"/>
                  <w:color w:val="000000"/>
                  <w:sz w:val="20"/>
                  <w:u w:val="single"/>
                </w:rPr>
                <w:t>3</w:t>
              </w:r>
            </w:hyperlink>
          </w:p>
        </w:tc>
      </w:tr>
      <w:tr>
        <w:trPr/>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28">
              <w:r>
                <w:rPr>
                  <w:rStyle w:val="InternetLink"/>
                  <w:rFonts w:ascii="Times New Roman;sans-serif" w:hAnsi="Times New Roman;sans-serif"/>
                  <w:b w:val="false"/>
                  <w:color w:val="000000"/>
                  <w:sz w:val="20"/>
                  <w:u w:val="single"/>
                </w:rPr>
                <w:t>Unaudited Condensed Consolidated Statements of Comprehensive Income / (loss) for the three and six months ended June 30, 2024 and 2023</w:t>
              </w:r>
            </w:hyperlink>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2d7d870374940d2902bd50b91a2b750_28">
              <w:r>
                <w:rPr>
                  <w:rStyle w:val="InternetLink"/>
                  <w:rFonts w:ascii="Times New Roman;sans-serif" w:hAnsi="Times New Roman;sans-serif"/>
                  <w:b w:val="false"/>
                  <w:color w:val="000000"/>
                  <w:sz w:val="20"/>
                  <w:u w:val="single"/>
                </w:rPr>
                <w:t>5</w:t>
              </w:r>
            </w:hyperlink>
          </w:p>
        </w:tc>
      </w:tr>
      <w:tr>
        <w:trPr/>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31">
              <w:r>
                <w:rPr>
                  <w:rStyle w:val="InternetLink"/>
                  <w:rFonts w:ascii="Times New Roman;sans-serif" w:hAnsi="Times New Roman;sans-serif"/>
                  <w:b w:val="false"/>
                  <w:color w:val="000080"/>
                  <w:sz w:val="20"/>
                  <w:u w:val="single"/>
                </w:rPr>
                <w:t xml:space="preserve">Unaudited Condensed Consolidated Statements of Changes In Redeemable Non-Controlling Interest, Redeemable Preferred Non-Controlling Interest And Stockholders' </w:t>
              </w:r>
            </w:hyperlink>
            <w:hyperlink w:anchor="i62d7d870374940d2902bd50b91a2b750_31">
              <w:r>
                <w:rPr>
                  <w:rStyle w:val="InternetLink"/>
                  <w:rFonts w:ascii="Times New Roman;sans-serif" w:hAnsi="Times New Roman;sans-serif"/>
                  <w:b w:val="false"/>
                  <w:color w:val="000080"/>
                  <w:sz w:val="20"/>
                  <w:u w:val="single"/>
                </w:rPr>
                <w:t>Deficit</w:t>
              </w:r>
            </w:hyperlink>
            <w:hyperlink w:anchor="i62d7d870374940d2902bd50b91a2b750_31">
              <w:r>
                <w:rPr>
                  <w:rStyle w:val="InternetLink"/>
                  <w:rFonts w:ascii="Times New Roman;sans-serif" w:hAnsi="Times New Roman;sans-serif"/>
                  <w:b w:val="false"/>
                  <w:color w:val="000080"/>
                  <w:sz w:val="20"/>
                  <w:u w:val="single"/>
                </w:rPr>
                <w:t xml:space="preserve"> for the three and six months ended June 30, 2024 and 2023</w:t>
              </w:r>
            </w:hyperlink>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2d7d870374940d2902bd50b91a2b750_31">
              <w:r>
                <w:rPr>
                  <w:rStyle w:val="InternetLink"/>
                  <w:rFonts w:ascii="Times New Roman;sans-serif" w:hAnsi="Times New Roman;sans-serif"/>
                  <w:b w:val="false"/>
                  <w:color w:val="000000"/>
                  <w:sz w:val="20"/>
                  <w:u w:val="single"/>
                </w:rPr>
                <w:t>6</w:t>
              </w:r>
            </w:hyperlink>
          </w:p>
        </w:tc>
      </w:tr>
      <w:tr>
        <w:trPr/>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34">
              <w:r>
                <w:rPr>
                  <w:rStyle w:val="InternetLink"/>
                  <w:rFonts w:ascii="Times New Roman;sans-serif" w:hAnsi="Times New Roman;sans-serif"/>
                  <w:b w:val="false"/>
                  <w:color w:val="000000"/>
                  <w:sz w:val="20"/>
                  <w:u w:val="single"/>
                </w:rPr>
                <w:t>Unaudited Condensed Consolidated Statements of Cash Flows for the six months ended June 30, 2024 and 2023</w:t>
              </w:r>
            </w:hyperlink>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2d7d870374940d2902bd50b91a2b750_34">
              <w:r>
                <w:rPr>
                  <w:rStyle w:val="InternetLink"/>
                  <w:rFonts w:ascii="Times New Roman;sans-serif" w:hAnsi="Times New Roman;sans-serif"/>
                  <w:b w:val="false"/>
                  <w:color w:val="000000"/>
                  <w:sz w:val="20"/>
                  <w:u w:val="single"/>
                </w:rPr>
                <w:t>9</w:t>
              </w:r>
            </w:hyperlink>
          </w:p>
        </w:tc>
      </w:tr>
      <w:tr>
        <w:trPr/>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37">
              <w:r>
                <w:rPr>
                  <w:rStyle w:val="InternetLink"/>
                  <w:rFonts w:ascii="Times New Roman;sans-serif" w:hAnsi="Times New Roman;sans-serif"/>
                  <w:b w:val="false"/>
                  <w:color w:val="000000"/>
                  <w:sz w:val="20"/>
                  <w:u w:val="single"/>
                </w:rPr>
                <w:t>Notes To Unaudited Condensed Consolidated Financial Statements</w:t>
              </w:r>
            </w:hyperlink>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2d7d870374940d2902bd50b91a2b750_37">
              <w:r>
                <w:rPr>
                  <w:rStyle w:val="InternetLink"/>
                  <w:rFonts w:ascii="Times New Roman;sans-serif" w:hAnsi="Times New Roman;sans-serif"/>
                  <w:b w:val="false"/>
                  <w:color w:val="000000"/>
                  <w:sz w:val="20"/>
                  <w:u w:val="single"/>
                </w:rPr>
                <w:t>11</w:t>
              </w:r>
            </w:hyperlink>
          </w:p>
        </w:tc>
      </w:tr>
      <w:tr>
        <w:trPr/>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00">
              <w:r>
                <w:rPr>
                  <w:rStyle w:val="InternetLink"/>
                  <w:rFonts w:ascii="Times New Roman;sans-serif" w:hAnsi="Times New Roman;sans-serif"/>
                  <w:b w:val="false"/>
                  <w:color w:val="000000"/>
                  <w:sz w:val="20"/>
                  <w:u w:val="single"/>
                </w:rPr>
                <w:t>ITEM 2.</w:t>
              </w:r>
            </w:hyperlink>
          </w:p>
        </w:tc>
        <w:tc>
          <w:tcPr>
            <w:tcW w:w="8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00">
              <w:r>
                <w:rPr>
                  <w:rStyle w:val="InternetLink"/>
                  <w:rFonts w:ascii="Times New Roman;sans-serif" w:hAnsi="Times New Roman;sans-serif"/>
                  <w:b w:val="false"/>
                  <w:color w:val="000000"/>
                  <w:sz w:val="20"/>
                  <w:u w:val="single"/>
                </w:rPr>
                <w:t>MANAGEMENT'S DISCUSSION AND ANALYSIS OF FINANCIAL CONDITION AND RESULTS OF OPERATIONS</w:t>
              </w:r>
            </w:hyperlink>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2d7d870374940d2902bd50b91a2b750_100">
              <w:r>
                <w:rPr>
                  <w:rStyle w:val="InternetLink"/>
                  <w:rFonts w:ascii="Times New Roman;sans-serif" w:hAnsi="Times New Roman;sans-serif"/>
                  <w:b w:val="false"/>
                  <w:color w:val="000000"/>
                  <w:sz w:val="20"/>
                  <w:u w:val="single"/>
                </w:rPr>
                <w:t>48</w:t>
              </w:r>
            </w:hyperlink>
          </w:p>
        </w:tc>
      </w:tr>
      <w:tr>
        <w:trPr/>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3.</w:t>
            </w:r>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15">
              <w:r>
                <w:rPr>
                  <w:rStyle w:val="InternetLink"/>
                  <w:rFonts w:ascii="Times New Roman;sans-serif" w:hAnsi="Times New Roman;sans-serif"/>
                  <w:b w:val="false"/>
                  <w:color w:val="000000"/>
                  <w:sz w:val="20"/>
                  <w:u w:val="single"/>
                </w:rPr>
                <w:t>QUANTITATIVE AND QUALITATIVE DISCLOSURES ABOUT MARKET RISK</w:t>
              </w:r>
            </w:hyperlink>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2d7d870374940d2902bd50b91a2b750_115">
              <w:r>
                <w:rPr>
                  <w:rStyle w:val="InternetLink"/>
                  <w:rFonts w:ascii="Times New Roman;sans-serif" w:hAnsi="Times New Roman;sans-serif"/>
                  <w:b w:val="false"/>
                  <w:color w:val="000000"/>
                  <w:sz w:val="20"/>
                  <w:u w:val="single"/>
                </w:rPr>
                <w:t>61</w:t>
              </w:r>
            </w:hyperlink>
          </w:p>
        </w:tc>
      </w:tr>
      <w:tr>
        <w:trPr/>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18">
              <w:r>
                <w:rPr>
                  <w:rStyle w:val="InternetLink"/>
                  <w:rFonts w:ascii="Times New Roman;sans-serif" w:hAnsi="Times New Roman;sans-serif"/>
                  <w:b w:val="false"/>
                  <w:color w:val="000000"/>
                  <w:sz w:val="20"/>
                  <w:u w:val="single"/>
                </w:rPr>
                <w:t>ITEM 4.</w:t>
              </w:r>
            </w:hyperlink>
          </w:p>
        </w:tc>
        <w:tc>
          <w:tcPr>
            <w:tcW w:w="8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18">
              <w:r>
                <w:rPr>
                  <w:rStyle w:val="InternetLink"/>
                  <w:rFonts w:ascii="Times New Roman;sans-serif" w:hAnsi="Times New Roman;sans-serif"/>
                  <w:b w:val="false"/>
                  <w:color w:val="000000"/>
                  <w:sz w:val="20"/>
                  <w:u w:val="single"/>
                </w:rPr>
                <w:t>CONTROLS AND PROCEDURES</w:t>
              </w:r>
            </w:hyperlink>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2d7d870374940d2902bd50b91a2b750_118">
              <w:r>
                <w:rPr>
                  <w:rStyle w:val="InternetLink"/>
                  <w:rFonts w:ascii="Times New Roman;sans-serif" w:hAnsi="Times New Roman;sans-serif"/>
                  <w:b w:val="false"/>
                  <w:color w:val="000000"/>
                  <w:sz w:val="20"/>
                  <w:u w:val="single"/>
                </w:rPr>
                <w:t>61</w:t>
              </w:r>
            </w:hyperlink>
          </w:p>
        </w:tc>
      </w:tr>
      <w:tr>
        <w:trPr/>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2d7d870374940d2902bd50b91a2b750_121">
              <w:r>
                <w:rPr>
                  <w:rStyle w:val="InternetLink"/>
                  <w:rFonts w:ascii="Times New Roman;sans-serif" w:hAnsi="Times New Roman;sans-serif"/>
                  <w:b/>
                  <w:color w:val="000000"/>
                  <w:sz w:val="20"/>
                  <w:u w:val="single"/>
                </w:rPr>
                <w:t>PART II. OTHER INFORMATION</w:t>
              </w:r>
            </w:hyperlink>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24">
              <w:r>
                <w:rPr>
                  <w:rStyle w:val="InternetLink"/>
                  <w:rFonts w:ascii="Times New Roman;sans-serif" w:hAnsi="Times New Roman;sans-serif"/>
                  <w:b w:val="false"/>
                  <w:color w:val="000000"/>
                  <w:sz w:val="20"/>
                  <w:u w:val="single"/>
                </w:rPr>
                <w:t>ITEM 1.</w:t>
              </w:r>
            </w:hyperlink>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24">
              <w:r>
                <w:rPr>
                  <w:rStyle w:val="InternetLink"/>
                  <w:rFonts w:ascii="Times New Roman;sans-serif" w:hAnsi="Times New Roman;sans-serif"/>
                  <w:b w:val="false"/>
                  <w:color w:val="000000"/>
                  <w:sz w:val="20"/>
                  <w:u w:val="single"/>
                </w:rPr>
                <w:t>LEGAL PROCEEDINGS</w:t>
              </w:r>
            </w:hyperlink>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2d7d870374940d2902bd50b91a2b750_124">
              <w:r>
                <w:rPr>
                  <w:rStyle w:val="InternetLink"/>
                  <w:rFonts w:ascii="Times New Roman;sans-serif" w:hAnsi="Times New Roman;sans-serif"/>
                  <w:b w:val="false"/>
                  <w:color w:val="000000"/>
                  <w:sz w:val="20"/>
                  <w:u w:val="single"/>
                </w:rPr>
                <w:t>63</w:t>
              </w:r>
            </w:hyperlink>
          </w:p>
        </w:tc>
      </w:tr>
      <w:tr>
        <w:trPr/>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27">
              <w:r>
                <w:rPr>
                  <w:rStyle w:val="InternetLink"/>
                  <w:rFonts w:ascii="Times New Roman;sans-serif" w:hAnsi="Times New Roman;sans-serif"/>
                  <w:b w:val="false"/>
                  <w:color w:val="000000"/>
                  <w:sz w:val="20"/>
                  <w:u w:val="single"/>
                </w:rPr>
                <w:t>ITEM 1A.</w:t>
              </w:r>
            </w:hyperlink>
          </w:p>
        </w:tc>
        <w:tc>
          <w:tcPr>
            <w:tcW w:w="8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27">
              <w:r>
                <w:rPr>
                  <w:rStyle w:val="InternetLink"/>
                  <w:rFonts w:ascii="Times New Roman;sans-serif" w:hAnsi="Times New Roman;sans-serif"/>
                  <w:b w:val="false"/>
                  <w:color w:val="000000"/>
                  <w:sz w:val="20"/>
                  <w:u w:val="single"/>
                </w:rPr>
                <w:t>RISK FACTORS</w:t>
              </w:r>
            </w:hyperlink>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2d7d870374940d2902bd50b91a2b750_127">
              <w:r>
                <w:rPr>
                  <w:rStyle w:val="InternetLink"/>
                  <w:rFonts w:ascii="Times New Roman;sans-serif" w:hAnsi="Times New Roman;sans-serif"/>
                  <w:b w:val="false"/>
                  <w:color w:val="000000"/>
                  <w:sz w:val="20"/>
                  <w:u w:val="single"/>
                </w:rPr>
                <w:t>63</w:t>
              </w:r>
            </w:hyperlink>
          </w:p>
        </w:tc>
      </w:tr>
      <w:tr>
        <w:trPr/>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30">
              <w:r>
                <w:rPr>
                  <w:rStyle w:val="InternetLink"/>
                  <w:rFonts w:ascii="Times New Roman;sans-serif" w:hAnsi="Times New Roman;sans-serif"/>
                  <w:b w:val="false"/>
                  <w:color w:val="000000"/>
                  <w:sz w:val="20"/>
                  <w:u w:val="single"/>
                </w:rPr>
                <w:t>ITEM 2.</w:t>
              </w:r>
            </w:hyperlink>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30">
              <w:r>
                <w:rPr>
                  <w:rStyle w:val="InternetLink"/>
                  <w:rFonts w:ascii="Times New Roman;sans-serif" w:hAnsi="Times New Roman;sans-serif"/>
                  <w:b w:val="false"/>
                  <w:color w:val="000000"/>
                  <w:sz w:val="20"/>
                  <w:u w:val="single"/>
                </w:rPr>
                <w:t>UNREGISTERED SALES OF EQUITY SECURITIES AND USE OF PROCEEDS</w:t>
              </w:r>
            </w:hyperlink>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2d7d870374940d2902bd50b91a2b750_130">
              <w:r>
                <w:rPr>
                  <w:rStyle w:val="InternetLink"/>
                  <w:rFonts w:ascii="Times New Roman;sans-serif" w:hAnsi="Times New Roman;sans-serif"/>
                  <w:b w:val="false"/>
                  <w:color w:val="000000"/>
                  <w:sz w:val="20"/>
                  <w:u w:val="single"/>
                </w:rPr>
                <w:t>63</w:t>
              </w:r>
            </w:hyperlink>
          </w:p>
        </w:tc>
      </w:tr>
      <w:tr>
        <w:trPr/>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33">
              <w:r>
                <w:rPr>
                  <w:rStyle w:val="InternetLink"/>
                  <w:rFonts w:ascii="Times New Roman;sans-serif" w:hAnsi="Times New Roman;sans-serif"/>
                  <w:b w:val="false"/>
                  <w:color w:val="000000"/>
                  <w:sz w:val="20"/>
                  <w:u w:val="single"/>
                </w:rPr>
                <w:t>ITEM 3.</w:t>
              </w:r>
            </w:hyperlink>
          </w:p>
        </w:tc>
        <w:tc>
          <w:tcPr>
            <w:tcW w:w="8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33">
              <w:r>
                <w:rPr>
                  <w:rStyle w:val="InternetLink"/>
                  <w:rFonts w:ascii="Times New Roman;sans-serif" w:hAnsi="Times New Roman;sans-serif"/>
                  <w:b w:val="false"/>
                  <w:color w:val="000000"/>
                  <w:sz w:val="20"/>
                  <w:u w:val="single"/>
                </w:rPr>
                <w:t>DEFAULTS UPON SENIOR SECURITIES</w:t>
              </w:r>
            </w:hyperlink>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2d7d870374940d2902bd50b91a2b750_133">
              <w:r>
                <w:rPr>
                  <w:rStyle w:val="InternetLink"/>
                  <w:rFonts w:ascii="Times New Roman;sans-serif" w:hAnsi="Times New Roman;sans-serif"/>
                  <w:b w:val="false"/>
                  <w:color w:val="000000"/>
                  <w:sz w:val="20"/>
                  <w:u w:val="single"/>
                </w:rPr>
                <w:t>64</w:t>
              </w:r>
            </w:hyperlink>
          </w:p>
        </w:tc>
      </w:tr>
      <w:tr>
        <w:trPr/>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36">
              <w:r>
                <w:rPr>
                  <w:rStyle w:val="InternetLink"/>
                  <w:rFonts w:ascii="Times New Roman;sans-serif" w:hAnsi="Times New Roman;sans-serif"/>
                  <w:b w:val="false"/>
                  <w:color w:val="000000"/>
                  <w:sz w:val="20"/>
                  <w:u w:val="single"/>
                </w:rPr>
                <w:t>ITEM 4.</w:t>
              </w:r>
            </w:hyperlink>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36">
              <w:r>
                <w:rPr>
                  <w:rStyle w:val="InternetLink"/>
                  <w:rFonts w:ascii="Times New Roman;sans-serif" w:hAnsi="Times New Roman;sans-serif"/>
                  <w:b w:val="false"/>
                  <w:color w:val="000000"/>
                  <w:sz w:val="20"/>
                  <w:u w:val="single"/>
                </w:rPr>
                <w:t>MINE SAFETY DISCLOSURES</w:t>
              </w:r>
            </w:hyperlink>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2d7d870374940d2902bd50b91a2b750_136">
              <w:r>
                <w:rPr>
                  <w:rStyle w:val="InternetLink"/>
                  <w:rFonts w:ascii="Times New Roman;sans-serif" w:hAnsi="Times New Roman;sans-serif"/>
                  <w:b w:val="false"/>
                  <w:color w:val="000000"/>
                  <w:sz w:val="20"/>
                  <w:u w:val="single"/>
                </w:rPr>
                <w:t>64</w:t>
              </w:r>
            </w:hyperlink>
          </w:p>
        </w:tc>
      </w:tr>
      <w:tr>
        <w:trPr/>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39">
              <w:r>
                <w:rPr>
                  <w:rStyle w:val="InternetLink"/>
                  <w:rFonts w:ascii="Times New Roman;sans-serif" w:hAnsi="Times New Roman;sans-serif"/>
                  <w:b w:val="false"/>
                  <w:color w:val="000000"/>
                  <w:sz w:val="20"/>
                  <w:u w:val="single"/>
                </w:rPr>
                <w:t>ITEM 5.</w:t>
              </w:r>
            </w:hyperlink>
          </w:p>
        </w:tc>
        <w:tc>
          <w:tcPr>
            <w:tcW w:w="8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39">
              <w:r>
                <w:rPr>
                  <w:rStyle w:val="InternetLink"/>
                  <w:rFonts w:ascii="Times New Roman;sans-serif" w:hAnsi="Times New Roman;sans-serif"/>
                  <w:b w:val="false"/>
                  <w:color w:val="000000"/>
                  <w:sz w:val="20"/>
                  <w:u w:val="single"/>
                </w:rPr>
                <w:t>OTHER INFORMATION</w:t>
              </w:r>
            </w:hyperlink>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2d7d870374940d2902bd50b91a2b750_139">
              <w:r>
                <w:rPr>
                  <w:rStyle w:val="InternetLink"/>
                  <w:rFonts w:ascii="Times New Roman;sans-serif" w:hAnsi="Times New Roman;sans-serif"/>
                  <w:b w:val="false"/>
                  <w:color w:val="000000"/>
                  <w:sz w:val="20"/>
                  <w:u w:val="single"/>
                </w:rPr>
                <w:t>65</w:t>
              </w:r>
            </w:hyperlink>
          </w:p>
        </w:tc>
      </w:tr>
      <w:tr>
        <w:trPr/>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42">
              <w:r>
                <w:rPr>
                  <w:rStyle w:val="InternetLink"/>
                  <w:rFonts w:ascii="Times New Roman;sans-serif" w:hAnsi="Times New Roman;sans-serif"/>
                  <w:b w:val="false"/>
                  <w:color w:val="000000"/>
                  <w:sz w:val="20"/>
                  <w:u w:val="single"/>
                </w:rPr>
                <w:t>ITEM 6.</w:t>
              </w:r>
            </w:hyperlink>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42">
              <w:r>
                <w:rPr>
                  <w:rStyle w:val="InternetLink"/>
                  <w:rFonts w:ascii="Times New Roman;sans-serif" w:hAnsi="Times New Roman;sans-serif"/>
                  <w:b w:val="false"/>
                  <w:color w:val="000000"/>
                  <w:sz w:val="20"/>
                  <w:u w:val="single"/>
                </w:rPr>
                <w:t>EXHIBITS</w:t>
              </w:r>
            </w:hyperlink>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2d7d870374940d2902bd50b91a2b750_142">
              <w:r>
                <w:rPr>
                  <w:rStyle w:val="InternetLink"/>
                  <w:rFonts w:ascii="Times New Roman;sans-serif" w:hAnsi="Times New Roman;sans-serif"/>
                  <w:b w:val="false"/>
                  <w:color w:val="000000"/>
                  <w:sz w:val="20"/>
                  <w:u w:val="single"/>
                </w:rPr>
                <w:t>65</w:t>
              </w:r>
            </w:hyperlink>
          </w:p>
        </w:tc>
      </w:tr>
      <w:tr>
        <w:trPr/>
        <w:tc>
          <w:tcPr>
            <w:tcW w:w="951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2d7d870374940d2902bd50b91a2b750_145">
              <w:r>
                <w:rPr>
                  <w:rStyle w:val="InternetLink"/>
                  <w:rFonts w:ascii="Times New Roman;sans-serif" w:hAnsi="Times New Roman;sans-serif"/>
                  <w:b w:val="false"/>
                  <w:color w:val="000000"/>
                  <w:sz w:val="20"/>
                  <w:u w:val="single"/>
                </w:rPr>
                <w:t>SIGNATURES</w:t>
              </w:r>
            </w:hyperlink>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2d7d870374940d2902bd50b91a2b750_145">
              <w:r>
                <w:rPr>
                  <w:rStyle w:val="InternetLink"/>
                  <w:rFonts w:ascii="Times New Roman;sans-serif" w:hAnsi="Times New Roman;sans-serif"/>
                  <w:b w:val="false"/>
                  <w:color w:val="000000"/>
                  <w:sz w:val="20"/>
                  <w:u w:val="single"/>
                </w:rPr>
                <w:t>66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53"/>
        <w:gridCol w:w="2415"/>
        <w:gridCol w:w="2411"/>
        <w:gridCol w:w="196"/>
        <w:gridCol w:w="740"/>
        <w:gridCol w:w="109"/>
        <w:gridCol w:w="109"/>
        <w:gridCol w:w="109"/>
        <w:gridCol w:w="109"/>
        <w:gridCol w:w="207"/>
        <w:gridCol w:w="779"/>
        <w:gridCol w:w="168"/>
      </w:tblGrid>
      <w:tr>
        <w:trPr/>
        <w:tc>
          <w:tcPr>
            <w:tcW w:w="2853"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(includes $533 and $166 at June 30, 2024 and December 31, 2023, respectively, related to consolidated VIEs)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(includes $388 and $33 at June 30, 2024 and December 31, 2023, respectively, related to consolidated VIEs)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27,623 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 (includes $940 and $4,395 at June 30, 2024 and December 31, 2023, respectively, related to consolidated VIEs)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Short term investments </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9,875 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 (includes $29 and $29 at June 30, 2024 and December 31, 2023, respectively, related to consolidated VIEs)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Environmental credits held for sale </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 (includes $68 and $107 at June 30, 2024 and December 31, 2023, respectively, related to consolidated VIEs)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 current portion</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128,073 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(includes $25,884 and $26,626 at June 30, 2024 and December 31, 2023, respectively, related to consolidated VIEs)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339,493 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right-of-use assets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12,301 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other entities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207,099 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 variable fee component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non-current (includes $2,063 and $1,850 at June 30, 2024 and December 31, 2023, respectively, related to consolidated VIEs)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4,499 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754,609 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(includes $50 and $744 at June 30, 2024 and December 31, 2023,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related party (includes $669 and $1,046 at June 30, 2024 and December 31, 2023, respectively, related to consolidated VIEs) </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7,024 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(includes $38 and $— at June 30, 2024 and December 31, 2023, respectively, related to consolidated VIEs)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9,023 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capital expenses </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(includes $812 and $647 at June 30, 2024 and December 31, 2022, respectively, related to consolidated VIEs)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43535"/>
                <wp:effectExtent l="0" t="0" r="0" b="0"/>
                <wp:wrapNone/>
                <wp:docPr id="6" name="Frame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29"/>
        <w:gridCol w:w="2303"/>
        <w:gridCol w:w="2317"/>
        <w:gridCol w:w="196"/>
        <w:gridCol w:w="736"/>
        <w:gridCol w:w="109"/>
        <w:gridCol w:w="109"/>
        <w:gridCol w:w="109"/>
        <w:gridCol w:w="109"/>
        <w:gridCol w:w="196"/>
        <w:gridCol w:w="736"/>
        <w:gridCol w:w="156"/>
      </w:tblGrid>
      <w:tr>
        <w:trPr/>
        <w:tc>
          <w:tcPr>
            <w:tcW w:w="3129"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 current portion (includes $1,689 and $1,608 at June 30, 2024 and December 31, 2023,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 (includes $97 and $92 at June 30, 2024 and December 31, 2023,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 non-current portion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 non-current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 (includes $19,193 and $20,010 at June 30, 2024 and December 31, 2023,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 out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(includes $2,683 and $211 at June 30, 2024 and December 31, 2023,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132,617 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802,720 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deficit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340,000,000 shares authorized as of June 30, 2024; shares issued: 30,058,569 and 29,701,146 at June 30, 2024 and December 31, 2023, respectively; shares outstanding: 28,422,786 and 28,065,363 at June 30, 2024 and December 31, 2023,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160,000,000 shares authorized as of June 30, 2024; 71,500,000 and none issued and outstanding as of June 30, 2024 and December 31, 2023,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$0.0001 par value, 160,000,000 shares authorized as of June 30, 2024; none issued and outstanding as of June 30, 2024 and December 31, 2023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$0.0001 par value, 160,000,000 shares authorized as of June 30, 2024; 72,899,037 and 144,399,037 shares issued and outstanding at June 30, 2024 and December 31, 2023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Additional paid-in capital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in treasury, at cost; 1,635,783 and 1,635,783 shares at June 30, 2024 and December 31, 2023,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attributable to the Company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(273,030)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(478,807)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Non-redeemable non-controlling interests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(477,852)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liabilities, Redeemable preferred non-controlling interests, Redeemable non-controlling interests and Stockholders' deficit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782,312 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754,609 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before="200" w:after="283"/>
        <w:jc w:val="center"/>
        <w:rPr/>
      </w:pPr>
      <w:r>
        <w:rPr/>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43535"/>
                <wp:effectExtent l="0" t="0" r="0" b="0"/>
                <wp:wrapNone/>
                <wp:docPr id="7" name="Frame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22"/>
        <w:gridCol w:w="1364"/>
        <w:gridCol w:w="1374"/>
        <w:gridCol w:w="109"/>
        <w:gridCol w:w="109"/>
        <w:gridCol w:w="109"/>
        <w:gridCol w:w="223"/>
        <w:gridCol w:w="738"/>
        <w:gridCol w:w="111"/>
        <w:gridCol w:w="111"/>
        <w:gridCol w:w="111"/>
        <w:gridCol w:w="111"/>
        <w:gridCol w:w="223"/>
        <w:gridCol w:w="738"/>
        <w:gridCol w:w="111"/>
        <w:gridCol w:w="109"/>
        <w:gridCol w:w="109"/>
        <w:gridCol w:w="109"/>
        <w:gridCol w:w="223"/>
        <w:gridCol w:w="738"/>
        <w:gridCol w:w="109"/>
        <w:gridCol w:w="109"/>
        <w:gridCol w:w="109"/>
        <w:gridCol w:w="109"/>
        <w:gridCol w:w="223"/>
        <w:gridCol w:w="738"/>
        <w:gridCol w:w="156"/>
      </w:tblGrid>
      <w:tr>
        <w:trPr/>
        <w:tc>
          <w:tcPr>
            <w:tcW w:w="1822"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RNG Fuel (includes revenues from related party of $15,881 and $9,412 for the three months ended June 30, 2024 and 2023, respectively; $31,376 and $14,127 for the six months ended June 30, 2024 and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 (includes revenues from related party of $9,528 and $2,440 for the three months ended June 30, 2024 and 2023, respectively; $17,269 and $3,933 for the six months ended June 30, 2024 and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(includes revenues from related party of $1,804 and $1,747 for the three months ended June 30, 2024 and 2023, respectively; $3,330 and $3,274, for the six months ended June 30, 2024 and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47,768 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Project development and startup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65,261 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62,410 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debt extinguishment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93,460 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Dividends on redeemable preferred non-controlling interests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27,674,567 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26,977,682 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27,523,150 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27,179,488 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27,674,567 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27,248,639 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27,523,150 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27,556,700 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 share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Basic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43535"/>
                <wp:effectExtent l="0" t="0" r="0" b="0"/>
                <wp:wrapNone/>
                <wp:docPr id="8" name="Frame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0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Dividends on redeemable preferred non-controlling interests is allocated between redeemable non-controlling interests and Class A common stockholders based on their weighted average percentage of ownership. Please see Note. 13</w:t>
      </w:r>
      <w:r>
        <w:rPr>
          <w:color w:val="000000"/>
        </w:rPr>
        <w:t xml:space="preserve"> </w:t>
      </w:r>
      <w:r>
        <w:rPr>
          <w:rFonts w:ascii="Times New Roman;sans-serif" w:hAnsi="Times New Roman;sans-serif"/>
          <w:b w:val="false"/>
          <w:i/>
          <w:color w:val="000000"/>
          <w:sz w:val="18"/>
        </w:rPr>
        <w:t xml:space="preserve">Redeemable non-controlling interests, redeemable preferred non-controlling interests and Stockholders' Deficit </w:t>
      </w:r>
      <w:r>
        <w:rPr>
          <w:rFonts w:ascii="Times New Roman;sans-serif" w:hAnsi="Times New Roman;sans-serif"/>
          <w:b w:val="false"/>
          <w:color w:val="000000"/>
          <w:sz w:val="18"/>
        </w:rPr>
        <w:t xml:space="preserve">for additional information. </w:t>
      </w:r>
    </w:p>
    <w:p>
      <w:pPr>
        <w:pStyle w:val="TextBody"/>
        <w:bidi w:val="0"/>
        <w:spacing w:before="200" w:after="200"/>
        <w:jc w:val="left"/>
        <w:rPr/>
      </w:pPr>
      <w:r>
        <w:rPr/>
      </w:r>
    </w:p>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before="200" w:after="20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43535"/>
                <wp:effectExtent l="0" t="0" r="0" b="0"/>
                <wp:wrapNone/>
                <wp:docPr id="9" name="Frame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77"/>
        <w:gridCol w:w="1441"/>
        <w:gridCol w:w="1454"/>
        <w:gridCol w:w="109"/>
        <w:gridCol w:w="109"/>
        <w:gridCol w:w="109"/>
        <w:gridCol w:w="221"/>
        <w:gridCol w:w="645"/>
        <w:gridCol w:w="113"/>
        <w:gridCol w:w="113"/>
        <w:gridCol w:w="113"/>
        <w:gridCol w:w="113"/>
        <w:gridCol w:w="221"/>
        <w:gridCol w:w="865"/>
        <w:gridCol w:w="113"/>
        <w:gridCol w:w="109"/>
        <w:gridCol w:w="109"/>
        <w:gridCol w:w="109"/>
        <w:gridCol w:w="211"/>
        <w:gridCol w:w="616"/>
        <w:gridCol w:w="109"/>
        <w:gridCol w:w="109"/>
        <w:gridCol w:w="109"/>
        <w:gridCol w:w="109"/>
        <w:gridCol w:w="211"/>
        <w:gridCol w:w="826"/>
        <w:gridCol w:w="162"/>
      </w:tblGrid>
      <w:tr>
        <w:trPr/>
        <w:tc>
          <w:tcPr>
            <w:tcW w:w="167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114,050 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106,704 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portion of the cash flow hedge attributable to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Reclassification adjustments included in earnings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113,227 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105,525 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95,851 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89,936 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43535"/>
                <wp:effectExtent l="0" t="0" r="0" b="0"/>
                <wp:wrapNone/>
                <wp:docPr id="10" name="Frame1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OPAL FUELS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CONDENSED CONSOLIDATED STATEMENTS OF CHANGES IN REDEEMABLE NON-CONTROLLING INTEREST, REDEEMABLE PREFERRED NON-CONTROLLING INTEREST AND STOCKHOLDERS' DEFICIT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23860" w:type="dxa"/>
        <w:jc w:val="center"/>
        <w:tblInd w:w="0" w:type="dxa"/>
        <w:tblLayout w:type="fixed"/>
        <w:tblCellMar>
          <w:top w:w="28" w:type="dxa"/>
          <w:left w:w="28" w:type="dxa"/>
          <w:bottom w:w="28" w:type="dxa"/>
          <w:right w:w="28" w:type="dxa"/>
        </w:tblCellMar>
      </w:tblPr>
      <w:tblGrid>
        <w:gridCol w:w="704"/>
        <w:gridCol w:w="410"/>
        <w:gridCol w:w="312"/>
        <w:gridCol w:w="109"/>
        <w:gridCol w:w="109"/>
        <w:gridCol w:w="109"/>
        <w:gridCol w:w="540"/>
        <w:gridCol w:w="541"/>
        <w:gridCol w:w="211"/>
        <w:gridCol w:w="109"/>
        <w:gridCol w:w="109"/>
        <w:gridCol w:w="109"/>
        <w:gridCol w:w="334"/>
        <w:gridCol w:w="323"/>
        <w:gridCol w:w="109"/>
        <w:gridCol w:w="109"/>
        <w:gridCol w:w="109"/>
        <w:gridCol w:w="109"/>
        <w:gridCol w:w="540"/>
        <w:gridCol w:w="541"/>
        <w:gridCol w:w="211"/>
        <w:gridCol w:w="109"/>
        <w:gridCol w:w="109"/>
        <w:gridCol w:w="109"/>
        <w:gridCol w:w="251"/>
        <w:gridCol w:w="406"/>
        <w:gridCol w:w="109"/>
        <w:gridCol w:w="109"/>
        <w:gridCol w:w="109"/>
        <w:gridCol w:w="109"/>
        <w:gridCol w:w="593"/>
        <w:gridCol w:w="593"/>
        <w:gridCol w:w="211"/>
        <w:gridCol w:w="109"/>
        <w:gridCol w:w="109"/>
        <w:gridCol w:w="109"/>
        <w:gridCol w:w="296"/>
        <w:gridCol w:w="361"/>
        <w:gridCol w:w="109"/>
        <w:gridCol w:w="109"/>
        <w:gridCol w:w="109"/>
        <w:gridCol w:w="109"/>
        <w:gridCol w:w="288"/>
        <w:gridCol w:w="554"/>
        <w:gridCol w:w="149"/>
        <w:gridCol w:w="109"/>
        <w:gridCol w:w="109"/>
        <w:gridCol w:w="109"/>
        <w:gridCol w:w="211"/>
        <w:gridCol w:w="866"/>
        <w:gridCol w:w="109"/>
        <w:gridCol w:w="109"/>
        <w:gridCol w:w="109"/>
        <w:gridCol w:w="109"/>
        <w:gridCol w:w="445"/>
        <w:gridCol w:w="445"/>
        <w:gridCol w:w="446"/>
        <w:gridCol w:w="109"/>
        <w:gridCol w:w="109"/>
        <w:gridCol w:w="109"/>
        <w:gridCol w:w="386"/>
        <w:gridCol w:w="854"/>
        <w:gridCol w:w="201"/>
        <w:gridCol w:w="327"/>
        <w:gridCol w:w="991"/>
        <w:gridCol w:w="211"/>
        <w:gridCol w:w="327"/>
        <w:gridCol w:w="211"/>
        <w:gridCol w:w="736"/>
        <w:gridCol w:w="109"/>
        <w:gridCol w:w="327"/>
        <w:gridCol w:w="211"/>
        <w:gridCol w:w="881"/>
        <w:gridCol w:w="109"/>
        <w:gridCol w:w="327"/>
        <w:gridCol w:w="257"/>
        <w:gridCol w:w="1006"/>
        <w:gridCol w:w="133"/>
        <w:gridCol w:w="327"/>
        <w:gridCol w:w="255"/>
        <w:gridCol w:w="999"/>
        <w:gridCol w:w="187"/>
      </w:tblGrid>
      <w:tr>
        <w:trPr/>
        <w:tc>
          <w:tcPr>
            <w:tcW w:w="70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Mezzanine Equity</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Shares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29,701,146 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(1,635,783)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132,617 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802,720 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Issuance of Class A common stock under the ATM program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conversion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(71,500,000)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Issuance of Class A common stock for vesting of equity awards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redeemable preferred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redemption value of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(97,044)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30,022,288 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71,500,000 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72,899,037 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(1,635,783)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705,190 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Issuance of Class A common stock under the ATM program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43535"/>
                <wp:effectExtent l="0" t="0" r="0" b="0"/>
                <wp:wrapNone/>
                <wp:docPr id="11" name="Frame1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20637" w:type="dxa"/>
        <w:jc w:val="center"/>
        <w:tblInd w:w="0" w:type="dxa"/>
        <w:tblLayout w:type="fixed"/>
        <w:tblCellMar>
          <w:top w:w="28" w:type="dxa"/>
          <w:left w:w="28" w:type="dxa"/>
          <w:bottom w:w="28" w:type="dxa"/>
          <w:right w:w="28" w:type="dxa"/>
        </w:tblCellMar>
      </w:tblPr>
      <w:tblGrid>
        <w:gridCol w:w="899"/>
        <w:gridCol w:w="263"/>
        <w:gridCol w:w="264"/>
        <w:gridCol w:w="109"/>
        <w:gridCol w:w="109"/>
        <w:gridCol w:w="109"/>
        <w:gridCol w:w="539"/>
        <w:gridCol w:w="542"/>
        <w:gridCol w:w="109"/>
        <w:gridCol w:w="109"/>
        <w:gridCol w:w="109"/>
        <w:gridCol w:w="109"/>
        <w:gridCol w:w="211"/>
        <w:gridCol w:w="256"/>
        <w:gridCol w:w="109"/>
        <w:gridCol w:w="109"/>
        <w:gridCol w:w="109"/>
        <w:gridCol w:w="109"/>
        <w:gridCol w:w="540"/>
        <w:gridCol w:w="541"/>
        <w:gridCol w:w="109"/>
        <w:gridCol w:w="109"/>
        <w:gridCol w:w="109"/>
        <w:gridCol w:w="109"/>
        <w:gridCol w:w="211"/>
        <w:gridCol w:w="256"/>
        <w:gridCol w:w="109"/>
        <w:gridCol w:w="109"/>
        <w:gridCol w:w="109"/>
        <w:gridCol w:w="109"/>
        <w:gridCol w:w="540"/>
        <w:gridCol w:w="541"/>
        <w:gridCol w:w="109"/>
        <w:gridCol w:w="109"/>
        <w:gridCol w:w="109"/>
        <w:gridCol w:w="109"/>
        <w:gridCol w:w="211"/>
        <w:gridCol w:w="256"/>
        <w:gridCol w:w="109"/>
        <w:gridCol w:w="109"/>
        <w:gridCol w:w="109"/>
        <w:gridCol w:w="109"/>
        <w:gridCol w:w="211"/>
        <w:gridCol w:w="406"/>
        <w:gridCol w:w="109"/>
        <w:gridCol w:w="109"/>
        <w:gridCol w:w="109"/>
        <w:gridCol w:w="109"/>
        <w:gridCol w:w="211"/>
        <w:gridCol w:w="841"/>
        <w:gridCol w:w="109"/>
        <w:gridCol w:w="109"/>
        <w:gridCol w:w="109"/>
        <w:gridCol w:w="109"/>
        <w:gridCol w:w="211"/>
        <w:gridCol w:w="361"/>
        <w:gridCol w:w="109"/>
        <w:gridCol w:w="109"/>
        <w:gridCol w:w="109"/>
        <w:gridCol w:w="109"/>
        <w:gridCol w:w="211"/>
        <w:gridCol w:w="466"/>
        <w:gridCol w:w="109"/>
        <w:gridCol w:w="327"/>
        <w:gridCol w:w="991"/>
        <w:gridCol w:w="109"/>
        <w:gridCol w:w="327"/>
        <w:gridCol w:w="211"/>
        <w:gridCol w:w="736"/>
        <w:gridCol w:w="109"/>
        <w:gridCol w:w="327"/>
        <w:gridCol w:w="211"/>
        <w:gridCol w:w="841"/>
        <w:gridCol w:w="109"/>
        <w:gridCol w:w="327"/>
        <w:gridCol w:w="211"/>
        <w:gridCol w:w="826"/>
        <w:gridCol w:w="109"/>
        <w:gridCol w:w="327"/>
        <w:gridCol w:w="211"/>
        <w:gridCol w:w="826"/>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Issuance of Class A common stock for vesting of equity awards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redeemable preferred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redemption value of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30,058,569 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72,899,037 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0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During the six months ended June 30, 2024, the Company issued shares of Class A common stock under the Company's ATM program. Please see Note 13. </w:t>
      </w:r>
      <w:r>
        <w:rPr>
          <w:rFonts w:ascii="Times New Roman;sans-serif" w:hAnsi="Times New Roman;sans-serif"/>
          <w:b w:val="false"/>
          <w:i/>
          <w:color w:val="000000"/>
          <w:sz w:val="20"/>
        </w:rPr>
        <w:t xml:space="preserve">Redeemable non-controlling interests, Redeemable preferred non-controlling interests and Stockholders' Deficit </w:t>
      </w:r>
      <w:r>
        <w:rPr>
          <w:rFonts w:ascii="Times New Roman;sans-serif" w:hAnsi="Times New Roman;sans-serif"/>
          <w:b w:val="false"/>
          <w:color w:val="000000"/>
          <w:sz w:val="20"/>
        </w:rPr>
        <w:t>for additional information.</w:t>
      </w:r>
    </w:p>
    <w:p>
      <w:pPr>
        <w:pStyle w:val="TextBody"/>
        <w:bidi w:val="0"/>
        <w:spacing w:lineRule="auto" w:line="288" w:before="200" w:after="283"/>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Represents the equity awards vested net of shares of Class A common stock withheld for taxes. Please see Note 16. </w:t>
      </w:r>
      <w:r>
        <w:rPr>
          <w:rFonts w:ascii="Times New Roman;sans-serif" w:hAnsi="Times New Roman;sans-serif"/>
          <w:b w:val="false"/>
          <w:i/>
          <w:color w:val="000000"/>
          <w:sz w:val="20"/>
        </w:rPr>
        <w:t>Stock-based Compensation</w:t>
      </w:r>
      <w:r>
        <w:rPr>
          <w:color w:val="000000"/>
        </w:rPr>
        <w:t xml:space="preserve"> </w:t>
      </w:r>
      <w:r>
        <w:rPr>
          <w:rFonts w:ascii="Times New Roman;sans-serif" w:hAnsi="Times New Roman;sans-serif"/>
          <w:b w:val="false"/>
          <w:color w:val="000000"/>
          <w:sz w:val="20"/>
        </w:rPr>
        <w:t xml:space="preserve">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43535"/>
                <wp:effectExtent l="0" t="0" r="0" b="0"/>
                <wp:wrapNone/>
                <wp:docPr id="12" name="Frame1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9233" w:type="dxa"/>
        <w:jc w:val="center"/>
        <w:tblInd w:w="0" w:type="dxa"/>
        <w:tblLayout w:type="fixed"/>
        <w:tblCellMar>
          <w:top w:w="28" w:type="dxa"/>
          <w:left w:w="28" w:type="dxa"/>
          <w:bottom w:w="28" w:type="dxa"/>
          <w:right w:w="28" w:type="dxa"/>
        </w:tblCellMar>
      </w:tblPr>
      <w:tblGrid>
        <w:gridCol w:w="655"/>
        <w:gridCol w:w="338"/>
        <w:gridCol w:w="283"/>
        <w:gridCol w:w="109"/>
        <w:gridCol w:w="109"/>
        <w:gridCol w:w="109"/>
        <w:gridCol w:w="480"/>
        <w:gridCol w:w="481"/>
        <w:gridCol w:w="196"/>
        <w:gridCol w:w="109"/>
        <w:gridCol w:w="109"/>
        <w:gridCol w:w="109"/>
        <w:gridCol w:w="286"/>
        <w:gridCol w:w="296"/>
        <w:gridCol w:w="109"/>
        <w:gridCol w:w="109"/>
        <w:gridCol w:w="109"/>
        <w:gridCol w:w="109"/>
        <w:gridCol w:w="525"/>
        <w:gridCol w:w="526"/>
        <w:gridCol w:w="196"/>
        <w:gridCol w:w="109"/>
        <w:gridCol w:w="109"/>
        <w:gridCol w:w="109"/>
        <w:gridCol w:w="251"/>
        <w:gridCol w:w="331"/>
        <w:gridCol w:w="109"/>
        <w:gridCol w:w="109"/>
        <w:gridCol w:w="109"/>
        <w:gridCol w:w="109"/>
        <w:gridCol w:w="235"/>
        <w:gridCol w:w="488"/>
        <w:gridCol w:w="133"/>
        <w:gridCol w:w="109"/>
        <w:gridCol w:w="109"/>
        <w:gridCol w:w="109"/>
        <w:gridCol w:w="196"/>
        <w:gridCol w:w="751"/>
        <w:gridCol w:w="109"/>
        <w:gridCol w:w="109"/>
        <w:gridCol w:w="109"/>
        <w:gridCol w:w="109"/>
        <w:gridCol w:w="316"/>
        <w:gridCol w:w="679"/>
        <w:gridCol w:w="176"/>
        <w:gridCol w:w="109"/>
        <w:gridCol w:w="109"/>
        <w:gridCol w:w="109"/>
        <w:gridCol w:w="262"/>
        <w:gridCol w:w="866"/>
        <w:gridCol w:w="148"/>
        <w:gridCol w:w="109"/>
        <w:gridCol w:w="109"/>
        <w:gridCol w:w="109"/>
        <w:gridCol w:w="456"/>
        <w:gridCol w:w="430"/>
        <w:gridCol w:w="196"/>
        <w:gridCol w:w="109"/>
        <w:gridCol w:w="109"/>
        <w:gridCol w:w="109"/>
        <w:gridCol w:w="196"/>
        <w:gridCol w:w="661"/>
        <w:gridCol w:w="109"/>
        <w:gridCol w:w="327"/>
        <w:gridCol w:w="196"/>
        <w:gridCol w:w="761"/>
        <w:gridCol w:w="109"/>
        <w:gridCol w:w="327"/>
        <w:gridCol w:w="226"/>
        <w:gridCol w:w="849"/>
        <w:gridCol w:w="126"/>
        <w:gridCol w:w="327"/>
        <w:gridCol w:w="200"/>
        <w:gridCol w:w="888"/>
        <w:gridCol w:w="158"/>
      </w:tblGrid>
      <w:tr>
        <w:trPr/>
        <w:tc>
          <w:tcPr>
            <w:tcW w:w="65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Mezzanine Equity</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Non-redeemable non-controlling interests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Shares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29,477,766 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144,399,037 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138,142 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1,013,833 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non-redeemable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Class A common stock on warrant exchange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Cancellation of fractional shares on warrant exchange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put option forward purchase contract - Meteora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(1,635,783)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Forfeiture of Class A common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redemption value of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29,330,115 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144,399,037 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(807,895)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(1,635,783)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(791,386)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140,905 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1,013,835 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95,851 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non-redeemable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Deconsolidation of entities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(34,662)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redemption value of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preferred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29,330,115 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144,399,037 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(749,912)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(1,635,783)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(760,602)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143,754 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1,068,274 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As of May 30, 2023, two of our RNG facilities, Emerald and Sapphire (defined below) were deconsolidated and accounted for under equity method as per ASC 323. Please see Note 3 </w:t>
      </w:r>
      <w:r>
        <w:rPr>
          <w:rFonts w:ascii="Times New Roman;sans-serif" w:hAnsi="Times New Roman;sans-serif"/>
          <w:b w:val="false"/>
          <w:i/>
          <w:color w:val="000000"/>
          <w:sz w:val="20"/>
        </w:rPr>
        <w:t>Investment in Other entities</w:t>
      </w:r>
      <w:r>
        <w:rPr>
          <w:color w:val="000000"/>
        </w:rPr>
        <w:t xml:space="preserve"> </w:t>
      </w:r>
      <w:r>
        <w:rPr>
          <w:rFonts w:ascii="Times New Roman;sans-serif" w:hAnsi="Times New Roman;sans-serif"/>
          <w:b w:val="false"/>
          <w:color w:val="000000"/>
          <w:sz w:val="20"/>
        </w:rPr>
        <w:t xml:space="preserve">and Note 12 </w:t>
      </w:r>
      <w:r>
        <w:rPr>
          <w:rFonts w:ascii="Times New Roman;sans-serif" w:hAnsi="Times New Roman;sans-serif"/>
          <w:b w:val="false"/>
          <w:i/>
          <w:color w:val="000000"/>
          <w:sz w:val="20"/>
        </w:rPr>
        <w:t>Variable</w:t>
      </w:r>
      <w:r>
        <w:rPr>
          <w:color w:val="000000"/>
        </w:rPr>
        <w:t xml:space="preserve"> </w:t>
      </w:r>
      <w:r>
        <w:rPr>
          <w:rFonts w:ascii="Times New Roman;sans-serif" w:hAnsi="Times New Roman;sans-serif"/>
          <w:b w:val="false"/>
          <w:i/>
          <w:color w:val="000000"/>
          <w:sz w:val="20"/>
        </w:rPr>
        <w:t>Interest Entities</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43535"/>
                <wp:effectExtent l="0" t="0" r="0" b="0"/>
                <wp:wrapNone/>
                <wp:docPr id="13" name="Frame1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063" w:type="dxa"/>
        <w:jc w:val="left"/>
        <w:tblInd w:w="0" w:type="dxa"/>
        <w:tblLayout w:type="fixed"/>
        <w:tblCellMar>
          <w:top w:w="28" w:type="dxa"/>
          <w:left w:w="28" w:type="dxa"/>
          <w:bottom w:w="28" w:type="dxa"/>
          <w:right w:w="28" w:type="dxa"/>
        </w:tblCellMar>
      </w:tblPr>
      <w:tblGrid>
        <w:gridCol w:w="2097"/>
        <w:gridCol w:w="1839"/>
        <w:gridCol w:w="1853"/>
        <w:gridCol w:w="196"/>
        <w:gridCol w:w="556"/>
        <w:gridCol w:w="109"/>
        <w:gridCol w:w="109"/>
        <w:gridCol w:w="109"/>
        <w:gridCol w:w="109"/>
        <w:gridCol w:w="196"/>
        <w:gridCol w:w="736"/>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57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equity method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right-of-use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warrant exchange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deconsolidation of VIEs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(122,873)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 related to asset retirement obligation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Convertible Note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 financial instruments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expenses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and non-current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non-current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plant,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(72,009)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short 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Deconsolidation of VIEs, net of cash</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received from equity method investment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investment in other entities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OPAL Term Loan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purchase of shares upon exercise of put option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 related to net share settlement of equity awards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paid to other third parties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43535"/>
                <wp:effectExtent l="0" t="0" r="0" b="0"/>
                <wp:wrapNone/>
                <wp:docPr id="14" name="Frame1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72"/>
        <w:gridCol w:w="2504"/>
        <w:gridCol w:w="2524"/>
        <w:gridCol w:w="211"/>
        <w:gridCol w:w="646"/>
        <w:gridCol w:w="109"/>
        <w:gridCol w:w="109"/>
        <w:gridCol w:w="109"/>
        <w:gridCol w:w="109"/>
        <w:gridCol w:w="211"/>
        <w:gridCol w:w="646"/>
        <w:gridCol w:w="155"/>
      </w:tblGrid>
      <w:tr>
        <w:trPr/>
        <w:tc>
          <w:tcPr>
            <w:tcW w:w="2872"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00"/>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Senior Secured Credit Facility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(22,750)</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OPAL Term Loan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(13,866)</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Municipality loan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Sunoma Loan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equipment loan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preferred dividends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non-redeemable non-controlling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Reimbursement of financing costs by joint venture partner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non-redeemable non-controlling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shares of Class A common stock under the ATM program,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(29,701)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restricted cash, and cash equivalents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(50,095)</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beginning of period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 net of $2,074 and $3,785 capitalized,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dividend on redeemable preferred non-controlling interests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asset retirement obligation included in Property, plant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arising from lease modifications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purchase of Property, plant and equipment included in Accounts payable and Accrued capital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43535"/>
                <wp:effectExtent l="0" t="0" r="0" b="0"/>
                <wp:wrapNone/>
                <wp:docPr id="15" name="Frame1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hanging="480"/>
        <w:jc w:val="left"/>
        <w:rPr/>
      </w:pPr>
      <w:r>
        <w:rPr/>
      </w:r>
    </w:p>
    <w:p>
      <w:pPr>
        <w:pStyle w:val="TextBody"/>
        <w:bidi w:val="0"/>
        <w:spacing w:lineRule="auto" w:line="288" w:before="0" w:after="0"/>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bidi w:val="0"/>
        <w:spacing w:before="0" w:after="0"/>
        <w:ind w:left="0" w:right="0" w:hanging="48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OPAL Fuels Inc. (including its subsidiaries, the “Company”, “OPAL,” “we,” “us” or “our”) is </w:t>
      </w:r>
      <w:r>
        <w:rPr>
          <w:rFonts w:ascii="Times New Roman;sans-serif" w:hAnsi="Times New Roman;sans-serif"/>
          <w:b w:val="false"/>
          <w:color w:val="000000"/>
          <w:sz w:val="20"/>
          <w:shd w:fill="FFFFFF" w:val="clear"/>
        </w:rPr>
        <w:t>a renewable energy company specializing in the capture and conversion of biogas for the (i) production of RNG for use as a vehicle fuel for heavy and medium-duty trucking fleets, (ii) generation of electricity from renewable sources ("Renewable Power") for sale to utilities, (iii) generation and sale of Environmental Attributes associated with RNG and Renewable Power, and (iv) sales of RNG as pipeline quality natural gas. The term “Environmental Attributes” refers to federal, state and local government incentives in the United States, provided in the form of renewable identification numbers ("RINs"), RECs, LCFS credits, ISCC Carbon Credits, rebates, tax credits and other incentives to end users, distributors, system integrators and manufacturers of renewable energy projects. OPAL also designs, develops, constructs, operates and services Fueling Stations for trucking fleets across the country that use natural gas to displace diesel as their transportation fuel. The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organized into four operating segments based on the characteristics and the nature of products and services. The four operating segments are RNG Fuel, Fuel Station Services, Renewable Power and Corporate.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amounts in these footnotes are presented in thousands of dollars except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condensed consolidated financial statements are prepared in accordance with generally accepted accounting principles in the United States (“U.S. GAAP”) and include the accounts of the Company and all other entities in which the Company has a controlling financial interest: OPAL Renewable Power LLC (formerly Fortistar Methane 3 LLC (“FM3”) and Fortistar Methane 4 LLC), Beacon RNG LLC (“Beacon”) Sunoma Holdings, LLC (“Sunoma”), New River LLC (“New River”), Reynolds RNG LLC (“Reynolds”), Central Valley LLC (“Central Valley”), Prince William RNG LLC (“Prince William”), Cottonwood RNG LLC (“Cottonwood”), Polk County RNG LLC (“Polk County”), OPAL Contracting LLC (formerly Fortistar Contracting LLC), OPAL RNG LLC (formerly Fortistar RNG LLC), and OPAL Fuel station services LLC (“Fuel Station Services”). The Company’s unaudited condensed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the Stockholders' deficit in the condensed consolidated balance sheets and as a non-redeemable non-controlling interests in the condensed consolidated statements of changes in redeemable non-controlling interests, redeemable preferred non-controlling interests and Stockholders' deficit.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Certain prior period amounts have been reclassified to conform with the current period presentation including reclassification of the Company’s proportional share of income in equity investments into operating income. See Note 3. </w:t>
      </w:r>
      <w:r>
        <w:rPr>
          <w:rFonts w:ascii="Times New Roman;sans-serif" w:hAnsi="Times New Roman;sans-serif"/>
          <w:b w:val="false"/>
          <w:i/>
          <w:color w:val="000000"/>
          <w:sz w:val="20"/>
        </w:rPr>
        <w:t>Investment in Other Entities</w:t>
      </w:r>
      <w:r>
        <w:rPr>
          <w:color w:val="000000"/>
        </w:rPr>
        <w:t xml:space="preserve"> </w:t>
      </w:r>
      <w:r>
        <w:rPr>
          <w:rFonts w:ascii="Times New Roman;sans-serif" w:hAnsi="Times New Roman;sans-serif"/>
          <w:b w:val="false"/>
          <w:color w:val="000000"/>
          <w:sz w:val="20"/>
        </w:rPr>
        <w:t xml:space="preserve">for further discussion. The Company reclassified certain project development and startup costs as a separate line within Operating expenses, which were previously included in Cost of sales - RNG Fuel and Selling, general and administrative expenses. Additionally, an adjustment for approximately $506 was recorded to move certain prior costs between selling, general and administrative costs to cost of sales – RNG fuel for the three months ended March 31, 2023, which is reflected in the six months ended June 30, 2023 amounts." Please see the </w:t>
      </w:r>
      <w:r>
        <w:rPr>
          <w:rFonts w:ascii="Times New Roman;sans-serif" w:hAnsi="Times New Roman;sans-serif"/>
          <w:b w:val="false"/>
          <w:i/>
          <w:color w:val="000000"/>
          <w:sz w:val="20"/>
        </w:rPr>
        <w:t>Project development and startup costs</w:t>
      </w:r>
      <w:r>
        <w:rPr>
          <w:color w:val="000000"/>
        </w:rPr>
        <w:t xml:space="preserve"> </w:t>
      </w:r>
      <w:r>
        <w:rPr>
          <w:rFonts w:ascii="Times New Roman;sans-serif" w:hAnsi="Times New Roman;sans-serif"/>
          <w:b w:val="false"/>
          <w:color w:val="000000"/>
          <w:sz w:val="20"/>
        </w:rPr>
        <w:t>section within Note 2. Additionally, the Company also reclassified certain Asset retirement obligations from current to non-current in its condensed consolidated balance sheet as of December 31,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included in this quarterly report should be read in conjunction with the Company's audited consolidated financial statements and notes thereto included in the Company’s Annual Report on Form 10-K for the fiscal year ended December 31, 2023 as the interim disclosures generally do not repeat those in the annual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43535"/>
                <wp:effectExtent l="0" t="0" r="0" b="0"/>
                <wp:wrapNone/>
                <wp:docPr id="16" name="Frame1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are condensed in accordance with the instructions to Form 10-Q and Article 10 of Regulation S-X. Accordingly, they do not include all of the information and footnote disclosures required by U.S. GAAP for complete financial statements.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Company's financial statements include all normal and recurring adjustments necessary in order to make the financial statements not misleading and to provide a fair presentation of the Company's financial results for the interim periods included in this Quarterly Report.</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policy is to consolidate all entities that we control by ownership of a majority of the outstanding voting stock. In addition, we consolidate entities that meet the definition of a VIE for which we are the primary beneficiary. The Company applies the VIE model from ASC 810 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 To the extent a VIE is not consolidated, the Company evaluates its interest for application of the equity method of accounting. Equity method investments are included in the condensed consolidated balance sheets as “Investments in other entities.” Investments in unconsolidated entities in which the Company has significant influence over the operating or financial decisions are accounted for under the equity method.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Company accounted for its ownership interests in Pine Bend RNG LLC ("Pine Bend"), Noble Road RNG LLC ("Noble Road"), Emerald RNG LLC ("Emerald"), Sapphire RNG LLC ("Sapphire"), Paragon RNG LLC ("Paragon"), Land2Gas LLC (the "SJI Joint Venture") (RNG Atlantic and RNG Burlington)) and GREP BTB Holdings LLC ("GREP") under the equity method.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asset retirement obligations, the estimated losses on our trade receivables, percentage completion for revenue recognition, incremental borrowing rate for calculating the right-of-use lease assets and lease liabilities, the impairment assessment of goodwill and the fair value of derivative instruments. Actual results could differ from those estimates.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interim periods presented are not necessarily indicative of the results that may be expected for the entire year.</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Accounting Pronouncements not yet adopted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FASB issued Accounting Standards Update No. 2023-07, Segment Reporting (Topic 280) ("ASU 2023-07"). The update improves the reportable segment disclosure requirements by requiring all entities to disclose significant segment expenses that are regularly provided to the chief operating decision maker (CODM), report other segment items (segment revenue less the significant expenses disclosed and profit or loss) by reportable segment, title and position of the CODM and an explanation of how the CODM uses the reported measure of segment profit or loss in assessing segment performance and deciding how to allocate resources. Additionally, ASU 2023-07 requires that if the CODM uses more than one measure of a segment's net income or loss in assessing segment performance and deciding how to allocate resources, the entity may report one or more of those additional measures. ASU 2023-07 is effective for fiscal years beginning after December 15, 2023 and interim periods within fiscal years beginning after December 15, 2024 and should be applied retrospectively for all periods presented. The Company expects to report significant operating expenses by segment and other additional disclosures the Company is currently evaluating, upon adoption of ASU 2023-07 in its consolidated financial statements.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as defined in the JOBS Act. The JOBS Act provides emerging growth companies with certain exemptions from public company reporting requirements for up to five fiscal years while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43535"/>
                <wp:effectExtent l="0" t="0" r="0" b="0"/>
                <wp:wrapNone/>
                <wp:docPr id="17" name="Frame1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 as of June 30, 2024 and December 31, 2023:</w:t>
      </w:r>
    </w:p>
    <w:tbl>
      <w:tblPr>
        <w:tblW w:w="6270" w:type="dxa"/>
        <w:jc w:val="left"/>
        <w:tblInd w:w="0" w:type="dxa"/>
        <w:tblLayout w:type="fixed"/>
        <w:tblCellMar>
          <w:top w:w="28" w:type="dxa"/>
          <w:left w:w="28" w:type="dxa"/>
          <w:bottom w:w="28" w:type="dxa"/>
          <w:right w:w="28" w:type="dxa"/>
        </w:tblCellMar>
      </w:tblPr>
      <w:tblGrid>
        <w:gridCol w:w="1259"/>
        <w:gridCol w:w="1105"/>
        <w:gridCol w:w="1116"/>
        <w:gridCol w:w="109"/>
        <w:gridCol w:w="109"/>
        <w:gridCol w:w="109"/>
        <w:gridCol w:w="196"/>
        <w:gridCol w:w="646"/>
        <w:gridCol w:w="109"/>
        <w:gridCol w:w="109"/>
        <w:gridCol w:w="109"/>
        <w:gridCol w:w="109"/>
        <w:gridCol w:w="233"/>
        <w:gridCol w:w="769"/>
        <w:gridCol w:w="183"/>
      </w:tblGrid>
      <w:tr>
        <w:trPr/>
        <w:tc>
          <w:tcPr>
            <w:tcW w:w="125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38,348 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Restricted cash - current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4,395 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Restricted cash held as collateral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4,499 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47,242 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Restricted cash - current as of June 30, 2024 consists of $940 related to debt reserve on Sunoma Loan. Restricted cash - current as of December 31, 2023 consists of $3,361 related to debt reserve on the Sunoma Loan and $1,034 related to deposit on our interconnections payments. </w:t>
      </w:r>
    </w:p>
    <w:p>
      <w:pPr>
        <w:pStyle w:val="TextBody"/>
        <w:bidi w:val="0"/>
        <w:spacing w:lineRule="auto" w:line="288" w:before="160" w:after="283"/>
        <w:ind w:left="0" w:right="0" w:firstLine="36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Restricted cash held as collateral represents the collateral requirements on our debt facilities.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Short term investments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highly liquid investments such as time deposits and certificates of deposit with an original maturity greater than three months at the time of purchase to be short term investments. The short term investments of $8,585 and $9,875 as of June 30, 2024 and December 31, 2023, respectively, consists of cash invested in money market accounts with maturities ranging between 1 and 12 months as of the reporting date. The amounts in these money market accounts are liquid and available for general use.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short term investments are generally invested in commercial paper issued by highly credit worthy counter parties and government backed treasury bills. Investments are generally not FDIC insured and we take counter party risk on these investments.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Earnout Liabilities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completed in July 2022 and pursuant to a sponsor letter agreement, ArcLight CTC Holdings II, L.P.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OPAL Fuels equity holders are eligible to receive an aggregate of 10,000,000 shares of Class B and Class D common stock upon the Company achieving each earn-out event during the earn-out period. The earnout awards (the "Earnout Awards") were recognized at fair value on the closing date and classified as a liability which is remeasured at each balance sheet date and any change in fair value is recognized in the Company's condensed consolidated statement of operations as part of change in fair value of derivative instruments, net. For the three and six months ended June 30, 2024, the Company recorded a gain of $776 and $1,179 in its condensed consolidated statements of operations. For the three and six months ended June 30, 2023, the Company recorded a gain of $327 and $4,638 in its condensed consolidated statements of operations. As of June 30, 2024 and December 31, 2023, the Company recorded $721 and $1,900, respectively, on its condensed consolidated balance sheets.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43535"/>
                <wp:effectExtent l="0" t="0" r="0" b="0"/>
                <wp:wrapNone/>
                <wp:docPr id="18" name="Frame1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Redeemable non-controlling interests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represent the portion of OPAL Fuels that the Company controls and consolidates but does not own. The Redeemable non-controlling interest represents 144,399,037 Class B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condensed consolidated statement of operations.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each balance sheet date, the mezzanine equity classified Redeemable non-controlling interests is adjusted up to their maximum redemption value if necessary, with an offset in Stockholders' equity. As of June 30, 2024, the maximum redemption value was $597,069.</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Project development and startup costs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multiple RNG projects under construction for which the Company incurs certain development costs such as legal, consulting fees for joint venture structuring, royalties to the landfill owner, fines, settlements, site lease expenses and certification costs. Additionally, the Company also incurs certain expenses on new RNG projects that started operating for the first two years such as virtual pipeline costs (trucking costs incurred until a physical pipeline is connected) and ramp up costs. These costs are temporary and non-recurring over the project lifetime. Historically, the Company included these expenses in Cost of sales - RNG Fuel and Selling, general and administrative expenses with no associated revenues. For the three and six months ended June 30, 2024 and 2023, the Company is presenting these expenses in a separate line within operating expenses to provide additional information to the readers of the financial statements regarding the ongoing profitability of our RNG projects in operation.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on the types of expenses classified under this expense category:</w:t>
      </w:r>
    </w:p>
    <w:tbl>
      <w:tblPr>
        <w:tblW w:w="8612" w:type="dxa"/>
        <w:jc w:val="left"/>
        <w:tblInd w:w="0" w:type="dxa"/>
        <w:tblLayout w:type="fixed"/>
        <w:tblCellMar>
          <w:top w:w="28" w:type="dxa"/>
          <w:left w:w="28" w:type="dxa"/>
          <w:bottom w:w="28" w:type="dxa"/>
          <w:right w:w="28" w:type="dxa"/>
        </w:tblCellMar>
      </w:tblPr>
      <w:tblGrid>
        <w:gridCol w:w="1171"/>
        <w:gridCol w:w="1033"/>
        <w:gridCol w:w="1036"/>
        <w:gridCol w:w="109"/>
        <w:gridCol w:w="109"/>
        <w:gridCol w:w="109"/>
        <w:gridCol w:w="250"/>
        <w:gridCol w:w="710"/>
        <w:gridCol w:w="139"/>
        <w:gridCol w:w="139"/>
        <w:gridCol w:w="139"/>
        <w:gridCol w:w="139"/>
        <w:gridCol w:w="250"/>
        <w:gridCol w:w="538"/>
        <w:gridCol w:w="139"/>
        <w:gridCol w:w="109"/>
        <w:gridCol w:w="109"/>
        <w:gridCol w:w="109"/>
        <w:gridCol w:w="255"/>
        <w:gridCol w:w="564"/>
        <w:gridCol w:w="131"/>
        <w:gridCol w:w="131"/>
        <w:gridCol w:w="131"/>
        <w:gridCol w:w="131"/>
        <w:gridCol w:w="237"/>
        <w:gridCol w:w="509"/>
        <w:gridCol w:w="186"/>
      </w:tblGrid>
      <w:tr>
        <w:trPr/>
        <w:tc>
          <w:tcPr>
            <w:tcW w:w="117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Site lease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Legal and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Virtual pipeline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Management services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Project development and startup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Relates to charges billed to the individual projects by Fortistar. See Note. 10 </w:t>
      </w:r>
      <w:r>
        <w:rPr>
          <w:rFonts w:ascii="Times New Roman;sans-serif" w:hAnsi="Times New Roman;sans-serif"/>
          <w:b w:val="false"/>
          <w:i/>
          <w:color w:val="000000"/>
          <w:sz w:val="20"/>
        </w:rPr>
        <w:t>Related parties</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Net income per share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basic earnings per share of Class A common stock is computed based on the average number of outstanding shares of Class A common stock for the period.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diluted earnings per share includes effects of the Company's outstanding equity awards under the 2022 Plan (as defined elsewhere in these financial statements), Redeemable non-controlling interests (OPAL Fuels Class B units), redeemable preferred non-controlling interests, Earnout Awards.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allowance for doubtful accounts was $0 and $0 at June 30, 2024 and December 31, 2023.</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Asset Retirement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43535"/>
                <wp:effectExtent l="0" t="0" r="0" b="0"/>
                <wp:wrapNone/>
                <wp:docPr id="19" name="Frame1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Company accounts for asset retirement obligations in accordance with FASB ASC 410, </w:t>
      </w:r>
      <w:r>
        <w:rPr>
          <w:rFonts w:ascii="Times New Roman;sans-serif" w:hAnsi="Times New Roman;sans-serif"/>
          <w:b w:val="false"/>
          <w:i/>
          <w:color w:val="000000"/>
          <w:sz w:val="20"/>
        </w:rPr>
        <w:t>Asset Retirement and Environmental Obligations,</w:t>
      </w:r>
      <w:r>
        <w:rPr>
          <w:color w:val="000000"/>
        </w:rPr>
        <w:t xml:space="preserve"> </w:t>
      </w:r>
      <w:r>
        <w:rPr>
          <w:rFonts w:ascii="Times New Roman;sans-serif" w:hAnsi="Times New Roman;sans-serif"/>
          <w:b w:val="false"/>
          <w:color w:val="000000"/>
          <w:sz w:val="20"/>
        </w:rPr>
        <w:t>which requires entities to record the fair value of a liability for an asset retirement obligation in 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is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Company estimated the value of its total asset retirement obligations to be $7,594 and $6,728, respectively.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asset retirement obligations were as follows as of June 30, 2024:</w:t>
      </w:r>
    </w:p>
    <w:tbl>
      <w:tblPr>
        <w:tblW w:w="4970" w:type="dxa"/>
        <w:jc w:val="left"/>
        <w:tblInd w:w="0" w:type="dxa"/>
        <w:tblLayout w:type="fixed"/>
        <w:tblCellMar>
          <w:top w:w="28" w:type="dxa"/>
          <w:left w:w="28" w:type="dxa"/>
          <w:bottom w:w="28" w:type="dxa"/>
          <w:right w:w="28" w:type="dxa"/>
        </w:tblCellMar>
      </w:tblPr>
      <w:tblGrid>
        <w:gridCol w:w="1469"/>
        <w:gridCol w:w="1293"/>
        <w:gridCol w:w="1302"/>
        <w:gridCol w:w="196"/>
        <w:gridCol w:w="556"/>
        <w:gridCol w:w="154"/>
      </w:tblGrid>
      <w:tr>
        <w:trPr/>
        <w:tc>
          <w:tcPr>
            <w:tcW w:w="146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June 30,</w:t>
              <w:br/>
              <w:t>2024</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December 31, 2023 - Current and non-current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Additions during the year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retirement obligation</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retirement obligation, net of current portion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00"/>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two natural gas producers ("Producers") to transport Producers' natural gas using the Company's RNG gathering system. The performance obligation is the delivery of Producers' natural gas to an agreed delivery point on an interstate gas pipeline. The quantity of natural gas transported for the Producers is measured at a certain specified meter reader. The price is fixed at contracted rates and the Producers pay approximately 30 days after month-end. As such, transportation sales are recognized over time, using the output method to measure progress.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environmental credits held for sale within current assets based on their estimated fair value at contract inception.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43535"/>
                <wp:effectExtent l="0" t="0" r="0" b="0"/>
                <wp:wrapNone/>
                <wp:docPr id="20" name="Frame2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discount. A specified volume of Environmental Attributes sold per quarter will incur a fee per Environmental Attribute in addition to the specified discount. The agreement was effective beginning January 1, 2022. For the three months ended June 30, 2024 and 2023, the Company earned net revenues after discount and fees of $25,409 and $11,852, respectively under this contract which was recorded as part of Revenues - RNG Fuel and Fuel Station Services. For the six months ended June 30, 2024 and 2023, the Company earned net revenues after discount and fees of $48,645 and $18,060, respectively.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2020, the Company has an agreement with a counter party to sell LCFSs at one of our RNG facilities for a period of 7 years at a fixed contract price which has a certain predetermined floor and ceiling price per LCFS. The counter party has the right to apply any excess payment made calculated as the difference between adjusted Oil Price Information Service and the floor price per the contract, against future sales of LCFSs during the contract term. As of June 30, 2024, the Company recorded $2,522 as part of Other long-term liabilities on the condensed consolidated balance sheet.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and fourth quarters of 2022, two of the wholly-owned subsidiaries from our Renewable Power portfolio entered into a purchase and sale agreement with an Environmental Attribute marketing firm to sell Environmental Attributes associated with renewable biomethane ("ISCC Carbon Credits") and purchase brown gas back at contracted fixed prices per million British thermal units ("MMBtus"). One of these contracts has a term of 3 years from the date of certification of the facility with an auto-renewal option. The other contract was terminated in August 2023. During the third quarter of 2023, three additional Renewable Power facilities entered into purchase and sale agreements with 3 year terms and similar terms and conditions as the previous contracts. For the three months ended June 30, 2024 and 2023, the Company earned net revenues of $4,671 and $4,525, respectively under the contracts which were recorded as part of Revenues - Renewable Power in the condensed consolidated statement of operations. For the six months ended June 30, 2024 and 2023, the Company earned net revenues of $8,288 and $9,693, respectively under the contracts which were recorded as part of Revenues - Renewable Power in the condensed consolidated statement of operations.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of Environmental Attributes such as RINs, renewable energy credits ("RECs"), ISCC Carbon Credits and LCFS are generally recorded as revenue when the certificates related to them are delivered to a buyer. However, the Company may recognize revenue from the sale of such Environmental Attributes at the time of the related Renewable Power sales when the contract provides that title to the Environmental Attributes transfers at the time of production, the Company's price to the buyer is fixed, and collection of the sales proceeds is certain.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operating fees are earned for the operation, maintenance, and repair of the gas collection system of a landfill site. Revenue is calculated on the volume of per million British thermal units of LFG collected and the megawatt hours ("MWhs") produced at that site. This revenue is recognized when LFG is collected and Renewable Power is delivered.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sans-serif" w:hAnsi="Times New Roman;sans-serif"/>
          <w:b w:val="false"/>
          <w:i/>
          <w:color w:val="000000"/>
          <w:sz w:val="24"/>
        </w:rPr>
        <w:t>Leases</w:t>
      </w:r>
      <w:r>
        <w:rPr>
          <w:rFonts w:ascii="Times New Roman;sans-serif" w:hAnsi="Times New Roman;sans-serif"/>
          <w:b w:val="false"/>
          <w:color w:val="000000"/>
          <w:sz w:val="20"/>
        </w:rPr>
        <w:t xml:space="preserve">, the Company has concluded these agreements meet the criteria for a lease and are classified as operating leases. Typically, these agreements do not require any minimum consumption amounts and, therefore, no minimum payments. Upon adoption of ASC 842, the Company adopted the practical expedient not to reassess the classification. For additional information on lease revenues earned, please see Note 8. </w:t>
      </w:r>
      <w:r>
        <w:rPr>
          <w:rFonts w:ascii="Times New Roman;sans-serif" w:hAnsi="Times New Roman;sans-serif"/>
          <w:b w:val="false"/>
          <w:i/>
          <w:color w:val="000000"/>
          <w:sz w:val="20"/>
        </w:rPr>
        <w:t>Leases.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disaggregation of revenue according to product 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43535"/>
                <wp:effectExtent l="0" t="0" r="0" b="0"/>
                <wp:wrapNone/>
                <wp:docPr id="21" name="Frame2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160" w:after="283"/>
        <w:ind w:left="0" w:right="0" w:firstLine="360"/>
        <w:jc w:val="left"/>
        <w:rPr/>
      </w:pPr>
      <w:r>
        <w:rPr/>
      </w:r>
    </w:p>
    <w:tbl>
      <w:tblPr>
        <w:tblW w:w="8728" w:type="dxa"/>
        <w:jc w:val="left"/>
        <w:tblInd w:w="0" w:type="dxa"/>
        <w:tblLayout w:type="fixed"/>
        <w:tblCellMar>
          <w:top w:w="28" w:type="dxa"/>
          <w:left w:w="28" w:type="dxa"/>
          <w:bottom w:w="28" w:type="dxa"/>
          <w:right w:w="28" w:type="dxa"/>
        </w:tblCellMar>
      </w:tblPr>
      <w:tblGrid>
        <w:gridCol w:w="1185"/>
        <w:gridCol w:w="1039"/>
        <w:gridCol w:w="1045"/>
        <w:gridCol w:w="109"/>
        <w:gridCol w:w="109"/>
        <w:gridCol w:w="109"/>
        <w:gridCol w:w="215"/>
        <w:gridCol w:w="708"/>
        <w:gridCol w:w="119"/>
        <w:gridCol w:w="119"/>
        <w:gridCol w:w="119"/>
        <w:gridCol w:w="119"/>
        <w:gridCol w:w="215"/>
        <w:gridCol w:w="708"/>
        <w:gridCol w:w="119"/>
        <w:gridCol w:w="109"/>
        <w:gridCol w:w="109"/>
        <w:gridCol w:w="109"/>
        <w:gridCol w:w="196"/>
        <w:gridCol w:w="736"/>
        <w:gridCol w:w="109"/>
        <w:gridCol w:w="109"/>
        <w:gridCol w:w="109"/>
        <w:gridCol w:w="109"/>
        <w:gridCol w:w="196"/>
        <w:gridCol w:w="646"/>
        <w:gridCol w:w="154"/>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326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party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22,247 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Brown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Environmental credits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69,805 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54,146 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Lease revenue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70,950 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55,042 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00"/>
        <w:ind w:left="0" w:right="0" w:firstLine="360"/>
        <w:jc w:val="both"/>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Includes revenues of $4,671 and $4,525, respectively, for the three months ended June 30, 2024 and 2023, from customers domiciled outside of United States. For the six months ended June 30, 2024 and 2023, revenues include $8,288 and $9,693, respectively, from customers domiciled outside of United States.</w:t>
      </w:r>
    </w:p>
    <w:p>
      <w:pPr>
        <w:pStyle w:val="TextBody"/>
        <w:bidi w:val="0"/>
        <w:spacing w:lineRule="auto" w:line="288" w:before="160" w:after="200"/>
        <w:ind w:left="0" w:right="0" w:firstLine="360"/>
        <w:jc w:val="both"/>
        <w:rPr/>
      </w:pPr>
      <w:r>
        <w:rPr>
          <w:rFonts w:ascii="Times New Roman;sans-serif" w:hAnsi="Times New Roman;sans-serif"/>
          <w:b w:val="false"/>
          <w:color w:val="000000"/>
          <w:sz w:val="16"/>
        </w:rPr>
        <w:t xml:space="preserve">(2) </w:t>
      </w:r>
      <w:r>
        <w:rPr>
          <w:rFonts w:ascii="Times New Roman;sans-serif" w:hAnsi="Times New Roman;sans-serif"/>
          <w:b w:val="false"/>
          <w:color w:val="000000"/>
          <w:sz w:val="20"/>
        </w:rPr>
        <w:t xml:space="preserve">Lease revenue relates to approximately twenty-nine fuel purchasing agreements out of which we have two of our RNG fuel stations with minimum take or pay provisions and revenue from power purchase agreements at two of our Renewable Power facilities where we determined that we transferred the right to control the use of the power plant to the purchaser. </w:t>
      </w:r>
    </w:p>
    <w:p>
      <w:pPr>
        <w:pStyle w:val="TextBody"/>
        <w:bidi w:val="0"/>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2024 and 2023, 12% and 27%, respectively of revenue was recognized over time, and the remainder was for products and services transferred at a point in time. For the six months ended June 30, 2024 and 2023, 14% and 23%, respectively of revenue was recognized over time, and the remainder was for products and services transferred at a point in time. </w:t>
      </w:r>
    </w:p>
    <w:p>
      <w:pPr>
        <w:pStyle w:val="TextBody"/>
        <w:bidi w:val="0"/>
        <w:spacing w:lineRule="auto" w:line="288" w:before="240" w:after="200"/>
        <w:jc w:val="both"/>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bidi w:val="0"/>
        <w:spacing w:lineRule="auto" w:line="288" w:before="24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items consisting of items recorded as Other income:</w:t>
      </w:r>
    </w:p>
    <w:tbl>
      <w:tblPr>
        <w:tblW w:w="10205" w:type="dxa"/>
        <w:jc w:val="left"/>
        <w:tblInd w:w="0" w:type="dxa"/>
        <w:tblLayout w:type="fixed"/>
        <w:tblCellMar>
          <w:top w:w="28" w:type="dxa"/>
          <w:left w:w="28" w:type="dxa"/>
          <w:bottom w:w="28" w:type="dxa"/>
          <w:right w:w="28" w:type="dxa"/>
        </w:tblCellMar>
      </w:tblPr>
      <w:tblGrid>
        <w:gridCol w:w="1885"/>
        <w:gridCol w:w="1640"/>
        <w:gridCol w:w="1652"/>
        <w:gridCol w:w="226"/>
        <w:gridCol w:w="487"/>
        <w:gridCol w:w="126"/>
        <w:gridCol w:w="126"/>
        <w:gridCol w:w="126"/>
        <w:gridCol w:w="126"/>
        <w:gridCol w:w="226"/>
        <w:gridCol w:w="852"/>
        <w:gridCol w:w="126"/>
        <w:gridCol w:w="109"/>
        <w:gridCol w:w="109"/>
        <w:gridCol w:w="109"/>
        <w:gridCol w:w="196"/>
        <w:gridCol w:w="556"/>
        <w:gridCol w:w="109"/>
        <w:gridCol w:w="109"/>
        <w:gridCol w:w="109"/>
        <w:gridCol w:w="109"/>
        <w:gridCol w:w="196"/>
        <w:gridCol w:w="737"/>
        <w:gridCol w:w="159"/>
      </w:tblGrid>
      <w:tr>
        <w:trPr/>
        <w:tc>
          <w:tcPr>
            <w:tcW w:w="1885"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17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1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warrant exchange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Gain on deconsolidation of VIEs </w:t>
            </w:r>
            <w:r>
              <w:rPr>
                <w:rFonts w:ascii="Times New Roman;sans-serif" w:hAnsi="Times New Roman;sans-serif"/>
                <w:b w:val="false"/>
                <w:color w:val="000000"/>
                <w:sz w:val="12"/>
              </w:rPr>
              <w:t>(1)</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Gain on transfer of non-financial asset in exchange for services received </w:t>
            </w:r>
            <w:r>
              <w:rPr>
                <w:rFonts w:ascii="Times New Roman;sans-serif" w:hAnsi="Times New Roman;sans-serif"/>
                <w:b w:val="false"/>
                <w:color w:val="000000"/>
                <w:sz w:val="12"/>
              </w:rPr>
              <w:t>(2)</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123,109 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123,041 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ind w:left="0" w:right="0" w:firstLine="72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Represents non-cash gain on deconsolidation of Emerald and Sapphire on May 30, 2023.</w:t>
      </w:r>
    </w:p>
    <w:p>
      <w:pPr>
        <w:pStyle w:val="TextBody"/>
        <w:bidi w:val="0"/>
        <w:spacing w:lineRule="auto" w:line="288" w:before="240" w:after="200"/>
        <w:ind w:left="0" w:right="0" w:firstLine="72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Represents the fair value of RINs transferred as consideration for services received.</w:t>
      </w:r>
    </w:p>
    <w:p>
      <w:pPr>
        <w:pStyle w:val="TextBody"/>
        <w:bidi w:val="0"/>
        <w:spacing w:lineRule="auto" w:line="288" w:before="240" w:after="200"/>
        <w:jc w:val="both"/>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receivables, contract assets, and contract liabilities from contracts with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43535"/>
                <wp:effectExtent l="0" t="0" r="0" b="0"/>
                <wp:wrapNone/>
                <wp:docPr id="22" name="Frame2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6078" w:type="dxa"/>
        <w:jc w:val="left"/>
        <w:tblInd w:w="0" w:type="dxa"/>
        <w:tblLayout w:type="fixed"/>
        <w:tblCellMar>
          <w:top w:w="28" w:type="dxa"/>
          <w:left w:w="28" w:type="dxa"/>
          <w:bottom w:w="28" w:type="dxa"/>
          <w:right w:w="28" w:type="dxa"/>
        </w:tblCellMar>
      </w:tblPr>
      <w:tblGrid>
        <w:gridCol w:w="1311"/>
        <w:gridCol w:w="1148"/>
        <w:gridCol w:w="1156"/>
        <w:gridCol w:w="196"/>
        <w:gridCol w:w="646"/>
        <w:gridCol w:w="109"/>
        <w:gridCol w:w="109"/>
        <w:gridCol w:w="109"/>
        <w:gridCol w:w="109"/>
        <w:gridCol w:w="233"/>
        <w:gridCol w:w="769"/>
        <w:gridCol w:w="183"/>
      </w:tblGrid>
      <w:tr>
        <w:trPr/>
        <w:tc>
          <w:tcPr>
            <w:tcW w:w="131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Accounts receivable,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Contract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and estimated earnings in excess of billings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4,630 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retainage,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Contract liabilities:</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Billings in excess of costs and estimated earnings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6,314 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6,314 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the Company recognized revenue of $3,746 that was included in "Contract liabilities" at December 31, 2023. During the six months ended June 30, 2023, the Company recognized revenue of $8,013 that was included in "Contract liabilities" at December 31, 2022.</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Environmental credits held for sale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dispensing and credit monetization services to OPAL owned facilities and third-party customers that own renewable gas generation facilities. The Company recognizes revenue from these services as the credits are minted on behalf of the customer. The Company receives non-cash consideration in the form of RINs or LCFSs for providing these services and recognizes the environmental credits received as part of Revenues - Fuel Station Services and environmental credits held for sale within current assets based on their estimated fair value at contract inception. It is recorded at historical fair value at contract inception and reviewed to ensure it is recorded at lower of cost and net realizable value at each balance sheet date. Due to the historically higher LCFS pricing, the fair value at contract inception may be significantly higher than the net realizable value of the environmental credits generated at the period-end balance sheet date. For the three months ended June 30, 2024 and 2023, the Company recorded $3,694 and $1,797 as part of Cost of sales - Fuel Station Services in its condensed consolidated statements of operations to adjust environmental credits held for sale to lower of cost and net realizable value. For the six months ended June 30, 2024 and 2023, the Company recorded $6,850 and $3,015 as part of Cost of sales - Fuel Station Services in its condensed consolidated statements of operations to adjust environmental credits held for sale to lower of cost and net realizable value.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Fuel Station Services Construction Backlog</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remaining performance obligations ("backlog") represent the unrecognized revenue value of its contract commitments. The Company's backlog may significantly vary each reporting period based on the timing of major new contract commitments. At June 30, 2024, the Company had a backlog of $42,814 of which $37,427 is anticipated to be recognized as revenue in the next 12 months.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Major Maintenance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Major maintenance is a component of maintenance expense and encompasses overhauls of internal combustion engines, gas compressors and electrical generators. Major maintenance is expensed as incurred. Major maintenance expense was $2,464 and $2,154 for the three months ended June 30, 2024 and 2023 respectively, and is included in cost of sales — Renewable Power in the condensed consolidated statements of operations. For the six months ended June 30, 2024 and 2023 respectively, major maintenance expense included in cost of sales — Renewable Power was $5,373 and $4,230, respectively.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Vulnerability Due to Certain Concentrations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concentration of credit risk consist principally of cash, cash equivalents, restricted cash, short term investments, derivative instruments and trade accounts receivable. The Company holds cash, cash equivalents and restricted cash at several major financial institutions, much of which exceeds FDIC insured limits. Historically, the Company has not experienced any losses due to such concentration of credit risk. The Company’s temporary cash investments policy is to limit the dollar amount of investments with any one financial institution and monitor the credit ratings of those institutions. While the Company may be exposed to credit losses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43535"/>
                <wp:effectExtent l="0" t="0" r="0" b="0"/>
                <wp:wrapNone/>
                <wp:docPr id="23" name="Frame2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nonperformance of the holders of its deposits, the Company does not expect the settlement of these transactions to have a material effect on its results of operations, cash flows or financial condition.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Company accounts for income taxes in accordance with ASC Topic 740, </w:t>
      </w:r>
      <w:r>
        <w:rPr>
          <w:rFonts w:ascii="Times New Roman;sans-serif" w:hAnsi="Times New Roman;sans-serif"/>
          <w:b w:val="false"/>
          <w:i/>
          <w:color w:val="000000"/>
          <w:sz w:val="20"/>
        </w:rPr>
        <w:t>Accounting for Income Taxes</w:t>
      </w:r>
      <w:r>
        <w:rPr>
          <w:color w:val="000000"/>
        </w:rPr>
        <w:t xml:space="preserve"> </w:t>
      </w:r>
      <w:r>
        <w:rPr>
          <w:rFonts w:ascii="Times New Roman;sans-serif" w:hAnsi="Times New Roman;sans-serif"/>
          <w:b w:val="false"/>
          <w:color w:val="000000"/>
          <w:sz w:val="20"/>
        </w:rPr>
        <w:t xml:space="preserve">(“ASC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condensed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w:t>
      </w:r>
      <w:r>
        <w:rPr>
          <w:rFonts w:ascii="Times New Roman;sans-serif" w:hAnsi="Times New Roman;sans-serif"/>
          <w:b w:val="false"/>
          <w:i/>
          <w:color w:val="000000"/>
          <w:sz w:val="20"/>
        </w:rPr>
        <w:t>Income Taxes; Interim Reporting</w:t>
      </w:r>
      <w:r>
        <w:rPr>
          <w:rFonts w:ascii="Times New Roman;sans-serif" w:hAnsi="Times New Roman;sans-serif"/>
          <w:b w:val="false"/>
          <w:color w:val="000000"/>
          <w:sz w:val="20"/>
        </w:rPr>
        <w:t>. For interim periods, the Company estimates the annual effective income tax rate and applies the estimated rate to the year-to-date income or loss before income taxes.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Significant Customers, Vendors and Concentration of Credit Risk</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two customers accounted for 53% of the revenue, respectively. For the three and six months ended June 30, 2023, three customers accounted for 47% and 46% of the revenue, respectively. At June 30, 2024, two customers accounted for 53% of accounts receivable. At December 31, 2023, two customers accounted for 54% of accounts receivable.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As of June 30, 2024</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one vendor accounted for 30% of the accounts payable. As of December 31, 2023, one vendor accounted for 32% of the accounts payable.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Investment in Other Entities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condensed consolidated balance sheets under the equity method, and the Company's proportionate net (loss) income, if any, is included in the Company's condensed consolidated statements of operations as (loss) income from equity method investments.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evaluate operational developments and the impact of the anticipated expansion of the operations of our existing equity method investments. Based on our analysis, it was determined that our equity method investments have evolved into a critical, integral part of our RNG segment business operations as they provide critical additional production capacity. Therefore, we have determined that the presentation of income (loss) from equity method investments as part of the operating income is more meaningful and useful information to the readers of our financial statements. As a result, we have reclassified our portion of income (loss) from equity method investments to Operating income for all periods presented.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apply the cumulative earnings approach for classifying distributions received from equity method investees. Distributions are classified as cash inflows from operating activities unless they exceed the investor's cumulative equity in earnings, in which case the excess is classified as cash inflows from investing activities.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movement in Investment in Other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43535"/>
                <wp:effectExtent l="0" t="0" r="0" b="0"/>
                <wp:wrapNone/>
                <wp:docPr id="24" name="Frame2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414" w:type="dxa"/>
        <w:jc w:val="left"/>
        <w:tblInd w:w="0" w:type="dxa"/>
        <w:tblLayout w:type="fixed"/>
        <w:tblCellMar>
          <w:top w:w="28" w:type="dxa"/>
          <w:left w:w="28" w:type="dxa"/>
          <w:bottom w:w="28" w:type="dxa"/>
          <w:right w:w="28" w:type="dxa"/>
        </w:tblCellMar>
      </w:tblPr>
      <w:tblGrid>
        <w:gridCol w:w="709"/>
        <w:gridCol w:w="320"/>
        <w:gridCol w:w="322"/>
        <w:gridCol w:w="109"/>
        <w:gridCol w:w="109"/>
        <w:gridCol w:w="109"/>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11"/>
        <w:gridCol w:w="616"/>
        <w:gridCol w:w="271"/>
        <w:gridCol w:w="109"/>
        <w:gridCol w:w="109"/>
        <w:gridCol w:w="109"/>
        <w:gridCol w:w="211"/>
        <w:gridCol w:w="826"/>
        <w:gridCol w:w="271"/>
        <w:gridCol w:w="109"/>
        <w:gridCol w:w="109"/>
        <w:gridCol w:w="109"/>
        <w:gridCol w:w="211"/>
        <w:gridCol w:w="826"/>
        <w:gridCol w:w="154"/>
      </w:tblGrid>
      <w:tr>
        <w:trPr/>
        <w:tc>
          <w:tcPr>
            <w:tcW w:w="7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Pine Bend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Noble Road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SJI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Paragon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ownership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Contribution by the Company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Distributions from return on investment in equity method investment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Distributions from return of investment in equity method investment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basis difference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162,483 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Recorded as part of cash flows from operating activities for the six months ended June 30, 2024.</w:t>
      </w:r>
    </w:p>
    <w:p>
      <w:pPr>
        <w:pStyle w:val="TextBody"/>
        <w:bidi w:val="0"/>
        <w:spacing w:lineRule="auto" w:line="288" w:before="200" w:after="20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Recorded as part of cash flows from investing activities for the six months ended June 30, 2024.</w:t>
      </w:r>
    </w:p>
    <w:p>
      <w:pPr>
        <w:pStyle w:val="TextBody"/>
        <w:bidi w:val="0"/>
        <w:spacing w:lineRule="auto" w:line="288" w:before="200" w:after="20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Reflected in Income from equity method investments in the condensed consolidated statement of operations for the six months ended June 30, 2024.</w:t>
      </w:r>
    </w:p>
    <w:p>
      <w:pPr>
        <w:pStyle w:val="TextBody"/>
        <w:bidi w:val="0"/>
        <w:spacing w:lineRule="auto" w:line="288" w:before="16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income from equity method investments:</w:t>
      </w:r>
    </w:p>
    <w:p>
      <w:pPr>
        <w:pStyle w:val="TextBody"/>
        <w:bidi w:val="0"/>
        <w:spacing w:before="0" w:after="0"/>
        <w:jc w:val="left"/>
        <w:rPr/>
      </w:pPr>
      <w:r>
        <w:rPr/>
      </w:r>
    </w:p>
    <w:p>
      <w:pPr>
        <w:pStyle w:val="TextBody"/>
        <w:bidi w:val="0"/>
        <w:spacing w:before="0" w:after="0"/>
        <w:jc w:val="left"/>
        <w:rPr/>
      </w:pPr>
      <w:r>
        <w:rPr/>
      </w:r>
    </w:p>
    <w:tbl>
      <w:tblPr>
        <w:tblW w:w="8944" w:type="dxa"/>
        <w:jc w:val="left"/>
        <w:tblInd w:w="0" w:type="dxa"/>
        <w:tblLayout w:type="fixed"/>
        <w:tblCellMar>
          <w:top w:w="28" w:type="dxa"/>
          <w:left w:w="28" w:type="dxa"/>
          <w:bottom w:w="28" w:type="dxa"/>
          <w:right w:w="28" w:type="dxa"/>
        </w:tblCellMar>
      </w:tblPr>
      <w:tblGrid>
        <w:gridCol w:w="1410"/>
        <w:gridCol w:w="1241"/>
        <w:gridCol w:w="1249"/>
        <w:gridCol w:w="224"/>
        <w:gridCol w:w="738"/>
        <w:gridCol w:w="124"/>
        <w:gridCol w:w="124"/>
        <w:gridCol w:w="124"/>
        <w:gridCol w:w="124"/>
        <w:gridCol w:w="224"/>
        <w:gridCol w:w="635"/>
        <w:gridCol w:w="124"/>
        <w:gridCol w:w="109"/>
        <w:gridCol w:w="109"/>
        <w:gridCol w:w="109"/>
        <w:gridCol w:w="196"/>
        <w:gridCol w:w="647"/>
        <w:gridCol w:w="109"/>
        <w:gridCol w:w="109"/>
        <w:gridCol w:w="109"/>
        <w:gridCol w:w="109"/>
        <w:gridCol w:w="196"/>
        <w:gridCol w:w="647"/>
        <w:gridCol w:w="154"/>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90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25,567 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Net (loss) income from equity method investments </w:t>
            </w:r>
            <w:r>
              <w:rPr>
                <w:rFonts w:ascii="Times New Roman;sans-serif" w:hAnsi="Times New Roman;sans-serif"/>
                <w:b w:val="false"/>
                <w:color w:val="000000"/>
                <w:sz w:val="12"/>
              </w:rPr>
              <w:t>(1)</w:t>
            </w:r>
          </w:p>
        </w:tc>
        <w:tc>
          <w:tcPr>
            <w:tcW w:w="2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Net income from equity method investments represents our portion of the net income from equity method investments including amortization of any basis differences.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4. Property, Plant, and Equipment, Net</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consisted of the following as of June 30, 2024 and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43535"/>
                <wp:effectExtent l="0" t="0" r="0" b="0"/>
                <wp:wrapNone/>
                <wp:docPr id="25" name="Frame2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5147" w:type="dxa"/>
        <w:jc w:val="left"/>
        <w:tblInd w:w="0" w:type="dxa"/>
        <w:tblLayout w:type="fixed"/>
        <w:tblCellMar>
          <w:top w:w="28" w:type="dxa"/>
          <w:left w:w="28" w:type="dxa"/>
          <w:bottom w:w="28" w:type="dxa"/>
          <w:right w:w="28" w:type="dxa"/>
        </w:tblCellMar>
      </w:tblPr>
      <w:tblGrid>
        <w:gridCol w:w="940"/>
        <w:gridCol w:w="824"/>
        <w:gridCol w:w="830"/>
        <w:gridCol w:w="196"/>
        <w:gridCol w:w="736"/>
        <w:gridCol w:w="109"/>
        <w:gridCol w:w="109"/>
        <w:gridCol w:w="109"/>
        <w:gridCol w:w="109"/>
        <w:gridCol w:w="214"/>
        <w:gridCol w:w="803"/>
        <w:gridCol w:w="168"/>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Plant and equipment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205,188 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CNG/RNG fueling stations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Construction in progress </w:t>
            </w:r>
            <w:r>
              <w:rPr>
                <w:rFonts w:ascii="Times New Roman;sans-serif" w:hAnsi="Times New Roman;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175,060 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2,481 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furniture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 lease - finance lease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6,469 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 -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449,894 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(110,401)</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385,455 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339,493 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(1) Includes $1,055 and $5,475 of capitalized interest on our OPAL Term Loan facility for the six months ended June 30, 2024 and for the year ended December 31,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20, 2023, our wholly owned subsidiary entered into an Asset Purchase and Sale Agreement (for the purposes of this paragraph, the “Agreement”) with Washington Gas Light Company ("WGL"). The subsidiary constructed an RNG production facility at the Prince William County landfill located in Manassas, Virginia, to process landfill gas into RNG. The Agreement obligates the subsidiary to develop, plan and permit a gas pipeline extension and associated interconnection facilities (the “Pipeline Project”) to deliver RNG from the facility to an interconnection point on WGL’s pipeline. Per the terms and conditions of the Agreement, WGL will purchase the Pipeline Project from the subsidiary after its final completion at a purchase price of $25 million. The closing is contingent upon approval of the Agreement by the Virginia State Corporation Commission, as well as the satisfaction of customary closing conditions, and the outside closing date is on or prior to October 20, 2024. During the second quarter of 2024, the agreement has been amended to move the closing date to first quarter of 2025. As of June 30, 2024, we have recorded capital expenditure of $2,881 which is included in the Property, Plant and Equipment on our condensed consolidated balance sheet.</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 xml:space="preserve">As of June 30, 2024, the Construction in progress consists of capital expenditures on construction of RNG generation facilities including, but not limited to Polk County, Cottonwood, Central Valley RNG projects and RNG dispensing facilities. Polk County is expected to be operational in the fourth quarter of 2024. The remaining facilities except Central Valley RNG projects, for which costs are in construction in progress as of June 30, 2024, are expected to be operational during 2025. Regarding the Central Valley RNG projects, please refer to Note 17.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on property, plant, and equipment for the three months ended June 30, 2024 and 2023 was $4,076 and $3,372, respectively. The depreciation expense for the six months ended June 30, 2024 and June 30, 2023 was $7,569 and $6,677,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5. Intangible Assets, Net</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 at June 30, 2024 and December 31, 2023:</w:t>
      </w:r>
    </w:p>
    <w:p>
      <w:pPr>
        <w:pStyle w:val="TextBody"/>
        <w:bidi w:val="0"/>
        <w:spacing w:before="120" w:after="283"/>
        <w:ind w:left="0" w:right="0" w:firstLine="360"/>
        <w:jc w:val="left"/>
        <w:rPr/>
      </w:pPr>
      <w:r>
        <w:rPr/>
      </w:r>
    </w:p>
    <w:tbl>
      <w:tblPr>
        <w:tblW w:w="7466" w:type="dxa"/>
        <w:jc w:val="left"/>
        <w:tblInd w:w="0" w:type="dxa"/>
        <w:tblLayout w:type="fixed"/>
        <w:tblCellMar>
          <w:top w:w="28" w:type="dxa"/>
          <w:left w:w="28" w:type="dxa"/>
          <w:bottom w:w="28" w:type="dxa"/>
          <w:right w:w="28" w:type="dxa"/>
        </w:tblCellMar>
      </w:tblPr>
      <w:tblGrid>
        <w:gridCol w:w="761"/>
        <w:gridCol w:w="667"/>
        <w:gridCol w:w="672"/>
        <w:gridCol w:w="109"/>
        <w:gridCol w:w="109"/>
        <w:gridCol w:w="109"/>
        <w:gridCol w:w="196"/>
        <w:gridCol w:w="556"/>
        <w:gridCol w:w="109"/>
        <w:gridCol w:w="109"/>
        <w:gridCol w:w="109"/>
        <w:gridCol w:w="109"/>
        <w:gridCol w:w="251"/>
        <w:gridCol w:w="733"/>
        <w:gridCol w:w="142"/>
        <w:gridCol w:w="109"/>
        <w:gridCol w:w="109"/>
        <w:gridCol w:w="109"/>
        <w:gridCol w:w="205"/>
        <w:gridCol w:w="581"/>
        <w:gridCol w:w="115"/>
        <w:gridCol w:w="109"/>
        <w:gridCol w:w="109"/>
        <w:gridCol w:w="109"/>
        <w:gridCol w:w="342"/>
        <w:gridCol w:w="342"/>
        <w:gridCol w:w="486"/>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Intangible</w:t>
              <w:br/>
              <w:t xml:space="preserve">Assets, </w:t>
              <w:b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br/>
              <w:t>(Years)</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43535"/>
                <wp:effectExtent l="0" t="0" r="0" b="0"/>
                <wp:wrapNone/>
                <wp:docPr id="26" name="Frame2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7579" w:type="dxa"/>
        <w:jc w:val="left"/>
        <w:tblInd w:w="0" w:type="dxa"/>
        <w:tblLayout w:type="fixed"/>
        <w:tblCellMar>
          <w:top w:w="28" w:type="dxa"/>
          <w:left w:w="28" w:type="dxa"/>
          <w:bottom w:w="28" w:type="dxa"/>
          <w:right w:w="28" w:type="dxa"/>
        </w:tblCellMar>
      </w:tblPr>
      <w:tblGrid>
        <w:gridCol w:w="1108"/>
        <w:gridCol w:w="973"/>
        <w:gridCol w:w="978"/>
        <w:gridCol w:w="109"/>
        <w:gridCol w:w="109"/>
        <w:gridCol w:w="109"/>
        <w:gridCol w:w="196"/>
        <w:gridCol w:w="646"/>
        <w:gridCol w:w="109"/>
        <w:gridCol w:w="109"/>
        <w:gridCol w:w="109"/>
        <w:gridCol w:w="109"/>
        <w:gridCol w:w="196"/>
        <w:gridCol w:w="631"/>
        <w:gridCol w:w="109"/>
        <w:gridCol w:w="109"/>
        <w:gridCol w:w="109"/>
        <w:gridCol w:w="109"/>
        <w:gridCol w:w="196"/>
        <w:gridCol w:w="556"/>
        <w:gridCol w:w="109"/>
        <w:gridCol w:w="109"/>
        <w:gridCol w:w="109"/>
        <w:gridCol w:w="109"/>
        <w:gridCol w:w="136"/>
        <w:gridCol w:w="136"/>
        <w:gridCol w:w="192"/>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ind w:left="0" w:right="0" w:hanging="200"/>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Transmission/distribution interconnection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Intellectual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tbl>
      <w:tblPr>
        <w:tblW w:w="8516" w:type="dxa"/>
        <w:jc w:val="left"/>
        <w:tblInd w:w="0" w:type="dxa"/>
        <w:tblLayout w:type="fixed"/>
        <w:tblCellMar>
          <w:top w:w="28" w:type="dxa"/>
          <w:left w:w="28" w:type="dxa"/>
          <w:bottom w:w="28" w:type="dxa"/>
          <w:right w:w="28" w:type="dxa"/>
        </w:tblCellMar>
      </w:tblPr>
      <w:tblGrid>
        <w:gridCol w:w="1109"/>
        <w:gridCol w:w="972"/>
        <w:gridCol w:w="979"/>
        <w:gridCol w:w="109"/>
        <w:gridCol w:w="109"/>
        <w:gridCol w:w="109"/>
        <w:gridCol w:w="196"/>
        <w:gridCol w:w="646"/>
        <w:gridCol w:w="109"/>
        <w:gridCol w:w="109"/>
        <w:gridCol w:w="109"/>
        <w:gridCol w:w="109"/>
        <w:gridCol w:w="251"/>
        <w:gridCol w:w="733"/>
        <w:gridCol w:w="142"/>
        <w:gridCol w:w="109"/>
        <w:gridCol w:w="109"/>
        <w:gridCol w:w="109"/>
        <w:gridCol w:w="205"/>
        <w:gridCol w:w="581"/>
        <w:gridCol w:w="115"/>
        <w:gridCol w:w="109"/>
        <w:gridCol w:w="109"/>
        <w:gridCol w:w="109"/>
        <w:gridCol w:w="342"/>
        <w:gridCol w:w="342"/>
        <w:gridCol w:w="486"/>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Intangible</w:t>
              <w:br/>
              <w:t xml:space="preserve">Assets, </w:t>
              <w:b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br/>
              <w:t>(years)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Transmission/distribution interconnection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Intellectual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(9,038)</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three and six months ended June 30, 2024 was $71 and $138, respectively. Amortization expense for the three and six months ended June 30, 2023 was $153 and $313, respectively. At June 30, 2024, estimated future amortization expense for intangible assets is as follows:</w:t>
      </w:r>
    </w:p>
    <w:tbl>
      <w:tblPr>
        <w:tblW w:w="3741" w:type="dxa"/>
        <w:jc w:val="left"/>
        <w:tblInd w:w="0" w:type="dxa"/>
        <w:tblLayout w:type="fixed"/>
        <w:tblCellMar>
          <w:top w:w="28" w:type="dxa"/>
          <w:left w:w="28" w:type="dxa"/>
          <w:bottom w:w="28" w:type="dxa"/>
          <w:right w:w="28" w:type="dxa"/>
        </w:tblCellMar>
      </w:tblPr>
      <w:tblGrid>
        <w:gridCol w:w="1025"/>
        <w:gridCol w:w="903"/>
        <w:gridCol w:w="907"/>
        <w:gridCol w:w="196"/>
        <w:gridCol w:w="556"/>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Six months ended December 31, 2024</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6. Goodwill</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goodwill, if any, by reporting segment from the beginning of the period to the end of the period:</w:t>
      </w:r>
    </w:p>
    <w:tbl>
      <w:tblPr>
        <w:tblW w:w="6695" w:type="dxa"/>
        <w:jc w:val="left"/>
        <w:tblInd w:w="0" w:type="dxa"/>
        <w:tblLayout w:type="fixed"/>
        <w:tblCellMar>
          <w:top w:w="28" w:type="dxa"/>
          <w:left w:w="28" w:type="dxa"/>
          <w:bottom w:w="28" w:type="dxa"/>
          <w:right w:w="28" w:type="dxa"/>
        </w:tblCellMar>
      </w:tblPr>
      <w:tblGrid>
        <w:gridCol w:w="868"/>
        <w:gridCol w:w="763"/>
        <w:gridCol w:w="768"/>
        <w:gridCol w:w="196"/>
        <w:gridCol w:w="646"/>
        <w:gridCol w:w="109"/>
        <w:gridCol w:w="109"/>
        <w:gridCol w:w="109"/>
        <w:gridCol w:w="109"/>
        <w:gridCol w:w="386"/>
        <w:gridCol w:w="1095"/>
        <w:gridCol w:w="214"/>
        <w:gridCol w:w="109"/>
        <w:gridCol w:w="109"/>
        <w:gridCol w:w="109"/>
        <w:gridCol w:w="196"/>
        <w:gridCol w:w="64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RNG Fuel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color w:val="000000"/>
                <w:sz w:val="18"/>
              </w:rPr>
            </w:pPr>
            <w:r>
              <w:rPr>
                <w:rFonts w:ascii="Times New Roman;sans-serif" w:hAnsi="Times New Roman;sans-serif"/>
                <w:b/>
                <w:color w:val="000000"/>
                <w:sz w:val="18"/>
              </w:rPr>
              <w:t>Balance at June 30, 2024</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7. Borrowings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borrowings under the various debt facilities as of June 30, 2024 and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43535"/>
                <wp:effectExtent l="0" t="0" r="0" b="0"/>
                <wp:wrapNone/>
                <wp:docPr id="27" name="Frame2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6713" w:type="dxa"/>
        <w:jc w:val="left"/>
        <w:tblInd w:w="0" w:type="dxa"/>
        <w:tblLayout w:type="fixed"/>
        <w:tblCellMar>
          <w:top w:w="28" w:type="dxa"/>
          <w:left w:w="28" w:type="dxa"/>
          <w:bottom w:w="28" w:type="dxa"/>
          <w:right w:w="28" w:type="dxa"/>
        </w:tblCellMar>
      </w:tblPr>
      <w:tblGrid>
        <w:gridCol w:w="1196"/>
        <w:gridCol w:w="1054"/>
        <w:gridCol w:w="1064"/>
        <w:gridCol w:w="109"/>
        <w:gridCol w:w="109"/>
        <w:gridCol w:w="109"/>
        <w:gridCol w:w="217"/>
        <w:gridCol w:w="817"/>
        <w:gridCol w:w="121"/>
        <w:gridCol w:w="109"/>
        <w:gridCol w:w="109"/>
        <w:gridCol w:w="109"/>
        <w:gridCol w:w="287"/>
        <w:gridCol w:w="1078"/>
        <w:gridCol w:w="225"/>
      </w:tblGrid>
      <w:tr>
        <w:trPr/>
        <w:tc>
          <w:tcPr>
            <w:tcW w:w="119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211,618 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186,618 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(10,086)</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198,342 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176,532 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22,453 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borrowings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217,535 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196,542 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principal maturities of debt are expected as follows, excluding any undrawn debt facilities as of the date of the condensed consolidated balance sheets: </w:t>
      </w:r>
    </w:p>
    <w:tbl>
      <w:tblPr>
        <w:tblW w:w="7674" w:type="dxa"/>
        <w:jc w:val="left"/>
        <w:tblInd w:w="0" w:type="dxa"/>
        <w:tblLayout w:type="fixed"/>
        <w:tblCellMar>
          <w:top w:w="28" w:type="dxa"/>
          <w:left w:w="28" w:type="dxa"/>
          <w:bottom w:w="28" w:type="dxa"/>
          <w:right w:w="28" w:type="dxa"/>
        </w:tblCellMar>
      </w:tblPr>
      <w:tblGrid>
        <w:gridCol w:w="1046"/>
        <w:gridCol w:w="922"/>
        <w:gridCol w:w="926"/>
        <w:gridCol w:w="109"/>
        <w:gridCol w:w="109"/>
        <w:gridCol w:w="109"/>
        <w:gridCol w:w="285"/>
        <w:gridCol w:w="1071"/>
        <w:gridCol w:w="158"/>
        <w:gridCol w:w="109"/>
        <w:gridCol w:w="109"/>
        <w:gridCol w:w="109"/>
        <w:gridCol w:w="247"/>
        <w:gridCol w:w="815"/>
        <w:gridCol w:w="137"/>
        <w:gridCol w:w="109"/>
        <w:gridCol w:w="109"/>
        <w:gridCol w:w="109"/>
        <w:gridCol w:w="196"/>
        <w:gridCol w:w="736"/>
        <w:gridCol w:w="154"/>
      </w:tblGrid>
      <w:tr>
        <w:trPr/>
        <w:tc>
          <w:tcPr>
            <w:tcW w:w="104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OPAL Term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Sunoma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94" w:type="dxa"/>
            <w:gridSpan w:val="3"/>
            <w:tcBorders/>
            <w:shd w:fill="BFE4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Six months ending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211,618 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00"/>
        <w:jc w:val="both"/>
        <w:rPr>
          <w:rFonts w:ascii="Times New Roman;sans-serif" w:hAnsi="Times New Roman;sans-serif"/>
          <w:b/>
          <w:color w:val="000000"/>
          <w:sz w:val="20"/>
        </w:rPr>
      </w:pPr>
      <w:r>
        <w:rPr>
          <w:rFonts w:ascii="Times New Roman;sans-serif" w:hAnsi="Times New Roman;sans-serif"/>
          <w:b/>
          <w:color w:val="000000"/>
          <w:sz w:val="20"/>
        </w:rPr>
        <w:t>OPAL Term Loan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2021, OPAL Fuels Intermediate Holding Company LLC (“OPAL Intermediate Holdco”), an indirect wholly-owned subsidiary of the Company, entered into a $125,000 term loan agreement (the "OPAL Term Loan") with a syndicate of lenders.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 2023, OPAL Intermediate Holdco restructured its existing credit agreement and entered into a new senior secured credit facility (the "Credit Agreement") with OPAL Intermediate HoldCo as the Borrower, direct and indirect subsidiaries of the Borrower as guarantors (the “Guarantors”), the lenders party thereto, as lenders, Apterra Infrastructure Capital LLC, Barclays Bank PLC, BofA Securities, Inc., Celtic Bank Corporation, Citibank, N.A., JP Morgan Chase Bank, N.A. Investec Inc. and ICBC Standard Bank PLC, as joint lead arrangers, and Bank of America, N.A., as administrative agent. Four of the existing lenders participated in the new credit facility.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provides for up to $450.0 million of initial and delayed draw term loans (with such delayed draw term loans available for up to 18 months after closing) and $50.0 million of revolving loans. The proceeds from the facility are expected to be used to fund other general corporate purposes of the Borrower and Guarantors. The Company paid transaction fees and expenses in the amount of approximately $9,976. The amounts outstanding under the Credit Agreement are secured by the assets of the indirect subsidiaries of OPAL Intermediate Holdco.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outstanding loan balance (current and non-current) excluding deferred financing costs was $211,618 and $186,618, respectively. During the second quarter of 2024, the Company drew down an additional $25,000. Additionally, the Company utilized $13,694 of availability under the revolver loan to provide for the issuance of letters of credit to support the operations of the Borrower and the Guarantors.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loans under the Credit Agreement initially bear interest at an annual rate of Term SOFR plus 3.5%, increasing by 0.25% per annum during the term. Commencing March 31, 2025, the outstanding principal amount of the term loans amortizes at a rate of 1% per quarter and the Borrower is obligated to pay a leverage based cash sweep ranging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43535"/>
                <wp:effectExtent l="0" t="0" r="0" b="0"/>
                <wp:wrapNone/>
                <wp:docPr id="28" name="Frame2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25% to 100% of distributable cash of Borrower and the Guarantors, and subject to certain other mandatory prepayment requirements. The term loans and revolving loans mature on September 1, 2028.</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requires the Borrower to maintain a consolidated debt service coverage ratio of not less than 1.2 to 1.0, as tested on a trailing four quarters basis as of the last day of each fiscal quarter during the term commencing with the quarter ended December 31, 2023, and to maintain a consolidated debt to cash flow ratio of not greater than 4.5 to 1.0 during the delayed draw availability period, and not greater than 4.0 to 1.0 thereafter.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includes certain customary and project-related affirmative and negative covenants, including restrictions on distributions, and events of default, which include payment defaults breaches of covenants; changes of control materially incorrect or misleading representations or warranties bankruptcy or other events of insolvency and certain project-related defaults. As of June 30, 2024, the Company is in compliance with the financial covenants under the OPAL Term Loan. Additionally, the OPAL Term Loan contains restrictions on distributions and additional indebtedness.</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the ability, during the delayed draw availability period and subject to the satisfaction of certain credit and project-related conditions precedent, to join other newly acquired subsidiaries with comparable renewable projects in development under the credit facility for comparable funding.</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Sunoma Loan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27, 2020, Sunoma, an indirect wholly-owned subsidiary of the Company entered into a debt agreement (the "Sunoma Loan Agreement") with Live Oak Banking Company for an aggregate principal amount of $20,000. Sunoma paid $635 as financing fees. The amounts outstanding under the Sunoma Loan are secured by the assets of Sunoma.</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Sunoma Loan Agreement contains certain financial covenants which require Sunoma to maintain (i) maximum debt to net worth ratio not to exceed 5:1 (ii) a minimum current ratio not less than 1.0 and (iii) minimum debt service coverage ratio of trailing four quarters not less than 1.25. On July 19, 2022, Sunoma completed the conversion of the construction loan into a permanent loan and increased the commitment from $20,000 to $23,000. As of June 30, 2024, Sunoma in compliance with the financial covenants under the Sunoma Loan Agreement.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borrowings under the Sunoma Loan Agreement bear interest at the rate of prime rate plus 3.5% or 7.75% and have a maturity date of July 19, 2033. The Company is required to pay a quarterly amortization of principal of $380 beginning in October 2023.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outstanding loan balance (current and non-current) excluding deferred financing costs was $21,672 and $22,453, respectively.</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significant assets of Sunoma are parenthesized in the condensed consolidated balance sheets as June 30, 2024 and December 31, 2023. See Note 12. </w:t>
      </w:r>
      <w:r>
        <w:rPr>
          <w:rFonts w:ascii="Times New Roman;sans-serif" w:hAnsi="Times New Roman;sans-serif"/>
          <w:b w:val="false"/>
          <w:i/>
          <w:color w:val="000000"/>
          <w:sz w:val="20"/>
        </w:rPr>
        <w:t xml:space="preserve">Variable Interest Entities </w:t>
      </w:r>
      <w:r>
        <w:rPr>
          <w:rFonts w:ascii="Times New Roman;sans-serif" w:hAnsi="Times New Roman;sans-serif"/>
          <w:b w:val="false"/>
          <w:color w:val="000000"/>
          <w:sz w:val="20"/>
        </w:rPr>
        <w:t xml:space="preserve">for additional information. </w:t>
      </w:r>
    </w:p>
    <w:p>
      <w:pPr>
        <w:pStyle w:val="TextBody"/>
        <w:bidi w:val="0"/>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Convertible Note Payable</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 2021, the Company acquired the remaining ownership interests in Beacon and signed an unsecured, contingently convertible note (the "Convertible Note Payable") with Ares for a total aggregate amount for $50,000 at an interest rate of 8.00% per annum. </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repaid the outstanding balance in full on September 1, 2023.</w:t>
      </w:r>
    </w:p>
    <w:p>
      <w:pPr>
        <w:pStyle w:val="TextBody"/>
        <w:bidi w:val="0"/>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Municipality Loan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FM3, an indirect wholly-owned subsidiary of the Company, entered into a loan agreement for the construction of an interconnection that was initially funded by the municipality. The loan was fully repaid in April 2023.</w:t>
      </w:r>
    </w:p>
    <w:p>
      <w:pPr>
        <w:pStyle w:val="TextBody"/>
        <w:bidi w:val="0"/>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Senior Secured Credit Facility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21, 2015, FM3, an indirect wholly-owned subsidiary of the Company, entered into a senior secured credit facility (the "Senior Secured Credit Facility") as a borrower and a syndicate of lenders, which provides for an aggregate principal amount of $150,000, consisting of (i) a term loan of $125,000 and a (ii) working capital letter of credit facility of up to $19,000 and a (iii) debt service reserve and liquidity facility of up to $6,000.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43535"/>
                <wp:effectExtent l="0" t="0" r="0" b="0"/>
                <wp:wrapNone/>
                <wp:docPr id="29" name="Frame2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20, 2023, the Company repaid in full the remaining outstanding loan under this facility.</w:t>
      </w:r>
    </w:p>
    <w:p>
      <w:pPr>
        <w:pStyle w:val="TextBody"/>
        <w:bidi w:val="0"/>
        <w:spacing w:lineRule="auto" w:line="288" w:before="160" w:after="283"/>
        <w:ind w:left="0" w:right="0" w:hanging="480"/>
        <w:jc w:val="both"/>
        <w:rPr>
          <w:rFonts w:ascii="Times New Roman;sans-serif" w:hAnsi="Times New Roman;sans-serif"/>
          <w:b/>
          <w:i/>
          <w:color w:val="000000"/>
          <w:sz w:val="20"/>
        </w:rPr>
      </w:pPr>
      <w:r>
        <w:rPr>
          <w:rFonts w:ascii="Times New Roman;sans-serif" w:hAnsi="Times New Roman;sans-serif"/>
          <w:b/>
          <w:i/>
          <w:color w:val="000000"/>
          <w:sz w:val="20"/>
        </w:rPr>
        <w:t>Interest rates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2024</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the weighted average effective interest rate including amortization of debt issuance costs on OPAL Term Loan was 9.3% and 7.9%, respectively.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2024, the interest rate on the Sunoma Loan was 8.5% and 8.4%, respectively.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2023</w:t>
      </w:r>
    </w:p>
    <w:p>
      <w:pPr>
        <w:pStyle w:val="TextBody"/>
        <w:bidi w:val="0"/>
        <w:spacing w:lineRule="auto" w:line="252"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the weighted average effective interest rate on the Senior Secured Credit Facility including amortization of debt issuance costs on Senior Secured Credit Facility was 5.6% including a margin plus LIBOR. The facility was fully repaid in March 2023.</w:t>
      </w:r>
    </w:p>
    <w:p>
      <w:pPr>
        <w:pStyle w:val="TextBody"/>
        <w:bidi w:val="0"/>
        <w:spacing w:lineRule="auto" w:line="252"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the weighted average effective interest rate on OPAL Term Loan including amortization of debt issuance costs was 9.2% and 8.8%.</w:t>
      </w:r>
    </w:p>
    <w:p>
      <w:pPr>
        <w:pStyle w:val="TextBody"/>
        <w:bidi w:val="0"/>
        <w:spacing w:lineRule="auto" w:line="252"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three and six months ended June 30, 2023, the interest rate on the Sunoma loan was 8.0%.</w:t>
      </w:r>
    </w:p>
    <w:p>
      <w:pPr>
        <w:pStyle w:val="TextBody"/>
        <w:bidi w:val="0"/>
        <w:spacing w:before="0" w:after="0"/>
        <w:ind w:left="0" w:right="0" w:firstLine="1178"/>
        <w:jc w:val="both"/>
        <w:rPr/>
      </w:pPr>
      <w:r>
        <w:rPr/>
      </w:r>
    </w:p>
    <w:p>
      <w:pPr>
        <w:pStyle w:val="TextBody"/>
        <w:bidi w:val="0"/>
        <w:spacing w:lineRule="auto" w:line="252"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the payment-in-kind interest rate on Convertible Note Payable was 8.0%. </w:t>
      </w:r>
    </w:p>
    <w:p>
      <w:pPr>
        <w:pStyle w:val="TextBody"/>
        <w:bidi w:val="0"/>
        <w:spacing w:before="0" w:after="0"/>
        <w:ind w:left="0" w:right="0" w:firstLine="360"/>
        <w:jc w:val="both"/>
        <w:rPr/>
      </w:pPr>
      <w:r>
        <w:rPr/>
      </w:r>
    </w:p>
    <w:p>
      <w:pPr>
        <w:pStyle w:val="TextBody"/>
        <w:bidi w:val="0"/>
        <w:spacing w:lineRule="auto" w:line="252"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the weighted average interest rate on Municipality loan was 3.0%.</w:t>
      </w:r>
    </w:p>
    <w:p>
      <w:pPr>
        <w:pStyle w:val="TextBody"/>
        <w:bidi w:val="0"/>
        <w:spacing w:before="0" w:after="0"/>
        <w:jc w:val="both"/>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total interest expense for the three and six months ended June 30, 2024 and 2023:</w:t>
      </w:r>
    </w:p>
    <w:tbl>
      <w:tblPr>
        <w:tblW w:w="9074" w:type="dxa"/>
        <w:jc w:val="left"/>
        <w:tblInd w:w="0" w:type="dxa"/>
        <w:tblLayout w:type="fixed"/>
        <w:tblCellMar>
          <w:top w:w="28" w:type="dxa"/>
          <w:left w:w="28" w:type="dxa"/>
          <w:bottom w:w="28" w:type="dxa"/>
          <w:right w:w="28" w:type="dxa"/>
        </w:tblCellMar>
      </w:tblPr>
      <w:tblGrid>
        <w:gridCol w:w="1285"/>
        <w:gridCol w:w="1133"/>
        <w:gridCol w:w="1137"/>
        <w:gridCol w:w="109"/>
        <w:gridCol w:w="109"/>
        <w:gridCol w:w="109"/>
        <w:gridCol w:w="270"/>
        <w:gridCol w:w="789"/>
        <w:gridCol w:w="139"/>
        <w:gridCol w:w="139"/>
        <w:gridCol w:w="139"/>
        <w:gridCol w:w="139"/>
        <w:gridCol w:w="270"/>
        <w:gridCol w:w="597"/>
        <w:gridCol w:w="139"/>
        <w:gridCol w:w="109"/>
        <w:gridCol w:w="109"/>
        <w:gridCol w:w="109"/>
        <w:gridCol w:w="211"/>
        <w:gridCol w:w="616"/>
        <w:gridCol w:w="109"/>
        <w:gridCol w:w="109"/>
        <w:gridCol w:w="109"/>
        <w:gridCol w:w="109"/>
        <w:gridCol w:w="211"/>
        <w:gridCol w:w="616"/>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Convertible Note Payable mark-to-market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Sunoma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OPAL Term Loan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fees and other finance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Excludes $640 and $2,074 of interest capitalized and recorded as part of Property, Plant and Equipment for the three and six months ended June 30, 2024, respectively. Excludes $1,981 and $3,785 of interest capitalized and recorded as part of Property, Plant and Equipment for the three and six months ended June 30, 2023,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8. Leases</w:t>
      </w:r>
    </w:p>
    <w:p>
      <w:pPr>
        <w:pStyle w:val="TextBody"/>
        <w:bidi w:val="0"/>
        <w:spacing w:lineRule="auto" w:line="288" w:before="240" w:after="283"/>
        <w:ind w:left="0" w:right="0" w:hanging="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type of contracts that fall under ASC 842: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43535"/>
                <wp:effectExtent l="0" t="0" r="0" b="0"/>
                <wp:wrapNone/>
                <wp:docPr id="30" name="Frame3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ind w:left="0" w:right="0" w:hanging="480"/>
        <w:jc w:val="left"/>
        <w:rPr>
          <w:rFonts w:ascii="Times New Roman;sans-serif" w:hAnsi="Times New Roman;sans-serif"/>
          <w:b/>
          <w:i/>
          <w:color w:val="000000"/>
          <w:sz w:val="20"/>
        </w:rPr>
      </w:pPr>
      <w:r>
        <w:rPr>
          <w:rFonts w:ascii="Times New Roman;sans-serif" w:hAnsi="Times New Roman;sans-serif"/>
          <w:b/>
          <w:i/>
          <w:color w:val="000000"/>
          <w:sz w:val="20"/>
        </w:rPr>
        <w:t>Lessor contracts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Fuel Provider agreements</w:t>
      </w:r>
    </w:p>
    <w:p>
      <w:pPr>
        <w:pStyle w:val="TextBody"/>
        <w:bidi w:val="0"/>
        <w:spacing w:before="0" w:after="0"/>
        <w:ind w:left="0" w:right="0" w:hanging="480"/>
        <w:jc w:val="left"/>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Fuel provider agreements ("FPAs") are for the sale of brown gas, service and maintenance of sites. The Company is contracted to design and build a Fueling Station on the customer's property in exchange for the Company providing CNG/RNG to the customer for a determined number of years. These are considered to be operating leases with variable consideration. As per ASC 842, the revenue is recognized in the period earned. </w:t>
      </w:r>
    </w:p>
    <w:p>
      <w:pPr>
        <w:pStyle w:val="TextBody"/>
        <w:bidi w:val="0"/>
        <w:spacing w:lineRule="auto" w:line="288" w:before="240" w:after="283"/>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Power Purchase agreements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Power purchase agreements ("PPAs") are for the sale of electricity generated at our Renewable Power facilities. All of our Renewable Power facilities operate under fixed pricing or indexed pricing based on market prices. Two of our Renewable Power facilities transfer the right to control the use of the power plant to the purchaser and are therefore classified as operating leases. The Company elected not to reassess the lease classification due to change in criteria under ASC 842 for these two PPAs. There were no amendments to these two contracts after the adoption date.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Fuel Station Service revenues are $935 and $1,707 related to the lease portion of the FPAs for the three and six months ended June 30, 2024, respectively. It includes $632 and $1,202 related to the lease portion of the FPAs for the three and six months ended June 30, 2023, respectively.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Renewable Power revenues are $210 and $429 related to the lease element of the PPAs for the three and six months ended June 30, 2024, respectively. Includes $264 and $595 related to the lease element of the PPAs for the three and six ended June 30, 2023, respectively.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Lessee contracts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Ground/Site leases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through various of its indirectly owned subsidiaries holds site leases on landfills/dairy farms to build RNG generation facilities. Typically, the lease payments over the lease term are immaterial except for three of our RNG facilities - Beacon and two sites at our Central Valley project - MD Digester ("MD") and VS Digester ("VS"). During the second quarter of 2024, the Company revised the commercial operation date for its leases for MD and VS by between 20 to 24 months which changed the lease term for both the leases. Beginning in the second quarter of 2024 the Company treated this as a lease modification and increased its right-of-use asset and corresponding lease liability by $1,218 on its condensed consolidated balance sheet as of June 30, 2024, using the incremental borrowing rate of 7.28%.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27, 2023, OPAL entered into an Amended and Restated Lease Agreement with a counter party which amended the payment terms to include a minimum volume requirement that requires OPAL to pay lease payments of $1 per GGE of CNG pumped with annual minimum volumes for the lease term.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that the site lease is a finance lease because the present value of the sum of the lease payments is substantially greater than the fair value of the parcel of land. Therefore, the Company recorded right-of-use asset and related lease liability on December 27, 2023.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Office lease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three site leases and the one office lease are operating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43535"/>
                <wp:effectExtent l="0" t="0" r="0" b="0"/>
                <wp:wrapNone/>
                <wp:docPr id="31" name="Frame3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ASC 842, leases are classified as either finance or operating arrangements, with such classification affecting the pattern and classification of expense recognition in an entity's income statement. For operating leases, ASC 842 requires recognition in an entity’s income statement of a single lease expense, calculated so that the cost of the lease is allocated over the lease term, generally on a straight-line basis. Right-of-use assets represent a right to use the underlying asset for the lease term and the related lease liability represents an obligation to make lease payments pursuant to the contractual terms of the lease agreement.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above guidance, the lease expense for the site leases is included as part of Cost of sales - RNG Fuel in its condensed consolidated statement of operations for the three and six months ended June 30, 2024 and 2023. The lease expense for the office lease is recorded as part of Selling, general and administrative expenses in its condensed consolidated statement of operations for the three and months ended June 30, 2024 and 2023. </w:t>
      </w:r>
    </w:p>
    <w:p>
      <w:pPr>
        <w:pStyle w:val="TextBody"/>
        <w:bidi w:val="0"/>
        <w:spacing w:lineRule="auto" w:line="26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Vehicle leases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approximately 104 vehicles in our FM3 and OPAL Fuel Station Services subsidiaries. The leases contain repurchase options at the end of the lease term and the sum total of the lease payments represents substantially the fair value of the asset.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ASC 842, the Company determined that the vehicle leases are finance leases. For finance leases, ASC 842 requires recognition of amortization of right-of-use asset as part of depreciation and amortization expense and the interest on the finance lease liability as interest expense in the income statement. The Company accordingly recognized its lease expense on the vehicle leases as part of Depreciation, amortization and accretion expense and interest and financing expense, net in its condensed statement of operations for the three and six months ended June 30, 2024 and 2023.</w:t>
      </w:r>
    </w:p>
    <w:p>
      <w:pPr>
        <w:pStyle w:val="TextBody"/>
        <w:bidi w:val="0"/>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Lease Disclosures Under ASC 842</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objective of the disclosure requirements under ASC 842 is to enable users of an entity’s financial statements to assess the amount, timing and uncertainty of cash flows arising from lease arrangements. In addition to the supplemental qualitative leasing disclosures included above, below are quantitative disclosures that are intended to meet the stated objective of ASC 842.</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and Lease liabilities as of June 30, 2024 and December 31, 2023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43535"/>
                <wp:effectExtent l="0" t="0" r="0" b="0"/>
                <wp:wrapNone/>
                <wp:docPr id="32" name="Frame3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9888"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269"/>
        <w:gridCol w:w="1269"/>
        <w:gridCol w:w="1272"/>
        <w:gridCol w:w="109"/>
        <w:gridCol w:w="109"/>
        <w:gridCol w:w="109"/>
        <w:gridCol w:w="254"/>
        <w:gridCol w:w="889"/>
        <w:gridCol w:w="131"/>
        <w:gridCol w:w="109"/>
        <w:gridCol w:w="109"/>
        <w:gridCol w:w="109"/>
        <w:gridCol w:w="339"/>
        <w:gridCol w:w="1183"/>
        <w:gridCol w:w="247"/>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Balance Sheet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0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Site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Office lease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13,185</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12,301</w:t>
            </w: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Finance leases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Vehicle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8,384</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9,048</w:t>
            </w: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21,569</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21,349</w:t>
            </w: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Liabilities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Sites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leases - 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 leases - 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1,975</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2,036</w:t>
            </w: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Sites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leases - 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 leases - 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19,212</w:t>
            </w: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21,897</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21,248</w:t>
            </w:r>
            <w:r>
              <w:rPr>
                <w:color w:val="000000"/>
              </w:rPr>
              <w:t>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Operating lease right-of-use asset and Operating lease liabilities represent the present value of lease payments for the remaining term of the lease. The discount rate used ranged from 2.30% to 7.28%.</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components of the Company's lease expense for the three and six months ended June 30, 2024 and 2023:</w:t>
      </w:r>
    </w:p>
    <w:tbl>
      <w:tblPr>
        <w:tblW w:w="10205" w:type="dxa"/>
        <w:jc w:val="left"/>
        <w:tblInd w:w="0" w:type="dxa"/>
        <w:tblLayout w:type="fixed"/>
        <w:tblCellMar>
          <w:top w:w="28" w:type="dxa"/>
          <w:left w:w="28" w:type="dxa"/>
          <w:bottom w:w="28" w:type="dxa"/>
          <w:right w:w="28" w:type="dxa"/>
        </w:tblCellMar>
      </w:tblPr>
      <w:tblGrid>
        <w:gridCol w:w="904"/>
        <w:gridCol w:w="738"/>
        <w:gridCol w:w="740"/>
        <w:gridCol w:w="109"/>
        <w:gridCol w:w="109"/>
        <w:gridCol w:w="109"/>
        <w:gridCol w:w="841"/>
        <w:gridCol w:w="750"/>
        <w:gridCol w:w="751"/>
        <w:gridCol w:w="109"/>
        <w:gridCol w:w="109"/>
        <w:gridCol w:w="109"/>
        <w:gridCol w:w="242"/>
        <w:gridCol w:w="535"/>
        <w:gridCol w:w="125"/>
        <w:gridCol w:w="125"/>
        <w:gridCol w:w="125"/>
        <w:gridCol w:w="125"/>
        <w:gridCol w:w="242"/>
        <w:gridCol w:w="535"/>
        <w:gridCol w:w="125"/>
        <w:gridCol w:w="109"/>
        <w:gridCol w:w="109"/>
        <w:gridCol w:w="109"/>
        <w:gridCol w:w="217"/>
        <w:gridCol w:w="635"/>
        <w:gridCol w:w="112"/>
        <w:gridCol w:w="112"/>
        <w:gridCol w:w="112"/>
        <w:gridCol w:w="112"/>
        <w:gridCol w:w="217"/>
        <w:gridCol w:w="635"/>
        <w:gridCol w:w="169"/>
      </w:tblGrid>
      <w:tr>
        <w:trPr/>
        <w:tc>
          <w:tcPr>
            <w:tcW w:w="90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Statement of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3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expense for site leases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 for office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lease liabilities -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material short term lease expense for the three and six months ended June 30,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43535"/>
                <wp:effectExtent l="0" t="0" r="0" b="0"/>
                <wp:wrapNone/>
                <wp:docPr id="33" name="Frame3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enter into any operating leases greater than 12 months for the six months ended June 30, 2024.</w:t>
      </w:r>
    </w:p>
    <w:tbl>
      <w:tblPr>
        <w:tblW w:w="5756" w:type="dxa"/>
        <w:jc w:val="left"/>
        <w:tblInd w:w="0" w:type="dxa"/>
        <w:tblLayout w:type="fixed"/>
        <w:tblCellMar>
          <w:top w:w="28" w:type="dxa"/>
          <w:left w:w="28" w:type="dxa"/>
          <w:bottom w:w="28" w:type="dxa"/>
          <w:right w:w="28" w:type="dxa"/>
        </w:tblCellMar>
      </w:tblPr>
      <w:tblGrid>
        <w:gridCol w:w="1498"/>
        <w:gridCol w:w="1317"/>
        <w:gridCol w:w="1325"/>
        <w:gridCol w:w="109"/>
        <w:gridCol w:w="109"/>
        <w:gridCol w:w="109"/>
        <w:gridCol w:w="263"/>
        <w:gridCol w:w="263"/>
        <w:gridCol w:w="763"/>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years</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leases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years</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the total amount of lease payments on an undiscounted basis on our lease contracts as of June 30, 2024:</w:t>
      </w:r>
    </w:p>
    <w:tbl>
      <w:tblPr>
        <w:tblW w:w="10205" w:type="dxa"/>
        <w:jc w:val="left"/>
        <w:tblInd w:w="0" w:type="dxa"/>
        <w:tblLayout w:type="fixed"/>
        <w:tblCellMar>
          <w:top w:w="28" w:type="dxa"/>
          <w:left w:w="28" w:type="dxa"/>
          <w:bottom w:w="28" w:type="dxa"/>
          <w:right w:w="28" w:type="dxa"/>
        </w:tblCellMar>
      </w:tblPr>
      <w:tblGrid>
        <w:gridCol w:w="1014"/>
        <w:gridCol w:w="784"/>
        <w:gridCol w:w="789"/>
        <w:gridCol w:w="109"/>
        <w:gridCol w:w="109"/>
        <w:gridCol w:w="109"/>
        <w:gridCol w:w="211"/>
        <w:gridCol w:w="721"/>
        <w:gridCol w:w="271"/>
        <w:gridCol w:w="109"/>
        <w:gridCol w:w="109"/>
        <w:gridCol w:w="109"/>
        <w:gridCol w:w="240"/>
        <w:gridCol w:w="531"/>
        <w:gridCol w:w="309"/>
        <w:gridCol w:w="109"/>
        <w:gridCol w:w="109"/>
        <w:gridCol w:w="109"/>
        <w:gridCol w:w="228"/>
        <w:gridCol w:w="668"/>
        <w:gridCol w:w="293"/>
        <w:gridCol w:w="109"/>
        <w:gridCol w:w="109"/>
        <w:gridCol w:w="109"/>
        <w:gridCol w:w="272"/>
        <w:gridCol w:w="797"/>
        <w:gridCol w:w="350"/>
        <w:gridCol w:w="109"/>
        <w:gridCol w:w="109"/>
        <w:gridCol w:w="109"/>
        <w:gridCol w:w="211"/>
        <w:gridCol w:w="721"/>
        <w:gridCol w:w="160"/>
      </w:tblGrid>
      <w:tr>
        <w:trPr/>
        <w:tc>
          <w:tcPr>
            <w:tcW w:w="101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Site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Office leases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Vehicle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Site lease - Finance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ending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based on incremental borrowing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9. Derivative Financial Instruments and Fair Value Measurements</w:t>
      </w:r>
    </w:p>
    <w:p>
      <w:pPr>
        <w:pStyle w:val="TextBody"/>
        <w:bidi w:val="0"/>
        <w:spacing w:lineRule="auto" w:line="288" w:before="160" w:after="283"/>
        <w:ind w:left="0" w:right="0" w:hanging="480"/>
        <w:jc w:val="left"/>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interest rate swaps in place as of June 30, 2024:</w:t>
      </w:r>
    </w:p>
    <w:p>
      <w:pPr>
        <w:pStyle w:val="TextBody"/>
        <w:bidi w:val="0"/>
        <w:spacing w:lineRule="auto" w:line="288" w:before="12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interest rate swaps on the condensed consolidated statement of operations were as follows:</w:t>
      </w:r>
    </w:p>
    <w:p>
      <w:pPr>
        <w:pStyle w:val="TextBody"/>
        <w:bidi w:val="0"/>
        <w:spacing w:before="12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43535"/>
                <wp:effectExtent l="0" t="0" r="0" b="0"/>
                <wp:wrapNone/>
                <wp:docPr id="34" name="Frame3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15"/>
        <w:gridCol w:w="485"/>
        <w:gridCol w:w="489"/>
        <w:gridCol w:w="252"/>
        <w:gridCol w:w="523"/>
        <w:gridCol w:w="140"/>
        <w:gridCol w:w="140"/>
        <w:gridCol w:w="140"/>
        <w:gridCol w:w="140"/>
        <w:gridCol w:w="252"/>
        <w:gridCol w:w="543"/>
        <w:gridCol w:w="140"/>
        <w:gridCol w:w="196"/>
        <w:gridCol w:w="406"/>
        <w:gridCol w:w="109"/>
        <w:gridCol w:w="109"/>
        <w:gridCol w:w="109"/>
        <w:gridCol w:w="109"/>
        <w:gridCol w:w="196"/>
        <w:gridCol w:w="421"/>
        <w:gridCol w:w="109"/>
        <w:gridCol w:w="109"/>
        <w:gridCol w:w="109"/>
        <w:gridCol w:w="109"/>
        <w:gridCol w:w="1243"/>
        <w:gridCol w:w="1243"/>
        <w:gridCol w:w="1769"/>
      </w:tblGrid>
      <w:tr>
        <w:trPr/>
        <w:tc>
          <w:tcPr>
            <w:tcW w:w="61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(Loss) Gain Recognized in Operations from Derivatives</w:t>
            </w:r>
          </w:p>
        </w:tc>
      </w:tr>
      <w:tr>
        <w:trPr/>
        <w:tc>
          <w:tcPr>
            <w:tcW w:w="15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42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left"/>
              <w:rPr>
                <w:color w:val="000000"/>
              </w:rPr>
            </w:pPr>
            <w:r>
              <w:rPr>
                <w:color w:val="000000"/>
              </w:rPr>
              <w:t> </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settlements</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Commodity swap contracts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commodity swap contracts to hedge against the unfavorable price fluctuations in market prices of electricity. The Company does not apply hedge accounting to these contracts. As such, unrealized and realized gain (loss) is recognized as a component of Renewable Power revenues in the condensed consolidated statement of operations and Derivative financial asset — current and non-current in the condensed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than the contract price resulting in the Company not participating in the opportunity to earn higher revenues.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Company entered into an International Swaps and Derivatives Association ("ISDA") agreement with Mendocino Capital LLC (“NextEra”), a related party in November 2019. Pursuant to the agreement, the Company entered into two additional commodity swaps in October 2022 for a periods of one to two years with contract prices ranging between $65.50 and $68.50 per MWh. The swaps are expected to be settled by physical delivery on a monthly basis. The Company elected the normal purchase and normal sale exclusion and will not apply fair value accounting under ASC 815, </w:t>
      </w:r>
      <w:r>
        <w:rPr>
          <w:rFonts w:ascii="Times New Roman;sans-serif" w:hAnsi="Times New Roman;sans-serif"/>
          <w:b w:val="false"/>
          <w:i/>
          <w:color w:val="000000"/>
          <w:sz w:val="20"/>
        </w:rPr>
        <w:t>Derivatives</w:t>
      </w:r>
      <w:r>
        <w:rPr>
          <w:color w:val="000000"/>
        </w:rPr>
        <w:t xml:space="preserve"> </w:t>
      </w:r>
      <w:r>
        <w:rPr>
          <w:rFonts w:ascii="Times New Roman;sans-serif" w:hAnsi="Times New Roman;sans-serif"/>
          <w:b w:val="false"/>
          <w:i/>
          <w:color w:val="000000"/>
          <w:sz w:val="20"/>
        </w:rPr>
        <w:t>and hedging</w:t>
      </w:r>
      <w:r>
        <w:rPr>
          <w:rFonts w:ascii="Times New Roman;sans-serif" w:hAnsi="Times New Roman;sans-serif"/>
          <w:b w:val="false"/>
          <w:color w:val="000000"/>
          <w:sz w:val="20"/>
        </w:rPr>
        <w:t>. The Company will continue to assess its normal purchase and normal sale election on a quarterly basis.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new commodity swap with NextEra in November 2022 for a period of two years at a contract price of $81.50 per MWh.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Company entered into an electricity supply agreement with a utility provider for purchase of electricity to be used at one of our RNG facilities for a period of two years with a monthly notional quantity ranging between 1,875 and 2,145 kilo-watt hour ("kWh") and with fixed contract price $0.0599 per kWh. The forward contract is expected to be settled by physical delivery of electricity on a monthly basis. The Company elected the normal purchase normal sale exclusion and will not apply fair value accounting under ASC 815. The Company will continue to assess its normal purchase and normal sale election on a quarterly basis.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commodity swaps in place as of June 30, 2024 and December 31, 2023. There were no new commodity swap contracts entered during the three and six months ended June 30, 2024.</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545"/>
        <w:gridCol w:w="426"/>
        <w:gridCol w:w="430"/>
        <w:gridCol w:w="109"/>
        <w:gridCol w:w="109"/>
        <w:gridCol w:w="109"/>
        <w:gridCol w:w="381"/>
        <w:gridCol w:w="369"/>
        <w:gridCol w:w="370"/>
        <w:gridCol w:w="109"/>
        <w:gridCol w:w="109"/>
        <w:gridCol w:w="109"/>
        <w:gridCol w:w="453"/>
        <w:gridCol w:w="453"/>
        <w:gridCol w:w="450"/>
        <w:gridCol w:w="109"/>
        <w:gridCol w:w="109"/>
        <w:gridCol w:w="109"/>
        <w:gridCol w:w="873"/>
        <w:gridCol w:w="848"/>
        <w:gridCol w:w="851"/>
        <w:gridCol w:w="109"/>
        <w:gridCol w:w="109"/>
        <w:gridCol w:w="109"/>
        <w:gridCol w:w="527"/>
        <w:gridCol w:w="1498"/>
        <w:gridCol w:w="423"/>
      </w:tblGrid>
      <w:tr>
        <w:trPr/>
        <w:tc>
          <w:tcPr>
            <w:tcW w:w="54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Trade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Period From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Period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Notional Quantity per Year (“MWh”)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Contract Price (per MWh)</w:t>
            </w:r>
          </w:p>
        </w:tc>
      </w:tr>
      <w:tr>
        <w:trPr/>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17,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70,176 </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17,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35,088 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81.50 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commodity swaps on the condensed consolidated statements of operations for the three and six months ended June 30, 2024 and 2023:</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43535"/>
                <wp:effectExtent l="0" t="0" r="0" b="0"/>
                <wp:wrapNone/>
                <wp:docPr id="35" name="Frame3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63"/>
        <w:gridCol w:w="1020"/>
        <w:gridCol w:w="1025"/>
        <w:gridCol w:w="750"/>
        <w:gridCol w:w="730"/>
        <w:gridCol w:w="732"/>
        <w:gridCol w:w="249"/>
        <w:gridCol w:w="536"/>
        <w:gridCol w:w="138"/>
        <w:gridCol w:w="138"/>
        <w:gridCol w:w="138"/>
        <w:gridCol w:w="138"/>
        <w:gridCol w:w="249"/>
        <w:gridCol w:w="536"/>
        <w:gridCol w:w="138"/>
        <w:gridCol w:w="109"/>
        <w:gridCol w:w="109"/>
        <w:gridCol w:w="109"/>
        <w:gridCol w:w="219"/>
        <w:gridCol w:w="471"/>
        <w:gridCol w:w="121"/>
        <w:gridCol w:w="121"/>
        <w:gridCol w:w="121"/>
        <w:gridCol w:w="121"/>
        <w:gridCol w:w="219"/>
        <w:gridCol w:w="622"/>
        <w:gridCol w:w="183"/>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2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22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 of (loss) gain recognized</w:t>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208" w:type="dxa"/>
            <w:gridSpan w:val="3"/>
            <w:vMerge w:val="continue"/>
            <w:tcBorders/>
            <w:tcMar>
              <w:top w:w="0" w:type="dxa"/>
              <w:left w:w="0" w:type="dxa"/>
              <w:bottom w:w="0" w:type="dxa"/>
              <w:right w:w="0" w:type="dxa"/>
            </w:tcMar>
            <w:vAlign w:val="center"/>
          </w:tcPr>
          <w:p>
            <w:pPr>
              <w:pStyle w:val="Normal"/>
              <w:bidi w:val="0"/>
              <w:jc w:val="left"/>
              <w:rPr/>
            </w:pPr>
            <w:r>
              <w:rPr/>
            </w:r>
          </w:p>
        </w:tc>
        <w:tc>
          <w:tcPr>
            <w:tcW w:w="2212" w:type="dxa"/>
            <w:gridSpan w:val="3"/>
            <w:vMerge w:val="continue"/>
            <w:tcBorders/>
            <w:tcMar>
              <w:top w:w="0" w:type="dxa"/>
              <w:left w:w="0" w:type="dxa"/>
              <w:bottom w:w="0" w:type="dxa"/>
              <w:right w:w="0" w:type="dxa"/>
            </w:tcMar>
            <w:vAlign w:val="center"/>
          </w:tcPr>
          <w:p>
            <w:pPr>
              <w:pStyle w:val="Normal"/>
              <w:bidi w:val="0"/>
              <w:jc w:val="left"/>
              <w:rPr/>
            </w:pPr>
            <w:r>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2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swaps - realized (loss) gain</w:t>
            </w:r>
          </w:p>
        </w:tc>
        <w:tc>
          <w:tcPr>
            <w:tcW w:w="22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swaps - unrealized gain (loss)</w:t>
            </w:r>
          </w:p>
        </w:tc>
        <w:tc>
          <w:tcPr>
            <w:tcW w:w="22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realized and unrealized gain (loss)</w:t>
            </w:r>
          </w:p>
        </w:tc>
        <w:tc>
          <w:tcPr>
            <w:tcW w:w="2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derivative assets and liabilities related to commodity swaps as of June 30, 2024 and December 31, 2023:</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274"/>
        <w:gridCol w:w="1117"/>
        <w:gridCol w:w="1123"/>
        <w:gridCol w:w="300"/>
        <w:gridCol w:w="664"/>
        <w:gridCol w:w="154"/>
        <w:gridCol w:w="109"/>
        <w:gridCol w:w="109"/>
        <w:gridCol w:w="109"/>
        <w:gridCol w:w="396"/>
        <w:gridCol w:w="878"/>
        <w:gridCol w:w="208"/>
        <w:gridCol w:w="109"/>
        <w:gridCol w:w="109"/>
        <w:gridCol w:w="109"/>
        <w:gridCol w:w="1003"/>
        <w:gridCol w:w="1003"/>
        <w:gridCol w:w="1431"/>
      </w:tblGrid>
      <w:tr>
        <w:trPr/>
        <w:tc>
          <w:tcPr>
            <w:tcW w:w="127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3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Location of Fair value recognized in Balance Sheet </w:t>
            </w:r>
          </w:p>
        </w:tc>
      </w:tr>
      <w:tr>
        <w:trPr/>
        <w:tc>
          <w:tcPr>
            <w:tcW w:w="3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economic hedges</w:t>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unrealized gain on commodity swaps</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 current portion</w:t>
            </w:r>
          </w:p>
        </w:tc>
      </w:tr>
    </w:tbl>
    <w:p>
      <w:pPr>
        <w:pStyle w:val="TextBody"/>
        <w:bidi w:val="0"/>
        <w:spacing w:before="0" w:after="0"/>
        <w:ind w:left="0" w:right="0" w:firstLine="36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derivative liabilities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2022, the Company recorded derivative liabilities for the outstanding public warrants and private warrants, put option to Meteora, the Sponsor Earnout Awards and the OPAL Earnout Awards. The private and public warrants were exchanged into Class A common stock in the fourth quarter of 2022. The put option with Meteora expired in January 2023. The change in fair value on Sponsor Earnout and OPAL Earnout Awards is recorded as change in fair value of derivative instruments, net in the condensed consolidated statement of operations for the three and six months ended June 30, 2024 and 2023.</w:t>
      </w:r>
    </w:p>
    <w:p>
      <w:pPr>
        <w:pStyle w:val="TextBody"/>
        <w:bidi w:val="0"/>
        <w:spacing w:before="120" w:after="283"/>
        <w:jc w:val="left"/>
        <w:rPr/>
      </w:pPr>
      <w:r>
        <w:rPr/>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change in fair value of other derivative liabilities on the condensed consolidated statements of operations for the three and six months ended June 30, 2024 and 2023:</w:t>
      </w:r>
    </w:p>
    <w:tbl>
      <w:tblPr>
        <w:tblW w:w="10205" w:type="dxa"/>
        <w:jc w:val="left"/>
        <w:tblInd w:w="0" w:type="dxa"/>
        <w:tblLayout w:type="fixed"/>
        <w:tblCellMar>
          <w:top w:w="28" w:type="dxa"/>
          <w:left w:w="28" w:type="dxa"/>
          <w:bottom w:w="28" w:type="dxa"/>
          <w:right w:w="28" w:type="dxa"/>
        </w:tblCellMar>
      </w:tblPr>
      <w:tblGrid>
        <w:gridCol w:w="581"/>
        <w:gridCol w:w="511"/>
        <w:gridCol w:w="512"/>
        <w:gridCol w:w="253"/>
        <w:gridCol w:w="561"/>
        <w:gridCol w:w="130"/>
        <w:gridCol w:w="130"/>
        <w:gridCol w:w="130"/>
        <w:gridCol w:w="130"/>
        <w:gridCol w:w="253"/>
        <w:gridCol w:w="561"/>
        <w:gridCol w:w="130"/>
        <w:gridCol w:w="109"/>
        <w:gridCol w:w="109"/>
        <w:gridCol w:w="109"/>
        <w:gridCol w:w="220"/>
        <w:gridCol w:w="643"/>
        <w:gridCol w:w="113"/>
        <w:gridCol w:w="113"/>
        <w:gridCol w:w="113"/>
        <w:gridCol w:w="113"/>
        <w:gridCol w:w="220"/>
        <w:gridCol w:w="643"/>
        <w:gridCol w:w="113"/>
        <w:gridCol w:w="109"/>
        <w:gridCol w:w="109"/>
        <w:gridCol w:w="109"/>
        <w:gridCol w:w="1024"/>
        <w:gridCol w:w="968"/>
        <w:gridCol w:w="1386"/>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liability</w:t>
            </w:r>
          </w:p>
        </w:tc>
        <w:tc>
          <w:tcPr>
            <w:tcW w:w="2278"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(Loss) Gain Recognized in Operations from Derivatives</w:t>
            </w:r>
          </w:p>
        </w:tc>
      </w:tr>
      <w:tr>
        <w:trPr/>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Put option to Meteora</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Sponsor Earnout Awards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OPAL Earnout Awards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instruments, net</w:t>
            </w:r>
          </w:p>
        </w:tc>
      </w:tr>
    </w:tbl>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Company's long-term debt, which are considered Level 2 in the fair value hierarchy, of $217,535 and $196,542 as of June 30, 2024 and December 31, 2023, respectively, approximates its fair value because our interest rate is variable and reflects current market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43535"/>
                <wp:effectExtent l="0" t="0" r="0" b="0"/>
                <wp:wrapNone/>
                <wp:docPr id="36" name="Frame3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pPr>
      <w:r>
        <w:rPr>
          <w:rFonts w:ascii="Times New Roman;sans-serif" w:hAnsi="Times New Roman;sans-serif"/>
          <w:b w:val="false"/>
          <w:color w:val="000000"/>
          <w:sz w:val="20"/>
        </w:rPr>
        <w:t xml:space="preserve">The Company follows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regarding fair value measurements which establishes a three-tier fair value hierarchy and prioritizes the inputs used in valuation techniques that measure fair value. These tiers include: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defined as observable inputs such as quoted prices for identical instruments in active markets;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defined as quoted prices for similar instruments in active market, quoted prices for identical or similar instruments in markets that are not active, or model-derived valuations for which all significant inputs are observable market data;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defined as unobservable inputs in which little or no market data exists, therefore requiring an entity to develop its own assumptions.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values its energy commodity swap contracts based on the applicable geographical market energy forward curve. The forward curves are derived based on the quotes provided by New York Mercantile Exchange, Amerex Energy Services and Tradition Energy.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Sponsor Earnout Awards as of June 30, 2024 was determined using a Monte Carlo valuation model with a distribution of potential outcomes on a daily basis over the four year post-close period. Assumptions used in the valuation are as follows: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Current stock price — The Company's closing stock price of $4.09 as of June 30, 2024;</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Expected volatility —50% based on historical and implied volatilities of selected industry peers deemed to be comparable to our business corresponding to the expected term of the awards;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Risk-free interest rate — 4.50% based on the U.S. Treasury yield curve in effect at the time of issuance for zero-coupon U.S. Treasury notes with maturities corresponding to the expected 4.1 year term of the earnout period;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Dividend yield - zero.</w: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OPAL Earnout Awards as of June 30, 2024 and December 31, 2023 was determined to be zero as their expiration date is December 31, 2024 and the Company does not expect to achieve the earn-out target. </w: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transfers of assets between Level 1, Level 2, or Level 3 of the fair value hierarchy as of June 30, 2024. </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assets and liabilities that are measured at fair value on a recurring basis include the following as of June 30, 2024 and December 31, 2023, set forth by level, within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43535"/>
                <wp:effectExtent l="0" t="0" r="0" b="0"/>
                <wp:wrapNone/>
                <wp:docPr id="37" name="Frame3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9553" w:type="dxa"/>
        <w:jc w:val="left"/>
        <w:tblInd w:w="0" w:type="dxa"/>
        <w:tblLayout w:type="fixed"/>
        <w:tblCellMar>
          <w:top w:w="28" w:type="dxa"/>
          <w:left w:w="28" w:type="dxa"/>
          <w:bottom w:w="28" w:type="dxa"/>
          <w:right w:w="28" w:type="dxa"/>
        </w:tblCellMar>
      </w:tblPr>
      <w:tblGrid>
        <w:gridCol w:w="1936"/>
        <w:gridCol w:w="1699"/>
        <w:gridCol w:w="1704"/>
        <w:gridCol w:w="210"/>
        <w:gridCol w:w="436"/>
        <w:gridCol w:w="109"/>
        <w:gridCol w:w="109"/>
        <w:gridCol w:w="109"/>
        <w:gridCol w:w="109"/>
        <w:gridCol w:w="196"/>
        <w:gridCol w:w="406"/>
        <w:gridCol w:w="109"/>
        <w:gridCol w:w="109"/>
        <w:gridCol w:w="109"/>
        <w:gridCol w:w="109"/>
        <w:gridCol w:w="196"/>
        <w:gridCol w:w="556"/>
        <w:gridCol w:w="109"/>
        <w:gridCol w:w="109"/>
        <w:gridCol w:w="109"/>
        <w:gridCol w:w="109"/>
        <w:gridCol w:w="196"/>
        <w:gridCol w:w="556"/>
        <w:gridCol w:w="154"/>
      </w:tblGrid>
      <w:tr>
        <w:trPr/>
        <w:tc>
          <w:tcPr>
            <w:tcW w:w="1936"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June 30, 2024</w:t>
            </w:r>
          </w:p>
        </w:tc>
      </w:tr>
      <w:tr>
        <w:trPr/>
        <w:tc>
          <w:tcPr>
            <w:tcW w:w="533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liabilities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Cash and cash equivalents and restricted cash - current and non-current </w:t>
            </w:r>
            <w:r>
              <w:rPr>
                <w:rFonts w:ascii="Times New Roman;sans-serif" w:hAnsi="Times New Roman;sans-serif"/>
                <w:b w:val="false"/>
                <w:color w:val="000000"/>
                <w:sz w:val="12"/>
              </w:rPr>
              <w:t>(1)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 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 contracts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553" w:type="dxa"/>
        <w:jc w:val="left"/>
        <w:tblInd w:w="0" w:type="dxa"/>
        <w:tblLayout w:type="fixed"/>
        <w:tblCellMar>
          <w:top w:w="28" w:type="dxa"/>
          <w:left w:w="28" w:type="dxa"/>
          <w:bottom w:w="28" w:type="dxa"/>
          <w:right w:w="28" w:type="dxa"/>
        </w:tblCellMar>
      </w:tblPr>
      <w:tblGrid>
        <w:gridCol w:w="1936"/>
        <w:gridCol w:w="1699"/>
        <w:gridCol w:w="1704"/>
        <w:gridCol w:w="210"/>
        <w:gridCol w:w="436"/>
        <w:gridCol w:w="109"/>
        <w:gridCol w:w="109"/>
        <w:gridCol w:w="109"/>
        <w:gridCol w:w="109"/>
        <w:gridCol w:w="196"/>
        <w:gridCol w:w="406"/>
        <w:gridCol w:w="109"/>
        <w:gridCol w:w="109"/>
        <w:gridCol w:w="109"/>
        <w:gridCol w:w="109"/>
        <w:gridCol w:w="196"/>
        <w:gridCol w:w="556"/>
        <w:gridCol w:w="109"/>
        <w:gridCol w:w="109"/>
        <w:gridCol w:w="109"/>
        <w:gridCol w:w="109"/>
        <w:gridCol w:w="196"/>
        <w:gridCol w:w="556"/>
        <w:gridCol w:w="154"/>
      </w:tblGrid>
      <w:tr>
        <w:trPr/>
        <w:tc>
          <w:tcPr>
            <w:tcW w:w="1936"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December 31, 2023</w:t>
            </w:r>
          </w:p>
        </w:tc>
      </w:tr>
      <w:tr>
        <w:trPr/>
        <w:tc>
          <w:tcPr>
            <w:tcW w:w="533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liabilities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Cash and cash equivalents and restricted cash - current and non-current </w:t>
            </w:r>
            <w:r>
              <w:rPr>
                <w:rFonts w:ascii="Times New Roman;sans-serif" w:hAnsi="Times New Roman;sans-serif"/>
                <w:b w:val="false"/>
                <w:color w:val="000000"/>
                <w:sz w:val="12"/>
              </w:rPr>
              <w:t>(1)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 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 contracts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20"/>
        </w:rPr>
        <w:t>Includes balances in money market accounts of $6,356 and $31,965, respectively as of June 30, 2024 and December 31, 2023.</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A summary of changes in the fair values of the Company’s Level 3 instruments, attributable to asset retirement obligations, for the six months ended June 30, 2024 is included 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10. Related Parties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parties are represented by Fortistar and other affiliates, subsidiaries and other entities under common control with Fortistar or NextEra.</w:t>
      </w:r>
    </w:p>
    <w:p>
      <w:pPr>
        <w:pStyle w:val="TextBody"/>
        <w:bidi w:val="0"/>
        <w:spacing w:before="0" w:after="0"/>
        <w:ind w:left="0" w:right="0" w:firstLine="48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Sale of non-controlling interests to Related Parties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On November 29, 2021, as part of an exchange agreement, OPAL Fuels issued 14 newly authorized common units and 300,000 Series A-1 preferred units to Hillman RNG Investments, LLC, a Delaware limited liability company and an affiliate of Fortistar ("Hillman") in return for Hillman’s non-controlling interest in four RNG project subsidiaries for total consideration of $30,000. Upon the consummation of the Business Combination, the Series A-1 preferred units have been converted to Redeemable preferred non-controlling interests. The Company recorded preferred dividend of $605 and $1,209 for the three and six months ended June 30, 2024, respectively. The Company recorded paid-in-kind preferred dividend of $675 and $1,330 for the three and six months ended June 30, 2023, respectively. Please see Note 13. </w:t>
      </w:r>
      <w:r>
        <w:rPr>
          <w:rFonts w:ascii="Times New Roman;sans-serif" w:hAnsi="Times New Roman;sans-serif"/>
          <w:b w:val="false"/>
          <w:i/>
          <w:color w:val="000000"/>
          <w:sz w:val="20"/>
        </w:rPr>
        <w:t>Redeemable non-controlling interests, Redeemable preferred non-controlling interests and Stockholders' Deficit,</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ind w:left="0" w:right="0" w:firstLine="48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Issuance of Redeemable preferred non-controlling interests</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29, 2021, NextEra subscribed for up to 1,000,000 Series A preferred units, which are issuable (in whole or in increments) at the Company’s discretion prior to June 30, 2022. During the year ended December 31, 2022, the Company had drawn $100,000 and issued 1,000,000 Series A preferred units. The Company recorded preferred dividend of $2,013 and $4,027 for the three and six months ended June 30, 2024, respectively. The Company recorded paid-in-kind preferred dividend of $2,174 and $4,282 for the three and six months ended June 30, 2023, respectively. Please see Note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43535"/>
                <wp:effectExtent l="0" t="0" r="0" b="0"/>
                <wp:wrapNone/>
                <wp:docPr id="38" name="Frame3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13. </w:t>
      </w:r>
      <w:r>
        <w:rPr>
          <w:rFonts w:ascii="Times New Roman;sans-serif" w:hAnsi="Times New Roman;sans-serif"/>
          <w:b w:val="false"/>
          <w:i/>
          <w:color w:val="000000"/>
          <w:sz w:val="20"/>
        </w:rPr>
        <w:t>Redeemable non-controlling interests, Redeemable preferred non-controlling interests and Stockholders' Deficit</w:t>
      </w:r>
      <w:r>
        <w:rPr>
          <w:rFonts w:ascii="Times New Roman;sans-serif" w:hAnsi="Times New Roman;sans-serif"/>
          <w:b w:val="false"/>
          <w:color w:val="000000"/>
          <w:sz w:val="20"/>
        </w:rPr>
        <w:t>, for additional information.</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and sale agreement for environmental attributes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three and six months ended June 30, 2024, the Company earned net revenues after discount and fees of $15,881 and $31,376, respectively, under this contract which was recorded as part of Revenues - RNG Fuel and revenues of $9,528 and $17,269, respectively, under this contract which was recorded as part of Revenues - Fuel Station Services. For the three and six months ended June 30, 2023, the Company earned net revenues after discount and fees of $9,412 and $14,127, respectively, under this contract which was recorded as part of Revenues - RNG Fuel and revenues of $2,440 and $3,933, respectively, under this contract which was recorded as part of Revenues - Fuel Station Services. Please see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Commodity swap contracts under ISDA and REC sales contracts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Company entered into an ISDA agreement with NextEra in November 2019. Pursuant to the agreement, the Company enters into commodity swap contracts on a periodic basis. As of June 30, 2024 and December 31, 2023, there were two commodity swap contracts outstanding. The Company records the realized and unrealized gain (loss) on these commodity swap contracts as part of Revenues - Renewable Power. Please see Note 9. </w:t>
      </w:r>
      <w:r>
        <w:rPr>
          <w:rFonts w:ascii="Times New Roman;sans-serif" w:hAnsi="Times New Roman;sans-serif"/>
          <w:b w:val="false"/>
          <w:i/>
          <w:color w:val="000000"/>
          <w:sz w:val="20"/>
        </w:rPr>
        <w:t>Derivative Financial Instruments and Fair Value Measurements</w:t>
      </w:r>
      <w:r>
        <w:rPr>
          <w:color w:val="000000"/>
        </w:rPr>
        <w:t xml:space="preserve"> </w:t>
      </w:r>
      <w:r>
        <w:rPr>
          <w:rFonts w:ascii="Times New Roman;sans-serif" w:hAnsi="Times New Roman;sans-serif"/>
          <w:b w:val="false"/>
          <w:color w:val="000000"/>
          <w:sz w:val="20"/>
        </w:rPr>
        <w:t>for additional information. Additionally, the Company has contracts to sell RECs and capacity to NextEra on multiple Renewable Power facilities at market price. The Company recorded $1,804 and $1,747 as revenues earned under these contracts for the three months ended June 30, 2024 and 2023. The Company recorded $3,330 and $3,274 as revenues earned for the six months ended June 30, 2024 and 2023.</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of investments from Related Parties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the Company acquired 100% of the ownership interests in Reynolds, an RNG production facility for $12,020 which was funded with cash on hand. Reynolds held an equity investment of 1,570 Class B units in GREP representing 20% interest for a cash consideration of $1,570 which owns 50% of Biotown, a power generation facility under development to convert to an RNG facility. The Reynolds transaction was an asset acquisition from an affiliate under common control. The Company accounts for its 20% equity investment in GREP under the equity method. The Company recorded a net loss of $220 and $566 as its share of net loss for the three months ended June 30, 2024 and 2023. The Company recorded a net loss of $291 and $436 as its share of net loss for the six months ended June 30, 2024 and 2023.</w:t>
      </w:r>
    </w:p>
    <w:p>
      <w:pPr>
        <w:pStyle w:val="TextBody"/>
        <w:bidi w:val="0"/>
        <w:spacing w:before="0" w:after="0"/>
        <w:ind w:left="0" w:right="0" w:hanging="480"/>
        <w:jc w:val="both"/>
        <w:rPr/>
      </w:pPr>
      <w:r>
        <w:rPr/>
      </w:r>
    </w:p>
    <w:p>
      <w:pPr>
        <w:pStyle w:val="TextBody"/>
        <w:bidi w:val="0"/>
        <w:spacing w:lineRule="auto" w:line="268" w:before="0" w:after="0"/>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 contracts with equity method investment entities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wholly owned subsidiary, OPAL Fuel Station Services contracted with Pine Bend in December 2020, Noble Road in March 2021, Biotown in July 2021 and Emerald in December 2021 to dispense RNG and to generate and market resulting RINs. The Company receives non-cash consideration in the form of RINs or LCFSs for providing these services and recognizes the RINs and LCFSs received as inventory based on their estimated fair value at contract inception. Additionally, OPAL Fuel Station Services provides the same services to all wholly-owned subsidiaries of the Company. The revenues earned from the wholly-owned entities are fully eliminated in the condensed consolidated financial statements.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of these contracts each runs for a term of 10 years. The Company receives non-cash consideration in the form of RINs or LCFSs for providing these services and recognizes the RINs or LCFSs received as inventory based on their estimated fair value at contract inception. Pine Bend and Noble Road came online in the first and third quarter of 2022 and Emerald in the third quarter of 2023. For the three months ended June 30, 2024 and 2023, the Company earned environmental processing fees of $2,100 and $555, net of intersegment elimination, under this agreement which are included in Fuel Station Services revenues in the condensed consolidated statements of operations. For the six months ended June 30, 2024 and 2023, the Company earned environmental processing fees of $4,439 and $1,141, net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43535"/>
                <wp:effectExtent l="0" t="0" r="0" b="0"/>
                <wp:wrapNone/>
                <wp:docPr id="39" name="Frame3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intersegment elimination, under this agreement which are included in Fuel Station Services revenues in the condensed consolidated statements of operations.</w:t>
      </w:r>
    </w:p>
    <w:p>
      <w:pPr>
        <w:pStyle w:val="TextBody"/>
        <w:bidi w:val="0"/>
        <w:spacing w:lineRule="auto" w:line="26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agreements with Related Parties</w:t>
      </w:r>
    </w:p>
    <w:p>
      <w:pPr>
        <w:pStyle w:val="TextBody"/>
        <w:bidi w:val="0"/>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2020, OPAL Fuels signed a management, operations, and maintenance services agreement (“Administrative Services Agreement”) with Fortistar LLC ("Fortistar"), pursuant to which Fortistar provides management, operations, and maintenance services to the Company. The agreement expires on December 31, 2023 with an auto renewal option on an annual basis, unless either party chooses to terminate with a written notice of 180 days termination occurs earlier due to dissolution of the Company or the agreement is terminated by the Company’s secured lenders in certain circumstances. The agreement provides for payment of service fees based on actual time incurred at contractually agreed rates provided for in the Administrative Services Agreement, as well as a fixed annual payment of $580 per year adjusted annually for inflation. Additionally, the agreement provides for the Company to receive credits for any services provided by the Company's employees to Fortistar. For the three and six months ended June 30, 2024 and 2023, there have been no material services provided by the Company's employees to Fortistar.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2021, the company entered into a management services agreement with Costar Partners LLC (“Costar”), an affiliate of Fortistar. Pursuant to the agreement, Costar provides information technology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initial term of the agreement was for thirty-six months and renews automatically on an annual basis unless the termination occurs earlier due to dissolution of the Company or it is terminated by the Company’s secured lenders in certain circumstances.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10, 2023, the board of directors of the Company appointed Mr. Scott Contino as Interim CFO. Mr. Contino has served as Fortistar's CFO for the past eighteen years. In connection with the appointment, the Company entered into an interim services agreement ("Interim Services Agreement") with Fortistar in accordance with the terms and conditions of the existing Administrative Services Agreement. Pursuant to the Interim Services Agreement, the Company will pay Fortistar an agreed hourly rate, such that the monthly fee does not exceed $50, on a cumulative basis. For the three and six months ended June 30, 2024, the Company paid $150 and $300, respectively which is included in Selling, general and administrative expenses in the condensed consolidated statement of operations.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various fees recorded under the agreements described above which are included in "Selling, general, and administrative" expenses:</w:t>
      </w:r>
    </w:p>
    <w:p>
      <w:pPr>
        <w:pStyle w:val="TextBody"/>
        <w:bidi w:val="0"/>
        <w:spacing w:before="0" w:after="0"/>
        <w:ind w:left="0" w:right="0" w:firstLine="480"/>
        <w:jc w:val="both"/>
        <w:rPr/>
      </w:pPr>
      <w:r>
        <w:rPr/>
      </w:r>
    </w:p>
    <w:tbl>
      <w:tblPr>
        <w:tblW w:w="8257" w:type="dxa"/>
        <w:jc w:val="left"/>
        <w:tblInd w:w="0" w:type="dxa"/>
        <w:tblLayout w:type="fixed"/>
        <w:tblCellMar>
          <w:top w:w="28" w:type="dxa"/>
          <w:left w:w="28" w:type="dxa"/>
          <w:bottom w:w="28" w:type="dxa"/>
          <w:right w:w="28" w:type="dxa"/>
        </w:tblCellMar>
      </w:tblPr>
      <w:tblGrid>
        <w:gridCol w:w="1044"/>
        <w:gridCol w:w="917"/>
        <w:gridCol w:w="919"/>
        <w:gridCol w:w="109"/>
        <w:gridCol w:w="109"/>
        <w:gridCol w:w="109"/>
        <w:gridCol w:w="251"/>
        <w:gridCol w:w="735"/>
        <w:gridCol w:w="130"/>
        <w:gridCol w:w="130"/>
        <w:gridCol w:w="130"/>
        <w:gridCol w:w="130"/>
        <w:gridCol w:w="251"/>
        <w:gridCol w:w="735"/>
        <w:gridCol w:w="130"/>
        <w:gridCol w:w="228"/>
        <w:gridCol w:w="667"/>
        <w:gridCol w:w="118"/>
        <w:gridCol w:w="118"/>
        <w:gridCol w:w="118"/>
        <w:gridCol w:w="118"/>
        <w:gridCol w:w="228"/>
        <w:gridCol w:w="667"/>
        <w:gridCol w:w="166"/>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Staffing and management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 fixed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68" w:before="16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various balances for related parties included in our condensed consolidated balance sheets as of June 30, 2024 and December 31, 2023:</w:t>
      </w:r>
    </w:p>
    <w:p>
      <w:pPr>
        <w:pStyle w:val="TextBody"/>
        <w:bidi w:val="0"/>
        <w:spacing w:before="160" w:after="283"/>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43535"/>
                <wp:effectExtent l="0" t="0" r="0" b="0"/>
                <wp:wrapNone/>
                <wp:docPr id="40" name="Frame4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15"/>
        <w:gridCol w:w="1136"/>
        <w:gridCol w:w="1144"/>
        <w:gridCol w:w="109"/>
        <w:gridCol w:w="109"/>
        <w:gridCol w:w="109"/>
        <w:gridCol w:w="899"/>
        <w:gridCol w:w="887"/>
        <w:gridCol w:w="889"/>
        <w:gridCol w:w="109"/>
        <w:gridCol w:w="109"/>
        <w:gridCol w:w="109"/>
        <w:gridCol w:w="253"/>
        <w:gridCol w:w="866"/>
        <w:gridCol w:w="130"/>
        <w:gridCol w:w="109"/>
        <w:gridCol w:w="109"/>
        <w:gridCol w:w="109"/>
        <w:gridCol w:w="330"/>
        <w:gridCol w:w="1129"/>
        <w:gridCol w:w="246"/>
      </w:tblGrid>
      <w:tr>
        <w:trPr/>
        <w:tc>
          <w:tcPr>
            <w:tcW w:w="131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Location in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AR - NextEra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18,696 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to equity method investment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NextEra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Staffing and management services - Fortistar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services - Costar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11. Reportable Segments and Geographic Information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organized into four operating segments based on the characteristics of its renewable power generation, dispensing portfolio, and the nature of other products and services. The Company changed its internal reporting to report revenues from RECs and ISCC Carbon Credits from RNG Fuel to the Renewable Power segment during the third quarter of 2023. This is primarily to reflect a strategic business change to identify all revenues earned from Environmental Attributes generated from Renewable Power facilities in the same segment. Therefore, the Company reclassified revenues of $5,800 and $11,245, respectively for the three and six months ended June 30, 2023, earned from sale of RECs and ISCC Carbon Credits from Revenues - RNG Fuel to Revenues - Renewable Power.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 </w:t>
      </w:r>
    </w:p>
    <w:p>
      <w:pPr>
        <w:pStyle w:val="TextBody"/>
        <w:bidi w:val="0"/>
        <w:spacing w:lineRule="auto" w:line="268" w:before="120" w:after="283"/>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The RNG Fuel segment relates to all RNG supply directly related to the generation and sale of brown gas and environmental credits, and consists of:</w:t>
      </w:r>
    </w:p>
    <w:p>
      <w:pPr>
        <w:pStyle w:val="TextBody"/>
        <w:bidi w:val="0"/>
        <w:spacing w:before="120" w:after="283"/>
        <w:ind w:left="0" w:right="0" w:hanging="180"/>
        <w:jc w:val="both"/>
        <w:rPr/>
      </w:pPr>
      <w:r>
        <w:rPr/>
      </w:r>
    </w:p>
    <w:p>
      <w:pPr>
        <w:pStyle w:val="TextBody"/>
        <w:bidi w:val="0"/>
        <w:spacing w:lineRule="auto" w:line="268" w:before="0" w:after="0"/>
        <w:ind w:left="0" w:right="0" w:hanging="540"/>
        <w:jc w:val="left"/>
        <w:rPr/>
      </w:pPr>
      <w:r>
        <w:rPr>
          <w:color w:val="000000"/>
        </w:rPr>
        <w:t>◦</w:t>
      </w:r>
      <w:r>
        <w:rPr>
          <w:rFonts w:ascii="Times New Roman;sans-serif" w:hAnsi="Times New Roman;sans-serif"/>
          <w:b w:val="false"/>
          <w:color w:val="000000"/>
          <w:sz w:val="20"/>
        </w:rPr>
        <w:t xml:space="preserve">Development and construction – RNG facilities in which long term gas right contracts have been, or are in the process of being ratified and the construction of RNG generation facilities. </w:t>
      </w:r>
    </w:p>
    <w:p>
      <w:pPr>
        <w:pStyle w:val="TextBody"/>
        <w:bidi w:val="0"/>
        <w:spacing w:lineRule="auto" w:line="268" w:before="0" w:after="0"/>
        <w:ind w:left="0" w:right="0" w:hanging="540"/>
        <w:jc w:val="both"/>
        <w:rPr/>
      </w:pPr>
      <w:r>
        <w:rPr>
          <w:color w:val="000000"/>
        </w:rPr>
        <w:t>◦</w:t>
      </w:r>
      <w:r>
        <w:rPr>
          <w:rFonts w:ascii="Times New Roman;sans-serif" w:hAnsi="Times New Roman;sans-serif"/>
          <w:b w:val="false"/>
          <w:color w:val="000000"/>
          <w:sz w:val="20"/>
        </w:rPr>
        <w:t xml:space="preserve">RNG supply operating facilities – This includes the generation, extraction, and sale of RNG - plus associated RINs and LCFSs from landfills. </w:t>
      </w:r>
    </w:p>
    <w:p>
      <w:pPr>
        <w:pStyle w:val="TextBody"/>
        <w:bidi w:val="0"/>
        <w:spacing w:before="0" w:after="0"/>
        <w:ind w:left="0" w:right="0" w:hanging="180"/>
        <w:jc w:val="both"/>
        <w:rPr/>
      </w:pPr>
      <w:r>
        <w:rPr/>
      </w:r>
    </w:p>
    <w:p>
      <w:pPr>
        <w:pStyle w:val="TextBody"/>
        <w:bidi w:val="0"/>
        <w:spacing w:lineRule="auto" w:line="288" w:before="120" w:after="283"/>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2024, the Company has accounted for its interests in Pine Bend, Reynolds, Noble Road, GREP, Paragon and SJI under the equity method of accounting and the results of operations of Beacon, New River, Polk County, Cottonwood, Central Valley, Prince William and Sunoma were consolidated in its condensed consolidated statement of operations. For the three and six months ended June 30, 2023, the Company has accounted for its interests in Pine Bend, Reynolds, Noble Road and GREP under the equity method of accounting and the results of operations of Beacon, New River, Central Valley, Prince William and Sunoma were consolidated in its condensed consolidated statement of operations. As of May 30, 2023, the Company deconsolidated Emerald and Sapphire. As a result, the Company consolidated Emerald and Sapphire for the period between January 1, 2023 and May 30, 2023 and recorded its ownership interests in Paragon which includes Emerald and Sapphire as equity method investment for the month of June 2023. </w:t>
      </w:r>
    </w:p>
    <w:p>
      <w:pPr>
        <w:pStyle w:val="TextBody"/>
        <w:bidi w:val="0"/>
        <w:spacing w:lineRule="auto" w:line="288" w:before="120" w:after="283"/>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Central Valley, Polk County, Cottonwood, projects included in SJI Joint Venture (Atlantic and Burlington) and Sapphire are not operational. Prince William commenced operations during the second quarter of 2024. </w:t>
      </w:r>
    </w:p>
    <w:p>
      <w:pPr>
        <w:pStyle w:val="TextBody"/>
        <w:bidi w:val="0"/>
        <w:spacing w:lineRule="auto" w:line="288" w:before="160" w:after="283"/>
        <w:ind w:left="0" w:right="0" w:hanging="540"/>
        <w:jc w:val="both"/>
        <w:rPr/>
      </w:pPr>
      <w:r>
        <w:rPr>
          <w:color w:val="000000"/>
        </w:rPr>
        <w:t>•</w:t>
      </w:r>
      <w:r>
        <w:rPr>
          <w:rFonts w:ascii="Times New Roman;sans-serif" w:hAnsi="Times New Roman;sans-serif"/>
          <w:b/>
          <w:color w:val="000000"/>
          <w:sz w:val="20"/>
        </w:rPr>
        <w:t xml:space="preserve">Fuel Station Services. </w:t>
      </w:r>
      <w:r>
        <w:rPr>
          <w:rFonts w:ascii="Times New Roman;sans-serif" w:hAnsi="Times New Roman;sans-serif"/>
          <w:b w:val="false"/>
          <w:color w:val="000000"/>
          <w:sz w:val="20"/>
        </w:rPr>
        <w:t>Through its Fuel Station Services segment</w:t>
      </w:r>
      <w:r>
        <w:rPr>
          <w:rFonts w:ascii="Times New Roman;sans-serif" w:hAnsi="Times New Roman;sans-serif"/>
          <w:b/>
          <w:color w:val="000000"/>
          <w:sz w:val="20"/>
        </w:rPr>
        <w:t>, t</w:t>
      </w:r>
      <w:r>
        <w:rPr>
          <w:rFonts w:ascii="Times New Roman;sans-serif" w:hAnsi="Times New Roman;sans-serif"/>
          <w:b w:val="false"/>
          <w:color w:val="000000"/>
          <w:sz w:val="20"/>
        </w:rPr>
        <w:t>he Company provides construction and maintenance services to third-party owners of vehicle Fueling Stations and performs fuel dispensing activities including generation and minting of environmental credits. This segment includes: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43535"/>
                <wp:effectExtent l="0" t="0" r="0" b="0"/>
                <wp:wrapNone/>
                <wp:docPr id="41" name="Frame4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160" w:after="283"/>
        <w:ind w:left="0" w:right="0" w:hanging="540"/>
        <w:jc w:val="both"/>
        <w:rPr/>
      </w:pPr>
      <w:r>
        <w:rPr>
          <w:color w:val="000000"/>
        </w:rPr>
        <w:t>◦</w:t>
      </w:r>
      <w:r>
        <w:rPr>
          <w:rFonts w:ascii="Times New Roman;sans-serif" w:hAnsi="Times New Roman;sans-serif"/>
          <w:b w:val="false"/>
          <w:color w:val="000000"/>
          <w:sz w:val="20"/>
        </w:rPr>
        <w:t xml:space="preserve">Service and maintenance contracts for RNG/CNG fueling sites. Includes a manufacturing division that builds compact fueling systems and defueling systems. </w:t>
      </w:r>
    </w:p>
    <w:p>
      <w:pPr>
        <w:pStyle w:val="TextBody"/>
        <w:bidi w:val="0"/>
        <w:spacing w:lineRule="auto" w:line="276" w:before="0" w:after="0"/>
        <w:ind w:left="0" w:right="0" w:hanging="540"/>
        <w:jc w:val="both"/>
        <w:rPr/>
      </w:pPr>
      <w:r>
        <w:rPr>
          <w:color w:val="000000"/>
        </w:rPr>
        <w:t>◦</w:t>
      </w:r>
      <w:r>
        <w:rPr>
          <w:rFonts w:ascii="Times New Roman;sans-serif" w:hAnsi="Times New Roman;sans-serif"/>
          <w:b w:val="false"/>
          <w:color w:val="000000"/>
          <w:sz w:val="20"/>
        </w:rPr>
        <w:t xml:space="preserve">Third Party CNG Construction of Fueling Stations - Design/build and serve as general contractor for typically Guarantee Maximum Price or fixed priced contracts for customers usually lasting less than one year. </w:t>
      </w:r>
    </w:p>
    <w:p>
      <w:pPr>
        <w:pStyle w:val="TextBody"/>
        <w:bidi w:val="0"/>
        <w:spacing w:lineRule="auto" w:line="276" w:before="0" w:after="0"/>
        <w:ind w:left="0" w:right="0" w:hanging="540"/>
        <w:jc w:val="both"/>
        <w:rPr/>
      </w:pPr>
      <w:r>
        <w:rPr>
          <w:color w:val="000000"/>
        </w:rPr>
        <w:t>◦</w:t>
      </w:r>
      <w:r>
        <w:rPr>
          <w:rFonts w:ascii="Times New Roman;sans-serif" w:hAnsi="Times New Roman;sans-serif"/>
          <w:b w:val="false"/>
          <w:color w:val="000000"/>
          <w:sz w:val="20"/>
        </w:rPr>
        <w:t xml:space="preserve">RNG and CNG fuel dispensing stations for vehicle fleets - This includes both dispensing/sale of brown gas and the environmental credit generation and monetization. The Company operates Fueling Stations that dispense gas for vehicles. This also includes the development and construction of these facilities. </w:t>
      </w:r>
    </w:p>
    <w:p>
      <w:pPr>
        <w:pStyle w:val="TextBody"/>
        <w:bidi w:val="0"/>
        <w:spacing w:before="0" w:after="0"/>
        <w:ind w:left="0" w:right="0" w:hanging="180"/>
        <w:jc w:val="left"/>
        <w:rPr/>
      </w:pPr>
      <w:r>
        <w:rPr/>
      </w:r>
    </w:p>
    <w:p>
      <w:pPr>
        <w:pStyle w:val="TextBody"/>
        <w:bidi w:val="0"/>
        <w:spacing w:lineRule="auto" w:line="276" w:before="0" w:after="0"/>
        <w:ind w:left="0" w:right="0" w:hanging="540"/>
        <w:jc w:val="both"/>
        <w:rPr/>
      </w:pPr>
      <w:r>
        <w:rPr>
          <w:color w:val="000000"/>
        </w:rPr>
        <w:t>•</w:t>
      </w:r>
      <w:r>
        <w:rPr>
          <w:rFonts w:ascii="Times New Roman;sans-serif" w:hAnsi="Times New Roman;sans-serif"/>
          <w:b/>
          <w:color w:val="000000"/>
          <w:sz w:val="20"/>
        </w:rPr>
        <w:t xml:space="preserve">Renewable Power Portfolio. </w:t>
      </w:r>
      <w:r>
        <w:rPr>
          <w:rFonts w:ascii="Times New Roman;sans-serif" w:hAnsi="Times New Roman;sans-serif"/>
          <w:b w:val="false"/>
          <w:color w:val="000000"/>
          <w:sz w:val="20"/>
        </w:rPr>
        <w:t>The Renewable Power portfolio segment generates renewable power through methane-rich landfills and digester gas collection systems which is then sold to public utilities throughout the United States. The Renewable Power portfolio operates primarily in Southern California.</w:t>
      </w:r>
    </w:p>
    <w:p>
      <w:pPr>
        <w:pStyle w:val="TextBody"/>
        <w:bidi w:val="0"/>
        <w:spacing w:before="0" w:after="0"/>
        <w:ind w:left="0" w:right="0" w:hanging="180"/>
        <w:jc w:val="left"/>
        <w:rPr/>
      </w:pPr>
      <w:r>
        <w:rPr/>
      </w:r>
    </w:p>
    <w:p>
      <w:pPr>
        <w:pStyle w:val="TextBody"/>
        <w:bidi w:val="0"/>
        <w:spacing w:lineRule="auto" w:line="276" w:before="0" w:after="0"/>
        <w:ind w:left="0" w:right="0" w:hanging="540"/>
        <w:jc w:val="both"/>
        <w:rPr/>
      </w:pPr>
      <w:r>
        <w:rPr>
          <w:color w:val="000000"/>
        </w:rPr>
        <w:t>•</w:t>
      </w:r>
      <w:r>
        <w:rPr>
          <w:rFonts w:ascii="Times New Roman;sans-serif" w:hAnsi="Times New Roman;sans-serif"/>
          <w:b/>
          <w:color w:val="000000"/>
          <w:sz w:val="20"/>
        </w:rPr>
        <w:t xml:space="preserve">Corporate. </w:t>
      </w:r>
      <w:r>
        <w:rPr>
          <w:rFonts w:ascii="Times New Roman;sans-serif" w:hAnsi="Times New Roman;sans-serif"/>
          <w:b w:val="false"/>
          <w:color w:val="000000"/>
          <w:sz w:val="20"/>
        </w:rPr>
        <w:t>This segment consists of activities managed and maintained at the Company corporate level primarily including but not limited to:</w:t>
      </w:r>
    </w:p>
    <w:p>
      <w:pPr>
        <w:pStyle w:val="TextBody"/>
        <w:bidi w:val="0"/>
        <w:spacing w:lineRule="auto" w:line="268" w:before="0" w:after="0"/>
        <w:ind w:left="0" w:right="0" w:hanging="540"/>
        <w:jc w:val="both"/>
        <w:rPr/>
      </w:pPr>
      <w:r>
        <w:rPr>
          <w:color w:val="000000"/>
        </w:rPr>
        <w:t>◦</w:t>
      </w:r>
      <w:r>
        <w:rPr>
          <w:rFonts w:ascii="Times New Roman;sans-serif" w:hAnsi="Times New Roman;sans-serif"/>
          <w:b w:val="false"/>
          <w:color w:val="000000"/>
          <w:sz w:val="20"/>
        </w:rPr>
        <w:t>Executive, accounting, finance, sales activities such as: payroll, stock compensation expense, travel and other related costs.</w:t>
      </w:r>
    </w:p>
    <w:p>
      <w:pPr>
        <w:pStyle w:val="TextBody"/>
        <w:bidi w:val="0"/>
        <w:spacing w:lineRule="auto" w:line="268" w:before="0" w:after="0"/>
        <w:ind w:left="0" w:right="0" w:hanging="540"/>
        <w:jc w:val="left"/>
        <w:rPr/>
      </w:pPr>
      <w:r>
        <w:rPr>
          <w:color w:val="000000"/>
        </w:rPr>
        <w:t>◦</w:t>
      </w:r>
      <w:r>
        <w:rPr>
          <w:rFonts w:ascii="Times New Roman;sans-serif" w:hAnsi="Times New Roman;sans-serif"/>
          <w:b w:val="false"/>
          <w:color w:val="000000"/>
          <w:sz w:val="20"/>
        </w:rPr>
        <w:t>Insurance, professional fees (audit, tax, legal etc.).</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each of the four operating segments meets the characteristics of a reportable segment under U.S. GAAP. The Company's activities and assets that are not associated with the four reportable segments are summarized in the "Other" category below. These include corporate investment income, interest income and interest expense, income tax expense, and other non-allocated costs. The Company evaluates performance based on net income.</w:t>
      </w:r>
    </w:p>
    <w:tbl>
      <w:tblPr>
        <w:tblW w:w="7663" w:type="dxa"/>
        <w:jc w:val="left"/>
        <w:tblInd w:w="0" w:type="dxa"/>
        <w:tblLayout w:type="fixed"/>
        <w:tblCellMar>
          <w:top w:w="28" w:type="dxa"/>
          <w:left w:w="28" w:type="dxa"/>
          <w:bottom w:w="28" w:type="dxa"/>
          <w:right w:w="28" w:type="dxa"/>
        </w:tblCellMar>
      </w:tblPr>
      <w:tblGrid>
        <w:gridCol w:w="798"/>
        <w:gridCol w:w="699"/>
        <w:gridCol w:w="707"/>
        <w:gridCol w:w="109"/>
        <w:gridCol w:w="109"/>
        <w:gridCol w:w="109"/>
        <w:gridCol w:w="215"/>
        <w:gridCol w:w="708"/>
        <w:gridCol w:w="119"/>
        <w:gridCol w:w="119"/>
        <w:gridCol w:w="119"/>
        <w:gridCol w:w="119"/>
        <w:gridCol w:w="215"/>
        <w:gridCol w:w="708"/>
        <w:gridCol w:w="119"/>
        <w:gridCol w:w="109"/>
        <w:gridCol w:w="109"/>
        <w:gridCol w:w="109"/>
        <w:gridCol w:w="196"/>
        <w:gridCol w:w="736"/>
        <w:gridCol w:w="109"/>
        <w:gridCol w:w="109"/>
        <w:gridCol w:w="109"/>
        <w:gridCol w:w="109"/>
        <w:gridCol w:w="196"/>
        <w:gridCol w:w="64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22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18"/>
              </w:rPr>
              <w:t xml:space="preserve">RNG Fuel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18"/>
              </w:rPr>
              <w:t xml:space="preserve">Fuel Station Services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w:t>
            </w: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 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(25,567)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70,950 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55,042 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8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w:t>
      </w:r>
    </w:p>
    <w:p>
      <w:pPr>
        <w:pStyle w:val="TextBody"/>
        <w:bidi w:val="0"/>
        <w:spacing w:lineRule="auto" w:line="288" w:before="6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revenues from our equity method investments.</w:t>
      </w:r>
    </w:p>
    <w:p>
      <w:pPr>
        <w:pStyle w:val="TextBody"/>
        <w:bidi w:val="0"/>
        <w:spacing w:lineRule="auto" w:line="288" w:before="60" w:after="283"/>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 xml:space="preserve">Includes intersegment revenues eliminated in the condensed consolidated financial statements. </w:t>
      </w:r>
    </w:p>
    <w:p>
      <w:pPr>
        <w:pStyle w:val="TextBody"/>
        <w:bidi w:val="0"/>
        <w:spacing w:lineRule="auto" w:line="288" w:before="60" w:after="283"/>
        <w:jc w:val="left"/>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Other includes management fee revenues earned from operations and management of unconsolidated entities and Fortistar Contracting LLC.</w:t>
      </w:r>
    </w:p>
    <w:p>
      <w:pPr>
        <w:pStyle w:val="TextBody"/>
        <w:bidi w:val="0"/>
        <w:spacing w:before="200" w:after="283"/>
        <w:jc w:val="left"/>
        <w:rPr/>
      </w:pPr>
      <w:r>
        <w:rPr/>
      </w:r>
    </w:p>
    <w:tbl>
      <w:tblPr>
        <w:tblW w:w="8025" w:type="dxa"/>
        <w:jc w:val="left"/>
        <w:tblInd w:w="0" w:type="dxa"/>
        <w:tblLayout w:type="fixed"/>
        <w:tblCellMar>
          <w:top w:w="28" w:type="dxa"/>
          <w:left w:w="28" w:type="dxa"/>
          <w:bottom w:w="28" w:type="dxa"/>
          <w:right w:w="28" w:type="dxa"/>
        </w:tblCellMar>
      </w:tblPr>
      <w:tblGrid>
        <w:gridCol w:w="969"/>
        <w:gridCol w:w="853"/>
        <w:gridCol w:w="862"/>
        <w:gridCol w:w="109"/>
        <w:gridCol w:w="109"/>
        <w:gridCol w:w="109"/>
        <w:gridCol w:w="232"/>
        <w:gridCol w:w="747"/>
        <w:gridCol w:w="129"/>
        <w:gridCol w:w="129"/>
        <w:gridCol w:w="129"/>
        <w:gridCol w:w="129"/>
        <w:gridCol w:w="232"/>
        <w:gridCol w:w="587"/>
        <w:gridCol w:w="129"/>
        <w:gridCol w:w="109"/>
        <w:gridCol w:w="109"/>
        <w:gridCol w:w="109"/>
        <w:gridCol w:w="196"/>
        <w:gridCol w:w="631"/>
        <w:gridCol w:w="109"/>
        <w:gridCol w:w="109"/>
        <w:gridCol w:w="109"/>
        <w:gridCol w:w="109"/>
        <w:gridCol w:w="196"/>
        <w:gridCol w:w="631"/>
        <w:gridCol w:w="154"/>
      </w:tblGrid>
      <w:tr>
        <w:trPr/>
        <w:tc>
          <w:tcPr>
            <w:tcW w:w="96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(4,989)</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43535"/>
                <wp:effectExtent l="0" t="0" r="0" b="0"/>
                <wp:wrapNone/>
                <wp:docPr id="42" name="Frame4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ind w:left="0" w:right="0" w:hanging="480"/>
        <w:jc w:val="both"/>
        <w:rPr/>
      </w:pPr>
      <w:r>
        <w:rPr/>
      </w:r>
    </w:p>
    <w:tbl>
      <w:tblPr>
        <w:tblW w:w="8354" w:type="dxa"/>
        <w:jc w:val="left"/>
        <w:tblInd w:w="0" w:type="dxa"/>
        <w:tblLayout w:type="fixed"/>
        <w:tblCellMar>
          <w:top w:w="28" w:type="dxa"/>
          <w:left w:w="28" w:type="dxa"/>
          <w:bottom w:w="28" w:type="dxa"/>
          <w:right w:w="28" w:type="dxa"/>
        </w:tblCellMar>
      </w:tblPr>
      <w:tblGrid>
        <w:gridCol w:w="1146"/>
        <w:gridCol w:w="1006"/>
        <w:gridCol w:w="1012"/>
        <w:gridCol w:w="109"/>
        <w:gridCol w:w="109"/>
        <w:gridCol w:w="109"/>
        <w:gridCol w:w="233"/>
        <w:gridCol w:w="663"/>
        <w:gridCol w:w="130"/>
        <w:gridCol w:w="130"/>
        <w:gridCol w:w="130"/>
        <w:gridCol w:w="130"/>
        <w:gridCol w:w="233"/>
        <w:gridCol w:w="663"/>
        <w:gridCol w:w="130"/>
        <w:gridCol w:w="109"/>
        <w:gridCol w:w="109"/>
        <w:gridCol w:w="109"/>
        <w:gridCol w:w="196"/>
        <w:gridCol w:w="556"/>
        <w:gridCol w:w="109"/>
        <w:gridCol w:w="109"/>
        <w:gridCol w:w="109"/>
        <w:gridCol w:w="109"/>
        <w:gridCol w:w="196"/>
        <w:gridCol w:w="55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3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(1)Other includes amortization of intangible assets and depreciation expense not allocated to any segment.</w:t>
      </w:r>
    </w:p>
    <w:p>
      <w:pPr>
        <w:pStyle w:val="TextBody"/>
        <w:bidi w:val="0"/>
        <w:spacing w:before="60" w:after="200"/>
        <w:jc w:val="both"/>
        <w:rPr/>
      </w:pPr>
      <w:r>
        <w:rPr/>
      </w:r>
    </w:p>
    <w:tbl>
      <w:tblPr>
        <w:tblW w:w="7573" w:type="dxa"/>
        <w:jc w:val="left"/>
        <w:tblInd w:w="0" w:type="dxa"/>
        <w:tblLayout w:type="fixed"/>
        <w:tblCellMar>
          <w:top w:w="28" w:type="dxa"/>
          <w:left w:w="28" w:type="dxa"/>
          <w:bottom w:w="28" w:type="dxa"/>
          <w:right w:w="28" w:type="dxa"/>
        </w:tblCellMar>
      </w:tblPr>
      <w:tblGrid>
        <w:gridCol w:w="796"/>
        <w:gridCol w:w="702"/>
        <w:gridCol w:w="706"/>
        <w:gridCol w:w="109"/>
        <w:gridCol w:w="109"/>
        <w:gridCol w:w="109"/>
        <w:gridCol w:w="224"/>
        <w:gridCol w:w="653"/>
        <w:gridCol w:w="115"/>
        <w:gridCol w:w="115"/>
        <w:gridCol w:w="115"/>
        <w:gridCol w:w="115"/>
        <w:gridCol w:w="208"/>
        <w:gridCol w:w="781"/>
        <w:gridCol w:w="115"/>
        <w:gridCol w:w="109"/>
        <w:gridCol w:w="109"/>
        <w:gridCol w:w="109"/>
        <w:gridCol w:w="196"/>
        <w:gridCol w:w="556"/>
        <w:gridCol w:w="109"/>
        <w:gridCol w:w="109"/>
        <w:gridCol w:w="109"/>
        <w:gridCol w:w="109"/>
        <w:gridCol w:w="196"/>
        <w:gridCol w:w="736"/>
        <w:gridCol w:w="154"/>
      </w:tblGrid>
      <w:tr>
        <w:trPr/>
        <w:tc>
          <w:tcPr>
            <w:tcW w:w="7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22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114,050 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00"/>
        <w:jc w:val="both"/>
        <w:rPr/>
      </w:pPr>
      <w:r>
        <w:rPr/>
      </w:r>
    </w:p>
    <w:tbl>
      <w:tblPr>
        <w:tblW w:w="7433" w:type="dxa"/>
        <w:jc w:val="left"/>
        <w:tblInd w:w="0" w:type="dxa"/>
        <w:tblLayout w:type="fixed"/>
        <w:tblCellMar>
          <w:top w:w="28" w:type="dxa"/>
          <w:left w:w="28" w:type="dxa"/>
          <w:bottom w:w="28" w:type="dxa"/>
          <w:right w:w="28" w:type="dxa"/>
        </w:tblCellMar>
      </w:tblPr>
      <w:tblGrid>
        <w:gridCol w:w="1576"/>
        <w:gridCol w:w="1384"/>
        <w:gridCol w:w="1389"/>
        <w:gridCol w:w="109"/>
        <w:gridCol w:w="109"/>
        <w:gridCol w:w="121"/>
        <w:gridCol w:w="121"/>
        <w:gridCol w:w="121"/>
        <w:gridCol w:w="121"/>
        <w:gridCol w:w="218"/>
        <w:gridCol w:w="720"/>
        <w:gridCol w:w="121"/>
        <w:gridCol w:w="109"/>
        <w:gridCol w:w="109"/>
        <w:gridCol w:w="109"/>
        <w:gridCol w:w="196"/>
        <w:gridCol w:w="646"/>
        <w:gridCol w:w="154"/>
      </w:tblGrid>
      <w:tr>
        <w:trPr/>
        <w:tc>
          <w:tcPr>
            <w:tcW w:w="157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c>
          <w:tcPr>
            <w:tcW w:w="1323" w:type="dxa"/>
            <w:gridSpan w:val="6"/>
            <w:tcBorders/>
          </w:tcPr>
          <w:p>
            <w:pPr>
              <w:pStyle w:val="TableContents"/>
              <w:bidi w:val="0"/>
              <w:spacing w:before="0" w:after="283"/>
              <w:jc w:val="left"/>
              <w:rPr>
                <w:sz w:val="4"/>
                <w:szCs w:val="4"/>
              </w:rPr>
            </w:pPr>
            <w:r>
              <w:rPr>
                <w:sz w:val="4"/>
                <w:szCs w:val="4"/>
              </w:rPr>
            </w:r>
          </w:p>
        </w:tc>
      </w:tr>
      <w:tr>
        <w:trPr/>
        <w:tc>
          <w:tcPr>
            <w:tcW w:w="434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49,742 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757" w:type="dxa"/>
        <w:jc w:val="left"/>
        <w:tblInd w:w="0" w:type="dxa"/>
        <w:tblLayout w:type="fixed"/>
        <w:tblCellMar>
          <w:top w:w="28" w:type="dxa"/>
          <w:left w:w="28" w:type="dxa"/>
          <w:bottom w:w="28" w:type="dxa"/>
          <w:right w:w="28" w:type="dxa"/>
        </w:tblCellMar>
      </w:tblPr>
      <w:tblGrid>
        <w:gridCol w:w="795"/>
        <w:gridCol w:w="701"/>
        <w:gridCol w:w="708"/>
        <w:gridCol w:w="196"/>
        <w:gridCol w:w="736"/>
        <w:gridCol w:w="109"/>
        <w:gridCol w:w="109"/>
        <w:gridCol w:w="109"/>
        <w:gridCol w:w="109"/>
        <w:gridCol w:w="214"/>
        <w:gridCol w:w="803"/>
        <w:gridCol w:w="168"/>
      </w:tblGrid>
      <w:tr>
        <w:trPr/>
        <w:tc>
          <w:tcPr>
            <w:tcW w:w="7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37,479 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342,176 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152,625 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Corporate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15,230 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782,312 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754,609 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Geographic Information: The Company's assets and revenue generating activities are domiciled in the United States of America.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12. Variable Interest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43535"/>
                <wp:effectExtent l="0" t="0" r="0" b="0"/>
                <wp:wrapNone/>
                <wp:docPr id="43" name="Frame4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and December 31, 2023, the Company held equity interests in seven VIEs — Sunoma, GREP, Emerald, Sapphire, Paragon, SJI Joint Venture (Atlantic and Burlington) and Central Valley.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GREP, Paragon and SJI were presented as equity method investments and the remaining two VIEs Sunoma and Central Valley are consolidated by the Company.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Sunoma facility. Therefore, the significant assets and liabilities of Sunoma are parenthesized in the condensed consolidated balance sheets as of June 30, 2024 and December 31, 2023.</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each of these entities are VIEs and in its capacity as a managing member except for Emerald and Sapphire, the Company is the primary beneficiary. The Company is deemed as a primary beneficiary based on two conditions:</w:t>
      </w:r>
    </w:p>
    <w:p>
      <w:pPr>
        <w:pStyle w:val="TextBody"/>
        <w:bidi w:val="0"/>
        <w:spacing w:lineRule="auto" w:line="288" w:before="160" w:after="283"/>
        <w:ind w:left="0" w:right="0" w:hanging="540"/>
        <w:jc w:val="left"/>
        <w:rPr/>
      </w:pPr>
      <w:r>
        <w:rPr>
          <w:color w:val="000000"/>
        </w:rPr>
        <w:t>•</w:t>
      </w:r>
      <w:r>
        <w:rPr>
          <w:rFonts w:ascii="Times New Roman;sans-serif" w:hAnsi="Times New Roman;sans-serif"/>
          <w:b w:val="false"/>
          <w:color w:val="000000"/>
          <w:sz w:val="20"/>
        </w:rPr>
        <w:t>The Company, as a managing member, has the power to order the activities that significantly impact the economic performance of the two entities including establishment of strategic, operating, and capital decisions for each of these entities; and</w:t>
      </w:r>
    </w:p>
    <w:p>
      <w:pPr>
        <w:pStyle w:val="TextBody"/>
        <w:bidi w:val="0"/>
        <w:spacing w:lineRule="auto" w:line="288" w:before="160" w:after="283"/>
        <w:ind w:left="0" w:right="0" w:hanging="540"/>
        <w:jc w:val="left"/>
        <w:rPr/>
      </w:pPr>
      <w:r>
        <w:rPr>
          <w:color w:val="000000"/>
        </w:rPr>
        <w:t>•</w:t>
      </w:r>
      <w:r>
        <w:rPr>
          <w:rFonts w:ascii="Times New Roman;sans-serif" w:hAnsi="Times New Roman;sans-serif"/>
          <w:b w:val="false"/>
          <w:color w:val="000000"/>
          <w:sz w:val="20"/>
        </w:rPr>
        <w:t>The Company has the obligation to absorb the potential losses for the right to receive potential benefits, which could be significant to the VIE;</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 xml:space="preserve">As a primary beneficiary, the Company consolidates these entities in accordance with the variable interest entity model guidance under ASC 810,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variable interests in each of our VIEs arise primarily from our ownership of membership interests, construction commitments, our provision of operating and maintenance services, and our provision of environmental credit processing services to VIEs.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major condensed consolidated balance sheet items for consolidated VIEs as of June 30, 2024 and December 31, 2023. The information below is presented on an aggregate basis based on similar risk and reward characteristics and the nature of our involvement with the VIEs, such as: </w:t>
      </w:r>
    </w:p>
    <w:p>
      <w:pPr>
        <w:pStyle w:val="TextBody"/>
        <w:bidi w:val="0"/>
        <w:spacing w:lineRule="auto" w:line="288" w:before="160" w:after="283"/>
        <w:ind w:left="0" w:right="0" w:hanging="540"/>
        <w:jc w:val="left"/>
        <w:rPr/>
      </w:pPr>
      <w:r>
        <w:rPr>
          <w:color w:val="000000"/>
        </w:rPr>
        <w:t>•</w:t>
      </w:r>
      <w:r>
        <w:rPr>
          <w:rFonts w:ascii="Times New Roman;sans-serif" w:hAnsi="Times New Roman;sans-serif"/>
          <w:b w:val="false"/>
          <w:color w:val="000000"/>
          <w:sz w:val="20"/>
        </w:rPr>
        <w:t>All of the VIEs are RNG facilities and they are reported under the RNG Fuel Supply segment;</w:t>
      </w:r>
    </w:p>
    <w:p>
      <w:pPr>
        <w:pStyle w:val="TextBody"/>
        <w:bidi w:val="0"/>
        <w:spacing w:lineRule="auto" w:line="288" w:before="160" w:after="283"/>
        <w:ind w:left="0" w:right="0" w:hanging="540"/>
        <w:jc w:val="left"/>
        <w:rPr/>
      </w:pPr>
      <w:r>
        <w:rPr>
          <w:color w:val="000000"/>
        </w:rPr>
        <w:t>•</w:t>
      </w:r>
      <w:r>
        <w:rPr>
          <w:rFonts w:ascii="Times New Roman;sans-serif" w:hAnsi="Times New Roman;sans-serif"/>
          <w:b w:val="false"/>
          <w:color w:val="000000"/>
          <w:sz w:val="20"/>
        </w:rPr>
        <w:t>The nature of our interest in these entities is primarily equity based and therefore carry similar risk and reward characteristics;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assets that can only be used to settle obligations of the VIEs are parenthesized in the condensed consolidated balance sheets and are included in the asset totals listed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43535"/>
                <wp:effectExtent l="0" t="0" r="0" b="0"/>
                <wp:wrapNone/>
                <wp:docPr id="44" name="Frame4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5568" w:type="dxa"/>
        <w:jc w:val="left"/>
        <w:tblInd w:w="0" w:type="dxa"/>
        <w:tblLayout w:type="fixed"/>
        <w:tblCellMar>
          <w:top w:w="28" w:type="dxa"/>
          <w:left w:w="28" w:type="dxa"/>
          <w:bottom w:w="28" w:type="dxa"/>
          <w:right w:w="28" w:type="dxa"/>
        </w:tblCellMar>
      </w:tblPr>
      <w:tblGrid>
        <w:gridCol w:w="1124"/>
        <w:gridCol w:w="986"/>
        <w:gridCol w:w="995"/>
        <w:gridCol w:w="196"/>
        <w:gridCol w:w="646"/>
        <w:gridCol w:w="109"/>
        <w:gridCol w:w="109"/>
        <w:gridCol w:w="109"/>
        <w:gridCol w:w="109"/>
        <w:gridCol w:w="233"/>
        <w:gridCol w:w="769"/>
        <w:gridCol w:w="183"/>
      </w:tblGrid>
      <w:tr>
        <w:trPr/>
        <w:tc>
          <w:tcPr>
            <w:tcW w:w="112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w:t>
              <w:b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As of</w:t>
              <w:br/>
              <w:t>December 31,</w:t>
              <w:br/>
              <w:t>2023</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4,395 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Environmental credits held for sale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4,730 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26,626 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Liabilities and equity </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current portion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7,893 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Non-redeemable non-controlling interests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13. Redeemable non-controlling interests, Redeemable preferred non-controlling interests and Stockholders' Deficit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are (i) 30,058,569 shares of Class A common stock issued and 28,422,786 outstanding, (ii) 71,500,000 shares of New OPAL Class B common stock issued and outstanding (shares of Class B common stock do not have any economic value except voting rights as described below), (iii) no shares of Class C common stock issued and outstanding and (iv) 72,899,037 shares of Class D common stock (shares of Class D common stock do not have any economic value except voting rights as described below).</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conversion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12, 2024, Fortistar, through its subsidiary OPAL Holdco LLC, converted 71.5 million shares of Class D common stock of the Company held by it, each of which is entitled to five votes per share on all matters on which stockholders generally are entitled to vote, for an equal number of shares of newly issued Class B common stock of the Company, each of which is entitled to one vote on such matters. This transaction has no effect on the economic interest in the Company held by Fortistar or OPAL Holdco LLC. Fortistar converted such shares in order that the Company’s Class A common stock would become eligible for inclusion in certain stock market indices, on which many broad-based mutual funds and exchange-traded index funds are based. Subsequent to the exchange, Fortistar holds 72,899,037 shares of Class D common stock and 71,500,000 shares of Class B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43535"/>
                <wp:effectExtent l="0" t="0" r="0" b="0"/>
                <wp:wrapNone/>
                <wp:docPr id="45" name="Frame4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ATM Program</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17, 2023, OPAL Fuels Inc. (the “Company”) entered into an At Market Issuance Sales Agreement (the “Sales Agreement”) with B. Riley Securities, Inc., Cantor Fitzgerald &amp; Co. and Stifel, Nicolaus &amp; Company, Incorporated (each, an “Agent,” and collectively, the “Agents”) pursuant to which the Company may issue and sell shares of its Class A common stock having an aggregate offering price of up to $75 million from time to time through the Agents.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pay each Agent, upon the sale by such Agent of Class A common stock pursuant to the Sales Agreement, an amount equal to up to 3.0% of the gross proceeds of each such sale of Class A common stock. The Company has also provided the Agents with customary indemnification rights.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36,353 shares of Class A common stock under the ATM Program during the six months ended June 30, 2024 at prices ranging between $4.34 and $5.68 and received net proceeds of $170.</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preferred non-controlling interests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as part of an exchange agreement (“Hillman exchange”), the Company issued 300,000 Series A-1 preferred units to Hillman in return for Hillman’s non-controlling interest in four RNG project subsidiaries.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NextEra subscribed for up to 1,000,000 Series A preferred units, which are issuable (in whole or in increments) at the Company’s discretion prior to June 30, 2022. During the year ended December 31, 2023, the Company had drawn $100,000 and issued 1,000,000 Series A preferred units.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completion of Business Combination, the Company assumed Series A-1 preferred units and Series A preferred units which were issued and outstanding by OPAL Fuels. The Company recorded the Series A-1 preferred units and Series A preferred units as Redeemable preferred non-controlling interests. The Company has elected to adjust the carrying value of the preferred units to the redemption value at the end of each reporting period by immediately amortizing the issuance costs in the first reporting period after issuance of the preferred units.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redeemable preferred non-controlling interests which represent Series A and Series A-1 preferred units outstanding at OPAL Fuels level from December 31, 2023 to June 30, 2024:</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8"/>
        <w:gridCol w:w="819"/>
        <w:gridCol w:w="823"/>
        <w:gridCol w:w="109"/>
        <w:gridCol w:w="109"/>
        <w:gridCol w:w="109"/>
        <w:gridCol w:w="413"/>
        <w:gridCol w:w="413"/>
        <w:gridCol w:w="181"/>
        <w:gridCol w:w="122"/>
        <w:gridCol w:w="122"/>
        <w:gridCol w:w="122"/>
        <w:gridCol w:w="237"/>
        <w:gridCol w:w="812"/>
        <w:gridCol w:w="122"/>
        <w:gridCol w:w="109"/>
        <w:gridCol w:w="109"/>
        <w:gridCol w:w="109"/>
        <w:gridCol w:w="488"/>
        <w:gridCol w:w="488"/>
        <w:gridCol w:w="181"/>
        <w:gridCol w:w="115"/>
        <w:gridCol w:w="115"/>
        <w:gridCol w:w="115"/>
        <w:gridCol w:w="224"/>
        <w:gridCol w:w="878"/>
        <w:gridCol w:w="115"/>
        <w:gridCol w:w="109"/>
        <w:gridCol w:w="109"/>
        <w:gridCol w:w="109"/>
        <w:gridCol w:w="211"/>
        <w:gridCol w:w="826"/>
        <w:gridCol w:w="164"/>
      </w:tblGrid>
      <w:tr>
        <w:trPr/>
        <w:tc>
          <w:tcPr>
            <w:tcW w:w="111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A-1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A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132,617 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dividends attributable to OPAL Fuels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dividends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Terms of Redeemable preferred units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and Series A-1 preferred units (together the “Preferred Units”) have substantially the same terms and features which are listed below:</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Voting: The Series A-1 preferred units to Hillman do not have any voting rights. The Series A preferred units issued to NextEra have limited rights to prevent the Company from taking certain actions including (i) major issuances of new debt or equity (ii) executing transactions with affiliates which are not at arm-length basis (iii) major disposition of assets and (iv) major acquisition of assets outside of the Company’s primary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43535"/>
                <wp:effectExtent l="0" t="0" r="0" b="0"/>
                <wp:wrapNone/>
                <wp:docPr id="46" name="Frame4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(paid-in-kind) in lieu of cash for the first eight dividend payment dates. The Company elected to pay the dividends to be paid-in-kind for all periods presented. In the occurrence of certain events of default, the annual dividend rate increases to 12%. Additionally, the dividend rate increases by 2% for each unrelated uncured event of default up to a maximum of 20%.</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Liquidation preference: In the event of liquidation of the Company, each holder of a unit of Series A and Series A-1 is entitled to be paid on pro-rata basis the original issue price of $100 per unit plus any accrued and unpaid dividends out of the assets of the Company available for distribution after payment of the Company’s debt and liabilities and liquidation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Redemption: At any time after issuance, the Company may redeem the Redeemable preferred units for a price equal to original issue price of $100 per 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Conversion: Holder’s may elect to convert Preferred Units into common units in the limited chance that the Company fails to redeem the Preferred 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2nd year, and a 30% discount thereafter: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Using 20-day volume-weighted average price (“VWAP”) of the Company's common shares.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Otherwise the estimated proceeds to be received by the holder of a common unit if the net assets of the Company were sold at fair market value and distributed.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consummation of Business Combination, OPAL Fuels and its members caused the existing limited liability company agreement to be amended and restated and in connection therewith, all of the common units of OPAL Fuels LLC issued and outstanding immediately prior to the closing were re-classified into 144,399,037 Class B Units. Each Class B Unit is paired with 1 non-economic share of Class D common stock issued by the Company. Each pair of Class B Unit and 1 share of Class D common stock is exchangeable to either 1 share of Class A common stock or 1 share of Class C common stock at the holder's option. Upon an exchange for Class A common stock, the Company has the option to redeem shares for cash at their market value.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have been presented as mezzanine equity in the condensed consolidated statements of change in Redeemable non-controlling interests, Redeemable preferred non-controlling interests and stockholders' equity. At each balance sheet date, the Redeemable non-controlling interests are adjusted up to their redemption value if necessary, with an offset in Stockholders' equity. As of June 30, 2024, the Company recorded $597,069 as the redemption value based on a 5 day VWAP of $4.13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43535"/>
                <wp:effectExtent l="0" t="0" r="0" b="0"/>
                <wp:wrapNone/>
                <wp:docPr id="47" name="Frame4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14. Net Income (Loss) Per Share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basic income per share of Class A common stock is computed by dividing the net income (loss) attributable to Class A common stockholders by the weighted average number of Class A common stock outstanding during the period. The basic income per share for the three and six months ended June 30, 2024 does not include 1,635,783 shares in treasury, 763,908 shares issued and outstanding but are contingent on achieving earnout targets. During the first quarter of 2023, the put option was exercised and 197,258 shares of Class A common stock were cancelled.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diluted income per share of Class A common stock for the three and six months ended June 30, 2024 does not include Redeemable preferred non-controlling interests because the substantive contingency for conversion has not been met as of June 30, 2024. It does not include 144,399,037 OPAL Fuels Class B units representing Redeemable non-controlling interest as its impact is anti-dilutive. It does not include 716,650 Sponsor Earnout Awards and 10,000,000 OPAL Earnout Awards as their target share price and adjusted EBITDA contingencies have not been met as of June 30, 2024. The outstanding restricted stock units and stock options issued under the 2022 Plan are not included as their impact is dilutive. The outstanding performance units under the 2022 Plan are not included as the performance conditions have not been met as of June 30, 2024.</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diluted income per share of Class A common stock for the three and six months ended June 30, 2023 does not include Redeemable preferred non-controlling interests and the Convertible Note Payable because the substantive contingency for conversion has not been met as of June 30, 2023. It does not include 144,399,037 OPAL Fuels Class B units representing Redeemable non-controlling interest as its impact is anti-dilutive. It does not include 763,908 Sponsor Earnout Awards and 10,000,000 OPAL Earnout Awards as their target share price and adjusted EBITDA contingencies have not been met as of June 30, 2023. The outstanding stock options issued under the 2022 Plan are not included as their impact is dilutive. The outstanding performance units under the 2022 Plan are not included as the performance conditions have not been met as of June 30, 2023.</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B common stock and D common stock do not participate in the earnings or losses of the Company and are therefore not participating securities. As such, separate presentation of basic and diluted earnings per share of Class B common stock and Class D common stock under the two-class method has not been presented.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calculation of basic and diluted net loss per share:</w:t>
      </w:r>
    </w:p>
    <w:tbl>
      <w:tblPr>
        <w:tblW w:w="10205" w:type="dxa"/>
        <w:jc w:val="left"/>
        <w:tblInd w:w="0" w:type="dxa"/>
        <w:tblLayout w:type="fixed"/>
        <w:tblCellMar>
          <w:top w:w="28" w:type="dxa"/>
          <w:left w:w="28" w:type="dxa"/>
          <w:bottom w:w="28" w:type="dxa"/>
          <w:right w:w="28" w:type="dxa"/>
        </w:tblCellMar>
      </w:tblPr>
      <w:tblGrid>
        <w:gridCol w:w="1616"/>
        <w:gridCol w:w="1236"/>
        <w:gridCol w:w="1238"/>
        <w:gridCol w:w="109"/>
        <w:gridCol w:w="109"/>
        <w:gridCol w:w="109"/>
        <w:gridCol w:w="309"/>
        <w:gridCol w:w="772"/>
        <w:gridCol w:w="109"/>
        <w:gridCol w:w="109"/>
        <w:gridCol w:w="109"/>
        <w:gridCol w:w="109"/>
        <w:gridCol w:w="315"/>
        <w:gridCol w:w="766"/>
        <w:gridCol w:w="109"/>
        <w:gridCol w:w="109"/>
        <w:gridCol w:w="109"/>
        <w:gridCol w:w="109"/>
        <w:gridCol w:w="309"/>
        <w:gridCol w:w="772"/>
        <w:gridCol w:w="109"/>
        <w:gridCol w:w="109"/>
        <w:gridCol w:w="109"/>
        <w:gridCol w:w="109"/>
        <w:gridCol w:w="244"/>
        <w:gridCol w:w="837"/>
        <w:gridCol w:w="156"/>
      </w:tblGrid>
      <w:tr>
        <w:trPr/>
        <w:tc>
          <w:tcPr>
            <w:tcW w:w="161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Class A common stock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27,674,567 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26,977,682 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27,179,488 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 restricted stock units, performance units, Convertible note payable, earnout shares, Redeemable preferred non-controlling interests,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Class A common stock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27,674,567 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27,248,639 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27,523,150 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27,556,700 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share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15.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43535"/>
                <wp:effectExtent l="0" t="0" r="0" b="0"/>
                <wp:wrapNone/>
                <wp:docPr id="48" name="Frame4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Company’s up-C structure effective with the Business Combination, the Company expects to be a tax-paying entity. However, as the Company has historically been loss-making, any deferred tax assets created as a result of net operating losses and other deferred tax assets for the excess of tax basis in the Company's investment in Opal Fuels would be offset by a full valuation allowance. Prior to the Business Combination, OPAL Fuels was organized as a limited liability company, with the exception of one partially-owned subsidiary which filed income tax returns as a C-Corporation. The Company accounts for its income taxes using the asset and liability method. Deferred tax assets and liabilities are recognized for the future tax consequences attributable to the differences between the financial 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Additionally, the Company's various tax returns are subject to audit by various tax authorities. Although the Company believes that its estimates are reasonable, actual results could differ from these estimates.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and 2023, the Company recorded zero income tax expense. The effective tax rate for the three and six months ended June 30, 2024 and 2023 was 0%. The difference between the Company’s effective tax rate and the U.S. statutory tax rate of 21% was primarily due to a full valuation allowance recorded on the Company’s net U.S. deferred tax assets. The Company evaluates the realizability of the deferred tax assets on a quarterly basis and establishes a valuation allowance when it is more likely than not that all or a portion of a deferred tax asset may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16. Stock-based compensation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2022 Omnibus Equity Incentive Plan (the "2022 Plan") in 2022 which was approved by our shareholders on July 21, 2022. The purposes of the 2022 Plan are to (i) provide an additional incentive to selected employees, directors, and independent contractors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The 2022 Plan allows for granting of stock options, stock appreciation rights, restricted stock, restricted stock units and other stock-based awards. The Company registered 19,811,726 shares of Class A common stock that can be issued under this Plan.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issued 360,298 stock options, 1,110,031 restricted stock units and 456,308 performance units to certain employees of the Company. The applicable performance period for such performance units is January 1, 2024 to December 31, 2026, and all such performance units are scheduled to vest on March 31, 2027 subject to achievement of certain performance criteria. The fair value of the stock options was determined to be $3.40 based on Black Scholes model based on the share price of $4.96, exercise price of $5.02, expiration of 10 years, annual risk free interest rate of 3.96% and volatility of 55%. Additionally, the Company issued 190,526 restricted stock units to the board of directors which vest 100% on their first anniversary. The total fair value of the equity awards was $9,971.</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equity awards under the 2022 Plan for the six months ended June 30, 2024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43535"/>
                <wp:effectExtent l="0" t="0" r="0" b="0"/>
                <wp:wrapNone/>
                <wp:docPr id="49" name="Frame4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78"/>
        <w:gridCol w:w="488"/>
        <w:gridCol w:w="489"/>
        <w:gridCol w:w="109"/>
        <w:gridCol w:w="109"/>
        <w:gridCol w:w="109"/>
        <w:gridCol w:w="653"/>
        <w:gridCol w:w="422"/>
        <w:gridCol w:w="424"/>
        <w:gridCol w:w="109"/>
        <w:gridCol w:w="109"/>
        <w:gridCol w:w="109"/>
        <w:gridCol w:w="355"/>
        <w:gridCol w:w="887"/>
        <w:gridCol w:w="185"/>
        <w:gridCol w:w="109"/>
        <w:gridCol w:w="109"/>
        <w:gridCol w:w="109"/>
        <w:gridCol w:w="271"/>
        <w:gridCol w:w="658"/>
        <w:gridCol w:w="141"/>
        <w:gridCol w:w="109"/>
        <w:gridCol w:w="109"/>
        <w:gridCol w:w="109"/>
        <w:gridCol w:w="260"/>
        <w:gridCol w:w="910"/>
        <w:gridCol w:w="134"/>
        <w:gridCol w:w="109"/>
        <w:gridCol w:w="109"/>
        <w:gridCol w:w="109"/>
        <w:gridCol w:w="482"/>
        <w:gridCol w:w="482"/>
        <w:gridCol w:w="551"/>
      </w:tblGrid>
      <w:tr>
        <w:trPr/>
        <w:tc>
          <w:tcPr>
            <w:tcW w:w="77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Number of Units outstanding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fair value per restricted unit on grant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Exercise price per Stock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Fair Value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Vesting terms</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 outstanding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949,936 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Equal installments vesting over one or three years.</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the six months ending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1,300,557 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Equal installments vesting over one or three years.</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during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(321,070)</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Withheld for settlement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(112,402)</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Forfeitures during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(7,911)</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1,809,110 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Stock Options</w:t>
            </w:r>
            <w:r>
              <w:rPr>
                <w:rFonts w:ascii="Times New Roman;sans-serif" w:hAnsi="Times New Roman;sans-serif"/>
                <w:b/>
                <w:color w:val="000000"/>
                <w:sz w:val="13"/>
              </w:rPr>
              <w:t>(1)</w:t>
            </w: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awards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175,890 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equal installments vesting over three years</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the six months ending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360,298 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equal installments vesting over three years</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536,188 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vested and exercisable as of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62,327 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Performance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awards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239,680 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 vesting on March 31, 2026</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the six months ending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456,308 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 vesting on March 31, 2027</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Forfeitures during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Stock Units outstanding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694,123 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unvested awards outstanding as of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3,039,421</w:t>
            </w:r>
            <w:r>
              <w:rPr>
                <w:color w:val="000000"/>
              </w:rPr>
              <w:t> </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5.30</w:t>
            </w:r>
            <w:r>
              <w:rPr>
                <w:color w:val="000000"/>
              </w:rPr>
              <w:t>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16,109</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Stock options have an expiration term of 10-years.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and December 31, 2023, there are 62,327 and 0, respectively, of stock options vested and exercisable at exercise price shown above. The aggregate intrinsic value of the outstanding stock options is zero as of June 30, 2024 and December 31, 2023. </w:t>
      </w:r>
    </w:p>
    <w:p>
      <w:pPr>
        <w:pStyle w:val="TextBody"/>
        <w:bidi w:val="0"/>
        <w:spacing w:before="24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43535"/>
                <wp:effectExtent l="0" t="0" r="0" b="0"/>
                <wp:wrapNone/>
                <wp:docPr id="50" name="Frame5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240" w:after="283"/>
        <w:ind w:left="0" w:right="0" w:firstLine="720"/>
        <w:jc w:val="both"/>
        <w:rPr/>
      </w:pPr>
      <w:r>
        <w:rPr/>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stock-based compensation expense for the above stock awards under the 2022 Plan as well as Parent Equity Awards is included in the selling, general and administrative expenses:</w:t>
      </w:r>
    </w:p>
    <w:tbl>
      <w:tblPr>
        <w:tblW w:w="6989" w:type="dxa"/>
        <w:jc w:val="left"/>
        <w:tblInd w:w="0" w:type="dxa"/>
        <w:tblLayout w:type="fixed"/>
        <w:tblCellMar>
          <w:top w:w="28" w:type="dxa"/>
          <w:left w:w="28" w:type="dxa"/>
          <w:bottom w:w="28" w:type="dxa"/>
          <w:right w:w="28" w:type="dxa"/>
        </w:tblCellMar>
      </w:tblPr>
      <w:tblGrid>
        <w:gridCol w:w="652"/>
        <w:gridCol w:w="572"/>
        <w:gridCol w:w="576"/>
        <w:gridCol w:w="109"/>
        <w:gridCol w:w="109"/>
        <w:gridCol w:w="109"/>
        <w:gridCol w:w="242"/>
        <w:gridCol w:w="709"/>
        <w:gridCol w:w="125"/>
        <w:gridCol w:w="125"/>
        <w:gridCol w:w="125"/>
        <w:gridCol w:w="125"/>
        <w:gridCol w:w="225"/>
        <w:gridCol w:w="640"/>
        <w:gridCol w:w="125"/>
        <w:gridCol w:w="109"/>
        <w:gridCol w:w="109"/>
        <w:gridCol w:w="109"/>
        <w:gridCol w:w="196"/>
        <w:gridCol w:w="556"/>
        <w:gridCol w:w="109"/>
        <w:gridCol w:w="109"/>
        <w:gridCol w:w="109"/>
        <w:gridCol w:w="109"/>
        <w:gridCol w:w="196"/>
        <w:gridCol w:w="556"/>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18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17. Commitments and Contingencies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Letters of Credit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Company was required to maintain five and nine standby letters of credit totaling $14,727 and $14,783,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Purchase Options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claims arising in the normal course of business. Management believes that the outcome of these claims will not have a material adverse effect on the Company's financial position, results of operations or cash flows.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Set forth below is information related to the Company’s material pending legal proceedings as of the date of this report, other than ordinary routine litigation incidental to the business.</w:t>
      </w:r>
    </w:p>
    <w:p>
      <w:pPr>
        <w:pStyle w:val="TextBody"/>
        <w:bidi w:val="0"/>
        <w:spacing w:lineRule="auto" w:line="288" w:before="16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Central Valley Project</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In September 2021, an indirect subsidiary of the Company, MD, entered into a fixed-price Engineering, Procurement and Construction Contract (an “</w:t>
      </w:r>
      <w:r>
        <w:rPr>
          <w:rFonts w:ascii="Times New Roman;sans-serif" w:hAnsi="Times New Roman;sans-serif"/>
          <w:b/>
          <w:color w:val="000000"/>
          <w:sz w:val="20"/>
        </w:rPr>
        <w:t>EPC Contract</w:t>
      </w:r>
      <w:r>
        <w:rPr>
          <w:color w:val="000000"/>
        </w:rPr>
        <w:t>”</w:t>
      </w:r>
      <w:r>
        <w:rPr>
          <w:rFonts w:ascii="Times New Roman;sans-serif" w:hAnsi="Times New Roman;sans-serif"/>
          <w:b w:val="false"/>
          <w:color w:val="000000"/>
          <w:sz w:val="20"/>
        </w:rPr>
        <w:t>) with VEC Partners, Inc. d/b/a CEI Builders (“</w:t>
      </w:r>
      <w:r>
        <w:rPr>
          <w:rFonts w:ascii="Times New Roman;sans-serif" w:hAnsi="Times New Roman;sans-serif"/>
          <w:b/>
          <w:color w:val="000000"/>
          <w:sz w:val="20"/>
        </w:rPr>
        <w:t>CEI</w:t>
      </w:r>
      <w:r>
        <w:rPr>
          <w:color w:val="000000"/>
        </w:rPr>
        <w:t>”</w:t>
      </w:r>
      <w:r>
        <w:rPr>
          <w:rFonts w:ascii="Times New Roman;sans-serif" w:hAnsi="Times New Roman;sans-serif"/>
          <w:b w:val="false"/>
          <w:color w:val="000000"/>
          <w:sz w:val="20"/>
        </w:rPr>
        <w:t xml:space="preserve">) for the design and construction of a turn-key renewable natural gas production facility using dairy cow manure as feedstock. In December 2021, a second indirect subsidiary of the Company, VS, entered into a nearly identical EPC Contract with CEI for the design and construction of a second facility in connection with the same project. CEI’s performance under both of the EPC Contracts is fully bonded by a licensed surety.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CEI has submitted a series of change order requests seeking to increase the EPC Contract price under each contract by approximately $14 million (i.e., approximately $28 million in total), to cover cost escalations primarily arising from two events: (i) modifications to CEI’s design drawings required to meet its contracted performance guaranties, and (ii) the default of one of CEI’s major equipment manufacturers. The Company disputes responsibility for substantially all of the additional costs.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43535"/>
                <wp:effectExtent l="0" t="0" r="0" b="0"/>
                <wp:wrapNone/>
                <wp:docPr id="51" name="Frame5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On January 5, 2024, the Company filed a civil lawsuit captioned, MD Digester, LLC. et. al. vs. VEC Partners, Inc. et. al.; California Superior Court, County of San Joaquin; Action No. STK-CV-UCC-2024-0000185 and commenced a related arbitration proceeding in order to obtain a formal determination on the claims, AAA Case No. 01-24-0000-0775. The Superior Court Action will be stayed, pending an award in the AAA proceeding. The AAA proceeding has not been set for hearing. The Company and CEI and have each nominated one arbitrator (each, a “</w:t>
      </w:r>
      <w:r>
        <w:rPr>
          <w:rFonts w:ascii="Times New Roman;sans-serif" w:hAnsi="Times New Roman;sans-serif"/>
          <w:b/>
          <w:color w:val="000000"/>
          <w:sz w:val="20"/>
        </w:rPr>
        <w:t>Party-selected Arbitrator</w:t>
      </w:r>
      <w:r>
        <w:rPr>
          <w:color w:val="000000"/>
        </w:rPr>
        <w:t>”</w:t>
      </w:r>
      <w:r>
        <w:rPr>
          <w:rFonts w:ascii="Times New Roman;sans-serif" w:hAnsi="Times New Roman;sans-serif"/>
          <w:b w:val="false"/>
          <w:color w:val="000000"/>
          <w:sz w:val="20"/>
        </w:rPr>
        <w:t xml:space="preserve">) and a third arbitrator was appointed by the Party-selected Arbitrators to chair the panel. As a result of the procedural status of these matters, no discovery has occurred.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EPC Contract requires that CEI, continue working during the course of the litigation and related arbitration proceedings; however, CEI effectively stopped working. On June 26, 2024, MD issued a Notice of Default and Demand to Cure to CEI. CEI failed to do so, and on July 30, 2024, MD terminated CEI for default. MD has notified CEI’s bond surety of the termination and demanded that it perform under the bond.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11, 2024, VS issued a Notice of Default and Demand to Cure, advising CEI of its defaults and giving it an opportunity to cure. CEI’s cure period has not expired and the Company is hopeful that CEI will so cure. However, if no cure is achieved, VS intends to assess all of its options for next steps, up to and including termination of CEI and demanding performance under the applicable bond.</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its claims against CEI have substantial merit, and intends to prosecute its claims vigorously. However, due to the incipient stage of the litigation and related arbitration, the recency of the termination, and the ongoing status of the proceedings and discussions with the bond surety, as well as the uncertainties involved in all litigation and arbitration, the Company does not believe it is reasonably estimable at this time to assess the likely outcome of the litigation and related arbitration, the timing of its resolution, or its ultimate impact, if any, on the Central Valley projects or the Company's business, financial condition or results of operations.</w:t>
      </w:r>
    </w:p>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43535"/>
                <wp:effectExtent l="0" t="0" r="0" b="0"/>
                <wp:wrapNone/>
                <wp:docPr id="52" name="Frame5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60" w:after="283"/>
        <w:ind w:left="0" w:right="0" w:firstLine="360"/>
        <w:jc w:val="both"/>
        <w:rPr/>
      </w:pPr>
      <w:r>
        <w:rPr>
          <w:rFonts w:ascii="Times New Roman;sans-serif" w:hAnsi="Times New Roman;sans-serif"/>
          <w:b w:val="false"/>
          <w:i/>
          <w:color w:val="000000"/>
          <w:sz w:val="20"/>
        </w:rPr>
        <w:t xml:space="preserve">In this Management's Discussion and Analysis of Financial Condition and Results of Operations section, references to "OPAL", "we", "us", "our", and the "Company" refer to </w:t>
      </w:r>
      <w:r>
        <w:rPr>
          <w:rFonts w:ascii="Times New Roman;sans-serif" w:hAnsi="Times New Roman;sans-serif"/>
          <w:b w:val="false"/>
          <w:color w:val="000000"/>
          <w:sz w:val="20"/>
        </w:rPr>
        <w:t>OPAL Fuels Inc.</w:t>
      </w:r>
      <w:r>
        <w:rPr>
          <w:color w:val="000000"/>
        </w:rPr>
        <w:t xml:space="preserve"> </w:t>
      </w:r>
      <w:r>
        <w:rPr>
          <w:rFonts w:ascii="Times New Roman;sans-serif" w:hAnsi="Times New Roman;sans-serif"/>
          <w:b w:val="false"/>
          <w:i/>
          <w:color w:val="000000"/>
          <w:sz w:val="20"/>
        </w:rPr>
        <w:t>and its consolidated subsidiaries. The following discussion and analysis should be read in conjunction with the Company's unaudited condensed consolidated financial statements as of June 30, 2024 and for the three and six months ended June 30, 2024 and 2023, and the audited consolidated financial statements and notes thereto included in the Company's Annual Report on Form 10-K, which was filed with the SEC on March 15, 2024. In addition to historical information, this discussion and analysis includes certain forward-looking statements which reflect our current expectations. The Company's actual results may materially differ from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vertically integrated leader in the capture and conversion of biogas into low carbon intensity renewable natural gas (RNG) and Renewable Power. OPAL Fuels is also a leader in the marketing and distribution of RNG to heavy duty trucking and other hard to de-carbonize industrial sectors. RNG is chemically identical to the natural gas used for cooking, heating homes and fueling natural gas engines, but it is produced by recycling harmful methane emissions created by decaying organic waste. We have participated in the biogas-to-energy industry for over 25 years.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Biogas is generated by microbes as they break down organic matter in the absence of oxygen. Biogas is comprised of non-fossil waste gas, with high concentrations of methane, which is the primary component of RNG and the source for combustion utilized by Renewable Power plants to generate electricity. Biogas can be collected and processed to remove impurities for use as RNG (a form of high-Btu fuel) and injected into existing natural gas pipelines as it is fully interchangeable with fossil natural gas. Partially treated biogas can be used directly in heating applications (as a form of medium-Btu fuel) or in the production of Renewable Power. Our principal sources of biogas are (i) landfill gas, which is produced by the decomposition of organic waste at landfills, and (ii) dairy manure, which is processed through anaerobic digesters to produce the biogas.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design, develop, construct, operate and service Fueling Stations for trucking fleets across the country that use natural gas to displace diesel as their transportation fuel. We have participated in the alternative vehicle fuels industry for approximately 13 years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owned and operated 24 projects, nine of which are RNG projects and 15 of which are Renewable Power projects. As of that date, our RNG projects in operation had a design capacity of 5.2 million MMBtus per year and our Renewable Power projects in operation had a nameplate capacity of 105.8 MW per hour. In addition to these projects in operation, we are actively pursuing expansion of our RNG-generating capacity and, accordingly, have a portfolio of RNG projects in construction as well as a portfolio of projects in development, with six of our current Renewable Power projects being considered candidates for conversion to RNG projects in the foreseeable future. </w:t>
      </w:r>
    </w:p>
    <w:p>
      <w:pPr>
        <w:pStyle w:val="TextBody"/>
        <w:bidi w:val="0"/>
        <w:spacing w:lineRule="auto" w:line="268" w:before="1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6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and analysis of our financial condition and results of operations is based upon our interim unaudited condensed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related disclosure of contingent assets and liabilities at the date of our financial statements. Actual results may differ from these estimates under different assumptions and conditions.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Critical accounting policies are those that reflect significant judgments of uncertainties and potentially result in materially different results under different assumptions and conditions. We have described below what we believe are our most critical accounting policies, because they generally involve a comparatively higher degree of judgment in their application. For a detailed description of all our accounting policies, see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to our condensed consolidated financial statements included herein and the section titled “Critical Accounting Policies and Estimates” contained in Part II, Item 7 of our Annual Report on Form 10-K for the year ended December 31, 2023. There have been no material changes to our critical accounting estimates since our Annual Report on Form 10-K for the year ended December 31,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43535"/>
                <wp:effectExtent l="0" t="0" r="0" b="0"/>
                <wp:wrapNone/>
                <wp:docPr id="53" name="Frame5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1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6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U.S. GAAP requires management to make estimates and assumptions that affect the reported amounts of assets and liabilities,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relate to the useful lives of property, plant and equipment, the value of stock-based compensation and the fair value of derivatives including warrant liabilities, earnout liabilities, put option on a forward purchase agreement, interest rate swaps and commodity swap contracts.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Factors and Trends Influencing our Results of Operations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elsewhere in this report.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 Demand for RNG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(cellulosic biofuel with a 60% greenhouse gas (“GHG”) reduction requirement) RINs in accordance with the mandates established by the Energy Independence and Security Act of 2007. In June 2023, the EPA set RVOs for 2023 through 2025 via a new Set rule. This 3 year RVO is expected to reduce volatility in RIN pricing for the associated period. On the state level, the economics of RNG are enhanced by low-carbon fuel initiatives, particularly well-established programs in California and Oregon (with several other states also actively considering LCFS initiatives similar to those in California, Washington and Oregon). Federal and state regulatory developments could result in significant future changes to market demand for the RINs and LCFS credits we produce. This would have a corresponding impact to our revenue, net income, and cash flow.</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Transportation, including heavy-duty trucking, generates approximately 30% of overall CO₂ and other climate-harming GHG emissions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the commodity prices of natural gas and diesel, which serve as alternative fuel for RNG and therefore impact the demand for RNG.</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Renewable Power Markets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generate revenues from sales of Renewable Power generated by our biogas-to-Renewable Power projects, and associated ISCC Carbon Credits and RECs. ISCC Carbon Credits and RECs exist because of legal and governmental regulatory requirements in Europe and the United States, respectively, and a change in law or in governmental policies concerning Renewable Power, LFG, or ISCC Carbon Credits or RECs could affect the market for, and the pricing of, such power and credits.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periodically evaluate opportunities to convert existing Renewable Power projects to RNG production. We have been negotiating with several of our landfill and Renewable Power counterparties to enter into arrangements that would enable the LFG resource to produce RNG. Changes in the price we receive for Renewable Power, associated ISCC Carbon Credits and RECs, together with the revenue opportunities and conversion costs associated with converting our LFG sites to RNG production, could have a significant impact on our future profitability.</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Regulatory landscape</w:t>
      </w:r>
    </w:p>
    <w:p>
      <w:pPr>
        <w:pStyle w:val="TextBody"/>
        <w:bidi w:val="0"/>
        <w:spacing w:before="160" w:after="283"/>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an industry that is subject to and currently benefits from environmental regulations. Government policies can increase demand for our products by providing incentives to purchase RNG and Environmental Attributes. These government policies are modified and in flux constantly and any adverse changes to these policies could have a material effect the demand for our products. For more information, see the risk factor in our Annual Report on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43535"/>
                <wp:effectExtent l="0" t="0" r="0" b="0"/>
                <wp:wrapNone/>
                <wp:docPr id="54" name="Frame5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for the year ended December 31, 2023 titled </w:t>
      </w:r>
      <w:r>
        <w:rPr>
          <w:rFonts w:ascii="Times New Roman;sans-serif" w:hAnsi="Times New Roman;sans-serif"/>
          <w:b w:val="false"/>
          <w:i/>
          <w:color w:val="000000"/>
          <w:sz w:val="20"/>
        </w:rPr>
        <w:t>"The financial performance of our business depends upon tax and other government incentives for the generation of RNG and Renewable Power, any of which could change at any time and such changes may negatively impact our growth strategy."</w:t>
      </w:r>
      <w:r>
        <w:rPr>
          <w:color w:val="000000"/>
        </w:rPr>
        <w:t xml:space="preserve"> </w:t>
      </w:r>
      <w:r>
        <w:rPr>
          <w:rFonts w:ascii="Times New Roman;sans-serif" w:hAnsi="Times New Roman;sans-serif"/>
          <w:b w:val="false"/>
          <w:color w:val="000000"/>
          <w:sz w:val="20"/>
        </w:rPr>
        <w:t>Government regulations have become increasingly stringent and complying with changes in regulations may result in significant additional operating expenses.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experience seasonality in our results of operations. Sale of RNG may be impacted by higher consumption by some of our customers during summer months. Additionally, the price of RNG is higher during the fall and winter months due to increase in overall demand for natural gas during the winter months. Revenues generated from our renewable electricity projects in the northeast U.S., all of which sell electricity at market prices, are affected by warmer and colder weather, and therefore a portion of our quarterly operating results and cash flows are affected by pricing changes due to regional temperatures. These seasonal variances are managed in part by certain off-take agreements at fixed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condensed consolidated statements of operations under the following captions:</w:t>
      </w:r>
    </w:p>
    <w:p>
      <w:pPr>
        <w:pStyle w:val="TextBody"/>
        <w:bidi w:val="0"/>
        <w:spacing w:before="160" w:after="283"/>
        <w:ind w:left="0" w:right="0" w:firstLine="360"/>
        <w:jc w:val="both"/>
        <w:rPr/>
      </w:pPr>
      <w:r>
        <w:rPr/>
      </w:r>
    </w:p>
    <w:p>
      <w:pPr>
        <w:pStyle w:val="TextBody"/>
        <w:bidi w:val="0"/>
        <w:spacing w:lineRule="auto" w:line="268" w:before="0" w:after="0"/>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The RNG Fuel segment includes RNG supply as well as the associated generation and sale of commodity natural gas and environmental credits, and consists of:</w:t>
      </w:r>
    </w:p>
    <w:p>
      <w:pPr>
        <w:pStyle w:val="TextBody"/>
        <w:bidi w:val="0"/>
        <w:spacing w:before="0" w:after="0"/>
        <w:ind w:left="0" w:right="0" w:hanging="180"/>
        <w:jc w:val="both"/>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RNG Production Facilities – the design, development, construction, maintenance and operation of facilities that convert raw biogas into pipeline quality natural gas;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Our interests in both operating and construction projects. </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color w:val="000000"/>
        </w:rPr>
        <w:t>•</w:t>
      </w:r>
      <w:r>
        <w:rPr>
          <w:rFonts w:ascii="Times New Roman;sans-serif" w:hAnsi="Times New Roman;sans-serif"/>
          <w:b/>
          <w:color w:val="000000"/>
          <w:sz w:val="20"/>
        </w:rPr>
        <w:t xml:space="preserve">Fuel Station Services. </w:t>
      </w:r>
      <w:r>
        <w:rPr>
          <w:rFonts w:ascii="Times New Roman;sans-serif" w:hAnsi="Times New Roman;sans-serif"/>
          <w:b w:val="false"/>
          <w:color w:val="000000"/>
          <w:sz w:val="20"/>
        </w:rPr>
        <w:t>Through its Fuel Station Services segment</w:t>
      </w:r>
      <w:r>
        <w:rPr>
          <w:rFonts w:ascii="Times New Roman;sans-serif" w:hAnsi="Times New Roman;sans-serif"/>
          <w:b/>
          <w:color w:val="000000"/>
          <w:sz w:val="20"/>
        </w:rPr>
        <w:t xml:space="preserve">, </w:t>
      </w:r>
      <w:r>
        <w:rPr>
          <w:rFonts w:ascii="Times New Roman;sans-serif" w:hAnsi="Times New Roman;sans-serif"/>
          <w:b w:val="false"/>
          <w:color w:val="000000"/>
          <w:sz w:val="20"/>
        </w:rPr>
        <w:t>we provide construction and maintenance services to third-party owners of vehicle Fueling Stations and performs fuel dispensing activities including generation and minting of environmental credits. This segment includes:</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color w:val="000000"/>
        </w:rPr>
        <w:t>◦</w:t>
      </w:r>
      <w:r>
        <w:rPr>
          <w:rFonts w:ascii="Times New Roman;sans-serif" w:hAnsi="Times New Roman;sans-serif"/>
          <w:b w:val="false"/>
          <w:color w:val="000000"/>
          <w:sz w:val="20"/>
        </w:rPr>
        <w:t xml:space="preserve">Manufacturing division that builds compact fueling systems and defueling systems; </w:t>
      </w:r>
    </w:p>
    <w:p>
      <w:pPr>
        <w:pStyle w:val="TextBody"/>
        <w:bidi w:val="0"/>
        <w:spacing w:lineRule="auto" w:line="276" w:before="0" w:after="0"/>
        <w:ind w:left="0" w:right="0" w:hanging="540"/>
        <w:jc w:val="left"/>
        <w:rPr/>
      </w:pPr>
      <w:r>
        <w:rPr>
          <w:color w:val="000000"/>
        </w:rPr>
        <w:t>◦</w:t>
      </w:r>
      <w:r>
        <w:rPr>
          <w:rFonts w:ascii="Times New Roman;sans-serif" w:hAnsi="Times New Roman;sans-serif"/>
          <w:b w:val="false"/>
          <w:color w:val="000000"/>
          <w:sz w:val="20"/>
        </w:rPr>
        <w:t>Design/Build contracts where the Company serves as general contractor for construction of Fueling Stations, typically structured as Guarantee Maximum Price or fixed priced contracts for customers, generally lasting less than one year;</w:t>
      </w:r>
    </w:p>
    <w:p>
      <w:pPr>
        <w:pStyle w:val="TextBody"/>
        <w:bidi w:val="0"/>
        <w:spacing w:lineRule="auto" w:line="276" w:before="0" w:after="0"/>
        <w:ind w:left="0" w:right="0" w:hanging="540"/>
        <w:jc w:val="left"/>
        <w:rPr/>
      </w:pPr>
      <w:r>
        <w:rPr>
          <w:color w:val="000000"/>
        </w:rPr>
        <w:t>◦</w:t>
      </w:r>
      <w:r>
        <w:rPr>
          <w:rFonts w:ascii="Times New Roman;sans-serif" w:hAnsi="Times New Roman;sans-serif"/>
          <w:b w:val="false"/>
          <w:color w:val="000000"/>
          <w:sz w:val="20"/>
        </w:rPr>
        <w:t xml:space="preserve">Service and maintenance contracts for RNG/CNG Fueling Stations; and </w:t>
      </w:r>
    </w:p>
    <w:p>
      <w:pPr>
        <w:pStyle w:val="TextBody"/>
        <w:bidi w:val="0"/>
        <w:spacing w:lineRule="auto" w:line="276" w:before="0" w:after="0"/>
        <w:ind w:left="0" w:right="0" w:hanging="540"/>
        <w:jc w:val="left"/>
        <w:rPr/>
      </w:pPr>
      <w:r>
        <w:rPr>
          <w:color w:val="000000"/>
        </w:rPr>
        <w:t>◦</w:t>
      </w:r>
      <w:r>
        <w:rPr>
          <w:rFonts w:ascii="Times New Roman;sans-serif" w:hAnsi="Times New Roman;sans-serif"/>
          <w:b w:val="false"/>
          <w:color w:val="000000"/>
          <w:sz w:val="20"/>
        </w:rPr>
        <w:t xml:space="preserve">RNG and CNG Fuel Dispensing Stations - This includes both the dispensing (or sale) of RNG, CNG, and environmental credit generation and monetization. We operate Fueling Stations that dispense both CNG and RNG fuel for vehicles. </w:t>
      </w:r>
    </w:p>
    <w:p>
      <w:pPr>
        <w:pStyle w:val="TextBody"/>
        <w:bidi w:val="0"/>
        <w:spacing w:before="0" w:after="0"/>
        <w:ind w:left="0" w:right="0" w:hanging="180"/>
        <w:jc w:val="left"/>
        <w:rPr/>
      </w:pPr>
      <w:r>
        <w:rPr/>
      </w:r>
    </w:p>
    <w:p>
      <w:pPr>
        <w:pStyle w:val="TextBody"/>
        <w:bidi w:val="0"/>
        <w:spacing w:lineRule="auto" w:line="288" w:before="0" w:after="0"/>
        <w:ind w:left="0" w:right="0" w:hanging="540"/>
        <w:jc w:val="both"/>
        <w:rPr/>
      </w:pPr>
      <w:r>
        <w:rPr>
          <w:color w:val="000000"/>
        </w:rPr>
        <w:t>•</w:t>
      </w:r>
      <w:r>
        <w:rPr>
          <w:rFonts w:ascii="Times New Roman;sans-serif" w:hAnsi="Times New Roman;sans-serif"/>
          <w:b/>
          <w:color w:val="000000"/>
          <w:sz w:val="20"/>
        </w:rPr>
        <w:t xml:space="preserve">Renewable Power Portfolio. </w:t>
      </w:r>
      <w:r>
        <w:rPr>
          <w:rFonts w:ascii="Times New Roman;sans-serif" w:hAnsi="Times New Roman;sans-serif"/>
          <w:b w:val="false"/>
          <w:color w:val="000000"/>
          <w:sz w:val="20"/>
        </w:rPr>
        <w:t xml:space="preserve">The Renewable Power segment generates Renewable Power and associated Environmental Attributes such as ISCC Carbon Credits and RECs through combustion of biogas from landfills which is then sold to public utilities throughout the United States.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costs of sales associated with each revenue category are as follows:</w:t>
      </w:r>
    </w:p>
    <w:p>
      <w:pPr>
        <w:pStyle w:val="TextBody"/>
        <w:bidi w:val="0"/>
        <w:spacing w:lineRule="auto" w:line="288" w:before="160" w:after="283"/>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Includes royalty payments to biogas site owners for the biogas we use; service provider costs; salaries and other indirect expenses related to the production process, utilities, transportation, storage, and insurance; and depreciation of production facilities.</w:t>
      </w:r>
    </w:p>
    <w:p>
      <w:pPr>
        <w:pStyle w:val="TextBody"/>
        <w:bidi w:val="0"/>
        <w:spacing w:lineRule="auto" w:line="288" w:before="160" w:after="283"/>
        <w:ind w:left="0" w:right="0" w:hanging="540"/>
        <w:jc w:val="both"/>
        <w:rPr/>
      </w:pPr>
      <w:r>
        <w:rPr>
          <w:color w:val="000000"/>
        </w:rPr>
        <w:t>•</w:t>
      </w:r>
      <w:r>
        <w:rPr>
          <w:rFonts w:ascii="Times New Roman;sans-serif" w:hAnsi="Times New Roman;sans-serif"/>
          <w:b/>
          <w:color w:val="000000"/>
          <w:sz w:val="20"/>
        </w:rPr>
        <w:t>Fuel Station Services.</w:t>
      </w:r>
      <w:r>
        <w:rPr>
          <w:color w:val="000000"/>
        </w:rPr>
        <w:t xml:space="preserve"> </w:t>
      </w:r>
      <w:r>
        <w:rPr>
          <w:rFonts w:ascii="Times New Roman;sans-serif" w:hAnsi="Times New Roman;sans-serif"/>
          <w:b w:val="false"/>
          <w:color w:val="000000"/>
          <w:sz w:val="20"/>
        </w:rPr>
        <w:t>Includes equipment supplier costs; service provider costs; and salaries and other indirect expenses.</w:t>
      </w:r>
    </w:p>
    <w:p>
      <w:pPr>
        <w:pStyle w:val="TextBody"/>
        <w:bidi w:val="0"/>
        <w:spacing w:lineRule="auto" w:line="288" w:before="160" w:after="283"/>
        <w:ind w:left="0" w:right="0" w:hanging="540"/>
        <w:jc w:val="both"/>
        <w:rPr/>
      </w:pPr>
      <w:r>
        <w:rPr>
          <w:color w:val="000000"/>
        </w:rPr>
        <w:t>•</w:t>
      </w:r>
      <w:r>
        <w:rPr>
          <w:rFonts w:ascii="Times New Roman;sans-serif" w:hAnsi="Times New Roman;sans-serif"/>
          <w:b/>
          <w:color w:val="000000"/>
          <w:sz w:val="20"/>
        </w:rPr>
        <w:t xml:space="preserve">Renewable Power. </w:t>
      </w:r>
      <w:r>
        <w:rPr>
          <w:rFonts w:ascii="Times New Roman;sans-serif" w:hAnsi="Times New Roman;sans-serif"/>
          <w:b w:val="false"/>
          <w:color w:val="000000"/>
          <w:sz w:val="20"/>
        </w:rPr>
        <w:t>Includes land usage costs; service provider costs; salaries and other indirect expenses related to the production process; utilities; and depreciation of production facilities.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consists of costs involving corporate overhead functions, including the cost of services provided to us by an affiliate, and marketing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43535"/>
                <wp:effectExtent l="0" t="0" r="0" b="0"/>
                <wp:wrapNone/>
                <wp:docPr id="55" name="Frame5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Concentration of customers and associated credit risk</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percentage of consolidated accounts receivable, net by customers that equal or exceed 10% of the consolidated accounts receivable, net as of June 30, 2024 and December 31, 2023. No other single customer accounted for 10% or greater of our consolidated accounts receivables in these periods:</w:t>
      </w:r>
    </w:p>
    <w:tbl>
      <w:tblPr>
        <w:tblW w:w="4688" w:type="dxa"/>
        <w:jc w:val="left"/>
        <w:tblInd w:w="0" w:type="dxa"/>
        <w:tblLayout w:type="fixed"/>
        <w:tblCellMar>
          <w:top w:w="28" w:type="dxa"/>
          <w:left w:w="28" w:type="dxa"/>
          <w:bottom w:w="28" w:type="dxa"/>
          <w:right w:w="28" w:type="dxa"/>
        </w:tblCellMar>
      </w:tblPr>
      <w:tblGrid>
        <w:gridCol w:w="467"/>
        <w:gridCol w:w="411"/>
        <w:gridCol w:w="412"/>
        <w:gridCol w:w="109"/>
        <w:gridCol w:w="109"/>
        <w:gridCol w:w="109"/>
        <w:gridCol w:w="257"/>
        <w:gridCol w:w="257"/>
        <w:gridCol w:w="640"/>
        <w:gridCol w:w="109"/>
        <w:gridCol w:w="109"/>
        <w:gridCol w:w="109"/>
        <w:gridCol w:w="323"/>
        <w:gridCol w:w="323"/>
        <w:gridCol w:w="944"/>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Customer A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72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Relates to sales of Environmental Attributes under Purchase and Sale agreement with NextEra.</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percentage of consolidated revenues from customers that equal 10% or greater of the consolidated revenues in the period. No other single customer accounted for more than 10% of consolidated revenues in these periods:</w:t>
      </w:r>
    </w:p>
    <w:tbl>
      <w:tblPr>
        <w:tblW w:w="5694"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31"/>
        <w:gridCol w:w="175"/>
        <w:gridCol w:w="389"/>
        <w:gridCol w:w="156"/>
        <w:gridCol w:w="156"/>
        <w:gridCol w:w="156"/>
        <w:gridCol w:w="231"/>
        <w:gridCol w:w="175"/>
        <w:gridCol w:w="389"/>
        <w:gridCol w:w="109"/>
        <w:gridCol w:w="109"/>
        <w:gridCol w:w="109"/>
        <w:gridCol w:w="214"/>
        <w:gridCol w:w="192"/>
        <w:gridCol w:w="337"/>
        <w:gridCol w:w="135"/>
        <w:gridCol w:w="135"/>
        <w:gridCol w:w="135"/>
        <w:gridCol w:w="191"/>
        <w:gridCol w:w="170"/>
        <w:gridCol w:w="39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60" w:after="283"/>
        <w:ind w:left="0" w:right="0" w:firstLine="360"/>
        <w:jc w:val="both"/>
        <w:rPr/>
      </w:pPr>
      <w:r>
        <w:rPr/>
      </w:r>
    </w:p>
    <w:p>
      <w:pPr>
        <w:pStyle w:val="TextBody"/>
        <w:bidi w:val="0"/>
        <w:spacing w:lineRule="auto" w:line="288" w:before="160" w:after="283"/>
        <w:jc w:val="both"/>
        <w:rPr/>
      </w:pPr>
      <w:r>
        <w:rPr>
          <w:rFonts w:ascii="Times New Roman;sans-serif" w:hAnsi="Times New Roman;sans-serif"/>
          <w:b/>
          <w:i/>
          <w:color w:val="000000"/>
          <w:sz w:val="20"/>
        </w:rPr>
        <w:t xml:space="preserve">Results of Operations for the three and six months ended June 30, 2024 and </w:t>
      </w:r>
      <w:r>
        <w:rPr>
          <w:rFonts w:ascii="Times New Roman;sans-serif" w:hAnsi="Times New Roman;sans-serif"/>
          <w:b w:val="false"/>
          <w:color w:val="000000"/>
          <w:sz w:val="20"/>
        </w:rPr>
        <w:t>2023</w:t>
      </w:r>
      <w:r>
        <w:rPr>
          <w:rFonts w:ascii="Times New Roman;sans-serif" w:hAnsi="Times New Roman;sans-serif"/>
          <w:b/>
          <w:i/>
          <w:color w:val="000000"/>
          <w:sz w:val="20"/>
        </w:rPr>
        <w: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Operational data</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operational data achieved for the three and six months ended June 30, 2024 and 2023:</w:t>
      </w:r>
    </w:p>
    <w:p>
      <w:pPr>
        <w:pStyle w:val="TextBody"/>
        <w:bidi w:val="0"/>
        <w:spacing w:lineRule="auto" w:line="276" w:before="1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Landfill RNG Facility Capacity and Utilization Summary</w:t>
      </w:r>
    </w:p>
    <w:p>
      <w:pPr>
        <w:pStyle w:val="TextBody"/>
        <w:bidi w:val="0"/>
        <w:spacing w:before="0" w:after="0"/>
        <w:jc w:val="left"/>
        <w:rPr/>
      </w:pPr>
      <w:r>
        <w:rPr/>
      </w:r>
    </w:p>
    <w:tbl>
      <w:tblPr>
        <w:tblW w:w="9414" w:type="dxa"/>
        <w:jc w:val="left"/>
        <w:tblInd w:w="0" w:type="dxa"/>
        <w:tblLayout w:type="fixed"/>
        <w:tblCellMar>
          <w:top w:w="28" w:type="dxa"/>
          <w:left w:w="28" w:type="dxa"/>
          <w:bottom w:w="28" w:type="dxa"/>
          <w:right w:w="28" w:type="dxa"/>
        </w:tblCellMar>
      </w:tblPr>
      <w:tblGrid>
        <w:gridCol w:w="1722"/>
        <w:gridCol w:w="1512"/>
        <w:gridCol w:w="1521"/>
        <w:gridCol w:w="109"/>
        <w:gridCol w:w="109"/>
        <w:gridCol w:w="109"/>
        <w:gridCol w:w="232"/>
        <w:gridCol w:w="174"/>
        <w:gridCol w:w="389"/>
        <w:gridCol w:w="156"/>
        <w:gridCol w:w="156"/>
        <w:gridCol w:w="156"/>
        <w:gridCol w:w="232"/>
        <w:gridCol w:w="174"/>
        <w:gridCol w:w="389"/>
        <w:gridCol w:w="109"/>
        <w:gridCol w:w="109"/>
        <w:gridCol w:w="109"/>
        <w:gridCol w:w="214"/>
        <w:gridCol w:w="192"/>
        <w:gridCol w:w="337"/>
        <w:gridCol w:w="135"/>
        <w:gridCol w:w="135"/>
        <w:gridCol w:w="135"/>
        <w:gridCol w:w="214"/>
        <w:gridCol w:w="192"/>
        <w:gridCol w:w="393"/>
      </w:tblGrid>
      <w:tr>
        <w:trPr/>
        <w:tc>
          <w:tcPr>
            <w:tcW w:w="172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Landfill RNG Facility Capacity and Utilization</w:t>
            </w:r>
            <w:r>
              <w:rPr>
                <w:rFonts w:ascii="Times New Roman;sans-serif" w:hAnsi="Times New Roman;sans-serif"/>
                <w:b/>
                <w:color w:val="000000"/>
                <w:sz w:val="13"/>
              </w:rPr>
              <w:t>(1)(2)(3)(4)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Design Capacity (Million MMBtus)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of Inlet Gas (Million MMBtus)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Inlet Design Capacity Utilization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produced (Million MMBtus)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Utilization of Inlet Gas (%)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 xml:space="preserve">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43535"/>
                <wp:effectExtent l="0" t="0" r="0" b="0"/>
                <wp:wrapNone/>
                <wp:docPr id="56" name="Frame5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Utilization of Inlet Gas is measured as RNG Fuel Volume Produced divided by the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80% to 90%.</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2"/>
        </w:rPr>
        <w:t xml:space="preserve">(4) </w:t>
      </w:r>
      <w:r>
        <w:rPr>
          <w:rFonts w:ascii="Times New Roman;sans-serif" w:hAnsi="Times New Roman;sans-serif"/>
          <w:b w:val="false"/>
          <w:color w:val="000000"/>
          <w:sz w:val="18"/>
        </w:rPr>
        <w:t xml:space="preserve">Data not available for the Company's dairy projects, i.e., Sunoma and Biotown.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2"/>
        </w:rPr>
        <w:t>(5)</w:t>
      </w:r>
      <w:r>
        <w:rPr>
          <w:color w:val="000000"/>
        </w:rPr>
        <w:t xml:space="preserve"> </w:t>
      </w:r>
      <w:r>
        <w:rPr>
          <w:rFonts w:ascii="Times New Roman;sans-serif" w:hAnsi="Times New Roman;sans-serif"/>
          <w:b w:val="false"/>
          <w:color w:val="000000"/>
          <w:sz w:val="18"/>
        </w:rPr>
        <w:t xml:space="preserve">Utilization of Inlet Gas (%) is lower for the three and six months ended </w:t>
      </w:r>
      <w:r>
        <w:rPr>
          <w:rFonts w:ascii="Times New Roman;sans-serif" w:hAnsi="Times New Roman;sans-serif"/>
          <w:b w:val="false"/>
          <w:color w:val="000000"/>
          <w:sz w:val="20"/>
        </w:rPr>
        <w:t>June 30, 2024 primarily due to Emerald RNG project which is in the start up phase as it commenced operations in the fourth quarter of 2023.</w:t>
      </w:r>
    </w:p>
    <w:p>
      <w:pPr>
        <w:pStyle w:val="TextBody"/>
        <w:bidi w:val="0"/>
        <w:spacing w:before="0" w:after="0"/>
        <w:jc w:val="both"/>
        <w:rPr/>
      </w:pPr>
      <w:r>
        <w:rPr/>
      </w:r>
    </w:p>
    <w:p>
      <w:pPr>
        <w:pStyle w:val="TextBody"/>
        <w:bidi w:val="0"/>
        <w:spacing w:before="0" w:after="0"/>
        <w:jc w:val="both"/>
        <w:rPr/>
      </w:pPr>
      <w:r>
        <w:rPr/>
      </w:r>
    </w:p>
    <w:tbl>
      <w:tblPr>
        <w:tblW w:w="10013" w:type="dxa"/>
        <w:jc w:val="left"/>
        <w:tblInd w:w="0" w:type="dxa"/>
        <w:tblLayout w:type="fixed"/>
        <w:tblCellMar>
          <w:top w:w="28" w:type="dxa"/>
          <w:left w:w="28" w:type="dxa"/>
          <w:bottom w:w="28" w:type="dxa"/>
          <w:right w:w="28" w:type="dxa"/>
        </w:tblCellMar>
      </w:tblPr>
      <w:tblGrid>
        <w:gridCol w:w="1635"/>
        <w:gridCol w:w="1437"/>
        <w:gridCol w:w="1442"/>
        <w:gridCol w:w="109"/>
        <w:gridCol w:w="109"/>
        <w:gridCol w:w="109"/>
        <w:gridCol w:w="352"/>
        <w:gridCol w:w="264"/>
        <w:gridCol w:w="389"/>
        <w:gridCol w:w="156"/>
        <w:gridCol w:w="156"/>
        <w:gridCol w:w="156"/>
        <w:gridCol w:w="352"/>
        <w:gridCol w:w="264"/>
        <w:gridCol w:w="389"/>
        <w:gridCol w:w="109"/>
        <w:gridCol w:w="109"/>
        <w:gridCol w:w="109"/>
        <w:gridCol w:w="326"/>
        <w:gridCol w:w="290"/>
        <w:gridCol w:w="337"/>
        <w:gridCol w:w="135"/>
        <w:gridCol w:w="135"/>
        <w:gridCol w:w="135"/>
        <w:gridCol w:w="326"/>
        <w:gridCol w:w="290"/>
        <w:gridCol w:w="393"/>
      </w:tblGrid>
      <w:tr>
        <w:trPr/>
        <w:tc>
          <w:tcPr>
            <w:tcW w:w="163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Renewable Power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Nameplate Capacity (MW per hour)</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Nameplate Capacity for the period (Millions MWh)</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Renewable Power produced (Millions MWh)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Design Capacity Utilization (%)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Nameplate Capacity for Renewable Power facilities is the manufacturer’s expected capacity at ISO conditions for each facility and may not reflect actual production from the projects, which depends on many variables including, but not limited to, (i) quantity and quality of the biogas, (ii) operational up-time of the facility, including dispatch and maintenance downtime and (iii) actual efficiency of the facility.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Nameplate Capacity Utilization for Renewable Power facilities is measured as Renewable Power Produced divided by Design Capacity for the period. Given (i) built-in un-utilized capacity from historical designs, (ii) availability (a function of higher maintenance requirements compared to RNG facilities) and (iii) commencement of operations of the Emerald RNG facility, which will result in low levels of dispatch for the Arbor Hills facility (which will operate on a standby basis but remain in the operating portfolio), the Company’s Design Capacity Utilization is expected to remain below 50%.</w:t>
      </w:r>
    </w:p>
    <w:p>
      <w:pPr>
        <w:pStyle w:val="TextBody"/>
        <w:bidi w:val="0"/>
        <w:spacing w:before="160" w:after="283"/>
        <w:ind w:left="0" w:right="0" w:firstLine="360"/>
        <w:jc w:val="both"/>
        <w:rPr/>
      </w:pPr>
      <w:r>
        <w:rPr/>
      </w:r>
    </w:p>
    <w:tbl>
      <w:tblPr>
        <w:tblW w:w="9675" w:type="dxa"/>
        <w:jc w:val="left"/>
        <w:tblInd w:w="0" w:type="dxa"/>
        <w:tblLayout w:type="fixed"/>
        <w:tblCellMar>
          <w:top w:w="28" w:type="dxa"/>
          <w:left w:w="28" w:type="dxa"/>
          <w:bottom w:w="28" w:type="dxa"/>
          <w:right w:w="28" w:type="dxa"/>
        </w:tblCellMar>
      </w:tblPr>
      <w:tblGrid>
        <w:gridCol w:w="1440"/>
        <w:gridCol w:w="1265"/>
        <w:gridCol w:w="1269"/>
        <w:gridCol w:w="109"/>
        <w:gridCol w:w="109"/>
        <w:gridCol w:w="109"/>
        <w:gridCol w:w="291"/>
        <w:gridCol w:w="291"/>
        <w:gridCol w:w="291"/>
        <w:gridCol w:w="291"/>
        <w:gridCol w:w="291"/>
        <w:gridCol w:w="291"/>
        <w:gridCol w:w="291"/>
        <w:gridCol w:w="291"/>
        <w:gridCol w:w="291"/>
        <w:gridCol w:w="109"/>
        <w:gridCol w:w="109"/>
        <w:gridCol w:w="109"/>
        <w:gridCol w:w="258"/>
        <w:gridCol w:w="258"/>
        <w:gridCol w:w="258"/>
        <w:gridCol w:w="258"/>
        <w:gridCol w:w="258"/>
        <w:gridCol w:w="258"/>
        <w:gridCol w:w="258"/>
        <w:gridCol w:w="258"/>
        <w:gridCol w:w="36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2024</w:t>
            </w:r>
          </w:p>
        </w:tc>
        <w:tc>
          <w:tcPr>
            <w:tcW w:w="7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produced (Million MMBtus)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sold (Million GGEs)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volume delivered (Million GGEs)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RNG projects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RNG projects in operation and construction in our portfolio as of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43535"/>
                <wp:effectExtent l="0" t="0" r="0" b="0"/>
                <wp:wrapNone/>
                <wp:docPr id="57" name="Frame5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5"/>
        <w:gridCol w:w="606"/>
        <w:gridCol w:w="610"/>
        <w:gridCol w:w="1245"/>
        <w:gridCol w:w="1039"/>
        <w:gridCol w:w="1043"/>
        <w:gridCol w:w="383"/>
        <w:gridCol w:w="383"/>
        <w:gridCol w:w="385"/>
        <w:gridCol w:w="379"/>
        <w:gridCol w:w="379"/>
        <w:gridCol w:w="381"/>
        <w:gridCol w:w="755"/>
        <w:gridCol w:w="755"/>
        <w:gridCol w:w="1077"/>
      </w:tblGrid>
      <w:tr>
        <w:trPr/>
        <w:tc>
          <w:tcPr>
            <w:tcW w:w="78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OPAL's Share of Design capacity (MMBtus per year) </w:t>
            </w:r>
            <w:r>
              <w:rPr>
                <w:rFonts w:ascii="Times New Roman;sans-serif" w:hAnsi="Times New Roman;sans-serif"/>
                <w:b/>
                <w:color w:val="000000"/>
                <w:sz w:val="13"/>
              </w:rPr>
              <w:t>(1)</w:t>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Source of biogas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Ownership </w:t>
            </w:r>
            <w:r>
              <w:rPr>
                <w:rFonts w:ascii="Times New Roman;sans-serif" w:hAnsi="Times New Roman;sans-serif"/>
                <w:b/>
                <w:color w:val="000000"/>
                <w:sz w:val="13"/>
              </w:rPr>
              <w:t>(2)</w:t>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Expected Commercial Operation Date </w:t>
            </w:r>
            <w:r>
              <w:rPr>
                <w:rFonts w:ascii="Times New Roman;sans-serif" w:hAnsi="Times New Roman;sans-serif"/>
                <w:b/>
                <w:color w:val="000000"/>
                <w:sz w:val="13"/>
              </w:rPr>
              <w:t>(5)</w:t>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operation:</w:t>
            </w:r>
          </w:p>
        </w:tc>
        <w:tc>
          <w:tcPr>
            <w:tcW w:w="3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Greentree</w:t>
            </w:r>
          </w:p>
        </w:tc>
        <w:tc>
          <w:tcPr>
            <w:tcW w:w="2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Imperial</w:t>
            </w:r>
          </w:p>
        </w:tc>
        <w:tc>
          <w:tcPr>
            <w:tcW w:w="2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Emerald </w:t>
            </w:r>
            <w:r>
              <w:rPr>
                <w:rFonts w:ascii="Times New Roman;sans-serif" w:hAnsi="Times New Roman;sans-serif"/>
                <w:b w:val="false"/>
                <w:color w:val="000000"/>
                <w:sz w:val="13"/>
              </w:rPr>
              <w:t xml:space="preserve">(2) </w:t>
            </w:r>
          </w:p>
        </w:tc>
        <w:tc>
          <w:tcPr>
            <w:tcW w:w="2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1,327,140 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River</w:t>
            </w:r>
          </w:p>
        </w:tc>
        <w:tc>
          <w:tcPr>
            <w:tcW w:w="2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663,570 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Noble Road </w:t>
            </w:r>
            <w:r>
              <w:rPr>
                <w:rFonts w:ascii="Times New Roman;sans-serif" w:hAnsi="Times New Roman;sans-serif"/>
                <w:b w:val="false"/>
                <w:color w:val="000000"/>
                <w:sz w:val="13"/>
              </w:rPr>
              <w:t>(2)</w:t>
            </w:r>
          </w:p>
        </w:tc>
        <w:tc>
          <w:tcPr>
            <w:tcW w:w="2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464,499 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Pine Bend </w:t>
            </w:r>
            <w:r>
              <w:rPr>
                <w:rFonts w:ascii="Times New Roman;sans-serif" w:hAnsi="Times New Roman;sans-serif"/>
                <w:b w:val="false"/>
                <w:color w:val="000000"/>
                <w:sz w:val="13"/>
              </w:rPr>
              <w:t>(2)</w:t>
            </w:r>
          </w:p>
        </w:tc>
        <w:tc>
          <w:tcPr>
            <w:tcW w:w="2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424,685 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Biotown </w:t>
            </w:r>
            <w:r>
              <w:rPr>
                <w:rFonts w:ascii="Times New Roman;sans-serif" w:hAnsi="Times New Roman;sans-serif"/>
                <w:b w:val="false"/>
                <w:color w:val="000000"/>
                <w:sz w:val="13"/>
              </w:rPr>
              <w:t>(2)</w:t>
            </w:r>
          </w:p>
        </w:tc>
        <w:tc>
          <w:tcPr>
            <w:tcW w:w="2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48,573 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Sunoma </w:t>
            </w:r>
            <w:r>
              <w:rPr>
                <w:rFonts w:ascii="Times New Roman;sans-serif" w:hAnsi="Times New Roman;sans-serif"/>
                <w:b w:val="false"/>
                <w:color w:val="000000"/>
                <w:sz w:val="13"/>
              </w:rPr>
              <w:t>(3)</w:t>
            </w:r>
          </w:p>
        </w:tc>
        <w:tc>
          <w:tcPr>
            <w:tcW w:w="2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192,350 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Prince William </w:t>
            </w:r>
            <w:r>
              <w:rPr>
                <w:rFonts w:ascii="Times New Roman;sans-serif" w:hAnsi="Times New Roman;sans-serif"/>
                <w:b w:val="false"/>
                <w:color w:val="000000"/>
                <w:sz w:val="13"/>
              </w:rPr>
              <w:t>(4)</w:t>
            </w:r>
          </w:p>
        </w:tc>
        <w:tc>
          <w:tcPr>
            <w:tcW w:w="2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1,725,282 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2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6,969,523 </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construction:</w:t>
            </w:r>
          </w:p>
        </w:tc>
        <w:tc>
          <w:tcPr>
            <w:tcW w:w="3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Hilltop </w:t>
            </w:r>
            <w:r>
              <w:rPr>
                <w:rFonts w:ascii="Times New Roman;sans-serif" w:hAnsi="Times New Roman;sans-serif"/>
                <w:b w:val="false"/>
                <w:color w:val="000000"/>
                <w:sz w:val="13"/>
              </w:rPr>
              <w:t>(6)</w:t>
            </w:r>
          </w:p>
        </w:tc>
        <w:tc>
          <w:tcPr>
            <w:tcW w:w="2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Footnote 6</w:t>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Vander Schaaf </w:t>
            </w:r>
            <w:r>
              <w:rPr>
                <w:rFonts w:ascii="Times New Roman;sans-serif" w:hAnsi="Times New Roman;sans-serif"/>
                <w:b w:val="false"/>
                <w:color w:val="000000"/>
                <w:sz w:val="13"/>
              </w:rPr>
              <w:t>(6)</w:t>
            </w:r>
          </w:p>
        </w:tc>
        <w:tc>
          <w:tcPr>
            <w:tcW w:w="2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Footnote 6</w:t>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Polk County</w:t>
            </w:r>
          </w:p>
        </w:tc>
        <w:tc>
          <w:tcPr>
            <w:tcW w:w="2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1,060,000 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Fourth quarter 2024</w:t>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Sapphire </w:t>
            </w:r>
            <w:r>
              <w:rPr>
                <w:rFonts w:ascii="Times New Roman;sans-serif" w:hAnsi="Times New Roman;sans-serif"/>
                <w:b w:val="false"/>
                <w:color w:val="000000"/>
                <w:sz w:val="13"/>
              </w:rPr>
              <w:t>(2)</w:t>
            </w:r>
          </w:p>
        </w:tc>
        <w:tc>
          <w:tcPr>
            <w:tcW w:w="2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796,284 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Third quarter 2024</w:t>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Atlantic </w:t>
            </w:r>
            <w:r>
              <w:rPr>
                <w:rFonts w:ascii="Times New Roman;sans-serif" w:hAnsi="Times New Roman;sans-serif"/>
                <w:b w:val="false"/>
                <w:color w:val="000000"/>
                <w:sz w:val="13"/>
              </w:rPr>
              <w:t>(2)</w:t>
            </w:r>
          </w:p>
        </w:tc>
        <w:tc>
          <w:tcPr>
            <w:tcW w:w="2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331,785 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Third quarter 2025</w:t>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Cottonwood </w:t>
            </w:r>
            <w:r>
              <w:rPr>
                <w:rFonts w:ascii="Times New Roman;sans-serif" w:hAnsi="Times New Roman;sans-serif"/>
                <w:b w:val="false"/>
                <w:color w:val="000000"/>
                <w:sz w:val="13"/>
              </w:rPr>
              <w:t>(7)</w:t>
            </w:r>
          </w:p>
        </w:tc>
        <w:tc>
          <w:tcPr>
            <w:tcW w:w="2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664,884 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Footnote 7</w:t>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2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3,363,953 </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10,333,476 </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color w:val="000000"/>
          <w:sz w:val="13"/>
        </w:rPr>
        <w:t>(1)</w:t>
      </w:r>
      <w:r>
        <w:rPr>
          <w:color w:val="000000"/>
        </w:rPr>
        <w:t xml:space="preserve"> </w:t>
      </w:r>
      <w:r>
        <w:rPr>
          <w:rFonts w:ascii="Times New Roman;sans-serif" w:hAnsi="Times New Roman;sans-serif"/>
          <w:b w:val="false"/>
          <w:color w:val="000000"/>
          <w:sz w:val="20"/>
        </w:rPr>
        <w:t>Reflects the Company’s ownership share of design capacity for projects that are not 100% owned by the Company (i.e., net of joint venture partners’ ownership). Design capacity is measured as the volume of feedstock biogas that the plant is capable of accepting at the inlet and processing and may not reflect actual production of RNG from the projects, which will depend on many variables including, but not limited to, (i) quantity and quality of the biogas, (ii) operational up-time of the facility and (iii) actual efficiency of the facility.</w:t>
      </w:r>
    </w:p>
    <w:p>
      <w:pPr>
        <w:pStyle w:val="TextBody"/>
        <w:bidi w:val="0"/>
        <w:spacing w:lineRule="auto" w:line="288" w:before="240" w:after="283"/>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We record our ownership interests in these projects as equity method investments in our consolidated financial statements.</w:t>
      </w:r>
    </w:p>
    <w:p>
      <w:pPr>
        <w:pStyle w:val="TextBody"/>
        <w:bidi w:val="0"/>
        <w:spacing w:lineRule="auto" w:line="288" w:before="240" w:after="283"/>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This project has provisions that will adjust or “flip” the percentage of distributions to be made to us over time, typically triggered by achievement of hurdle rates that are calculated as internal rates of return on capital invested in the project.</w:t>
      </w:r>
    </w:p>
    <w:p>
      <w:pPr>
        <w:pStyle w:val="TextBody"/>
        <w:bidi w:val="0"/>
        <w:spacing w:lineRule="auto" w:line="288" w:before="240" w:after="283"/>
        <w:jc w:val="both"/>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20"/>
        </w:rPr>
        <w:t>Prince William commenced the start-up phase of operations in April 2024.</w:t>
      </w:r>
    </w:p>
    <w:p>
      <w:pPr>
        <w:pStyle w:val="TextBody"/>
        <w:bidi w:val="0"/>
        <w:spacing w:lineRule="auto" w:line="288" w:before="240" w:after="283"/>
        <w:jc w:val="both"/>
        <w:rPr/>
      </w:pPr>
      <w:r>
        <w:rPr>
          <w:rFonts w:ascii="Times New Roman;sans-serif" w:hAnsi="Times New Roman;sans-serif"/>
          <w:b w:val="false"/>
          <w:color w:val="000000"/>
          <w:sz w:val="13"/>
        </w:rPr>
        <w:t xml:space="preserve">(5) </w:t>
      </w:r>
      <w:r>
        <w:rPr>
          <w:rFonts w:ascii="Times New Roman;sans-serif" w:hAnsi="Times New Roman;sans-serif"/>
          <w:b w:val="false"/>
          <w:color w:val="000000"/>
          <w:sz w:val="20"/>
        </w:rPr>
        <w:t>Expected Commercial Operation Date (“COD”) for commencement of the RNG projects in construction is based on the Company’s estimate as of the date of this report. CODs are estimates and are subject to change as a result of, among other factors out of the Company’s control: (i) regulatory/permitting approval timing, (ii) disruption in supply chains and (iii) construction timing.</w:t>
      </w:r>
    </w:p>
    <w:p>
      <w:pPr>
        <w:pStyle w:val="TextBody"/>
        <w:bidi w:val="0"/>
        <w:spacing w:lineRule="auto" w:line="288" w:before="240" w:after="283"/>
        <w:jc w:val="both"/>
        <w:rPr/>
      </w:pPr>
      <w:r>
        <w:rPr>
          <w:rFonts w:ascii="Times New Roman;sans-serif" w:hAnsi="Times New Roman;sans-serif"/>
          <w:b w:val="false"/>
          <w:color w:val="000000"/>
          <w:sz w:val="13"/>
        </w:rPr>
        <w:t xml:space="preserve">(6) </w:t>
      </w:r>
      <w:r>
        <w:rPr>
          <w:rFonts w:ascii="Times New Roman;sans-serif" w:hAnsi="Times New Roman;sans-serif"/>
          <w:b w:val="false"/>
          <w:color w:val="000000"/>
          <w:sz w:val="20"/>
        </w:rPr>
        <w:t>Please see Part II, Item 1: Legal Proceedings and</w:t>
      </w:r>
      <w:r>
        <w:rPr>
          <w:color w:val="000000"/>
          <w:shd w:fill="FFFFFF" w:val="clear"/>
        </w:rPr>
        <w:t xml:space="preserve"> </w:t>
      </w:r>
      <w:r>
        <w:rPr>
          <w:rFonts w:ascii="Times New Roman;sans-serif" w:hAnsi="Times New Roman;sans-serif"/>
          <w:b w:val="false"/>
          <w:color w:val="000000"/>
          <w:sz w:val="20"/>
          <w:shd w:fill="FFFFFF" w:val="clear"/>
        </w:rPr>
        <w:t xml:space="preserve">Note 17 - </w:t>
      </w:r>
      <w:r>
        <w:rPr>
          <w:rFonts w:ascii="Times New Roman;sans-serif" w:hAnsi="Times New Roman;sans-serif"/>
          <w:b w:val="false"/>
          <w:i/>
          <w:color w:val="000000"/>
          <w:sz w:val="20"/>
          <w:shd w:fill="FFFFFF" w:val="clear"/>
        </w:rPr>
        <w:t>Commitments and Contingencies</w:t>
      </w:r>
      <w:r>
        <w:rPr>
          <w:color w:val="000000"/>
          <w:shd w:fill="FFFFFF" w:val="clear"/>
        </w:rPr>
        <w:t xml:space="preserve"> </w:t>
      </w:r>
      <w:r>
        <w:rPr>
          <w:rFonts w:ascii="Times New Roman;sans-serif" w:hAnsi="Times New Roman;sans-serif"/>
          <w:b w:val="false"/>
          <w:color w:val="000000"/>
          <w:sz w:val="20"/>
          <w:shd w:fill="FFFFFF" w:val="clear"/>
        </w:rPr>
        <w:t xml:space="preserve">to the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43535"/>
                <wp:effectExtent l="0" t="0" r="0" b="0"/>
                <wp:wrapNone/>
                <wp:docPr id="58" name="Frame5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val="false"/>
          <w:color w:val="000000"/>
          <w:sz w:val="13"/>
          <w:shd w:fill="FFFFFF" w:val="clear"/>
        </w:rPr>
        <w:t>(7)</w:t>
      </w:r>
      <w:r>
        <w:rPr>
          <w:color w:val="000000"/>
          <w:shd w:fill="FFFFFF" w:val="clear"/>
        </w:rPr>
        <w:t xml:space="preserve"> </w:t>
      </w:r>
      <w:r>
        <w:rPr>
          <w:rFonts w:ascii="Times New Roman;sans-serif" w:hAnsi="Times New Roman;sans-serif"/>
          <w:b w:val="false"/>
          <w:color w:val="000000"/>
          <w:sz w:val="20"/>
        </w:rPr>
        <w:t>The construction of the Cottonwood project began in the second quarter of 2024 and is expected to be completed on a time frame consistent with our other RNG projects - approximately 18-20 months.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Renewable Power Projects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Renewable Power projects in operation in our portfolio:</w:t>
      </w:r>
    </w:p>
    <w:tbl>
      <w:tblPr>
        <w:tblW w:w="10205" w:type="dxa"/>
        <w:jc w:val="left"/>
        <w:tblInd w:w="0" w:type="dxa"/>
        <w:tblLayout w:type="fixed"/>
        <w:tblCellMar>
          <w:top w:w="28" w:type="dxa"/>
          <w:left w:w="28" w:type="dxa"/>
          <w:bottom w:w="28" w:type="dxa"/>
          <w:right w:w="28" w:type="dxa"/>
        </w:tblCellMar>
      </w:tblPr>
      <w:tblGrid>
        <w:gridCol w:w="1322"/>
        <w:gridCol w:w="1160"/>
        <w:gridCol w:w="1163"/>
        <w:gridCol w:w="1086"/>
        <w:gridCol w:w="1086"/>
        <w:gridCol w:w="1089"/>
        <w:gridCol w:w="963"/>
        <w:gridCol w:w="963"/>
        <w:gridCol w:w="1373"/>
      </w:tblGrid>
      <w:tr>
        <w:trPr/>
        <w:tc>
          <w:tcPr>
            <w:tcW w:w="132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Nameplate capacity (MW per hour) </w:t>
            </w:r>
            <w:r>
              <w:rPr>
                <w:rFonts w:ascii="Times New Roman;sans-serif" w:hAnsi="Times New Roman;sans-serif"/>
                <w:b/>
                <w:color w:val="000000"/>
                <w:sz w:val="13"/>
              </w:rPr>
              <w:t>(1)</w:t>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Current RNG conversion candidate </w:t>
            </w:r>
            <w:r>
              <w:rPr>
                <w:rFonts w:ascii="Times New Roman;sans-serif" w:hAnsi="Times New Roman;sans-serif"/>
                <w:b/>
                <w:color w:val="000000"/>
                <w:sz w:val="13"/>
              </w:rPr>
              <w:t>(2)</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Renewable Power Projects in operation:</w:t>
            </w:r>
          </w:p>
        </w:tc>
        <w:tc>
          <w:tcPr>
            <w:tcW w:w="3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Sycamore</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Lopez</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Miramar Energy</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Marcos</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Santa Cruz</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Diego - Miramar</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Covina</w:t>
            </w:r>
          </w:p>
        </w:tc>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 Charlotte</w:t>
            </w:r>
          </w:p>
        </w:tc>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Taunton</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Arbor Hills </w:t>
            </w:r>
            <w:r>
              <w:rPr>
                <w:rFonts w:ascii="Times New Roman;sans-serif" w:hAnsi="Times New Roman;sans-serif"/>
                <w:b w:val="false"/>
                <w:color w:val="000000"/>
                <w:sz w:val="13"/>
              </w:rPr>
              <w:t>(3)</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C&amp;C</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Albany</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Concord and CMS</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Pioneer</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Old Dominion</w:t>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0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Renewable Power projects in construction:</w:t>
            </w:r>
          </w:p>
        </w:tc>
        <w:tc>
          <w:tcPr>
            <w:tcW w:w="3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Fall River </w:t>
            </w:r>
            <w:r>
              <w:rPr>
                <w:rFonts w:ascii="Times New Roman;sans-serif" w:hAnsi="Times New Roman;sans-serif"/>
                <w:b w:val="false"/>
                <w:color w:val="000000"/>
                <w:sz w:val="13"/>
              </w:rPr>
              <w:t>(4)</w:t>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Nameplate capacity is the manufacturer’s expected capacity at ISO conditions for each facility and may not reflect actual production from the projects, which depends on many variables including, but not limited to, (i) quantity and quality of the biogas, (ii) operational up-time of the facility and (iii) actual productivity of the facility.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We have determined that some of our Renewable Power projects are currently RNG conversion candidates. The Company identifies suitable RNG conversion candidates based on highest return of capital which is driven by certain factors including, but not limited to (i) the quantity and quality of LFG, (ii) the proximity to pipeline interconnect and (iii) the ability to enter into contracts, including site leases and gas rights agreements, with host sites. The Company may change its decision to convert a Renewable Power Project into an RNG project in the future. The Company believes disclosing Renewable Power conversion candidates provides visibility into the effect of those conversions on the existing Renewable Power portfolio.</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Although the RNG conversion is completed, it is currently contemplated that the Arbor Hills Renewable Power plant will continue limited operations on a stand-by, emergency basis through March of 2031.</w:t>
      </w:r>
    </w:p>
    <w:p>
      <w:pPr>
        <w:pStyle w:val="TextBody"/>
        <w:bidi w:val="0"/>
        <w:spacing w:before="0" w:after="0"/>
        <w:jc w:val="left"/>
        <w:rPr/>
      </w:pPr>
      <w:r>
        <w:rPr/>
      </w:r>
    </w:p>
    <w:p>
      <w:pPr>
        <w:pStyle w:val="TextBody"/>
        <w:bidi w:val="0"/>
        <w:spacing w:lineRule="auto" w:line="256" w:before="0" w:after="0"/>
        <w:jc w:val="both"/>
        <w:rPr/>
      </w:pPr>
      <w:r>
        <w:rPr>
          <w:rFonts w:ascii="Times New Roman;sans-serif" w:hAnsi="Times New Roman;sans-serif"/>
          <w:b w:val="false"/>
          <w:color w:val="000000"/>
          <w:sz w:val="13"/>
          <w:shd w:fill="FFFFFF" w:val="clear"/>
        </w:rPr>
        <w:t xml:space="preserve">(4) </w:t>
      </w:r>
      <w:r>
        <w:rPr>
          <w:rFonts w:ascii="Times New Roman;sans-serif" w:hAnsi="Times New Roman;sans-serif"/>
          <w:b w:val="false"/>
          <w:color w:val="000000"/>
          <w:sz w:val="20"/>
        </w:rPr>
        <w:t>It is expected to complete construction in the fourth quarter of 2024.</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Three and Six Months Ended June 30, 2024 and 2023</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period-over-period change for each line item in the Company's statement of operations for the three and six months ended June 30, 2024 and 2023.</w:t>
      </w:r>
    </w:p>
    <w:p>
      <w:pPr>
        <w:pStyle w:val="TextBody"/>
        <w:bidi w:val="0"/>
        <w:spacing w:before="16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43535"/>
                <wp:effectExtent l="0" t="0" r="0" b="0"/>
                <wp:wrapNone/>
                <wp:docPr id="59" name="Frame5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1289" w:type="dxa"/>
        <w:jc w:val="left"/>
        <w:tblInd w:w="0" w:type="dxa"/>
        <w:tblLayout w:type="fixed"/>
        <w:tblCellMar>
          <w:top w:w="28" w:type="dxa"/>
          <w:left w:w="28" w:type="dxa"/>
          <w:bottom w:w="28" w:type="dxa"/>
          <w:right w:w="28" w:type="dxa"/>
        </w:tblCellMar>
      </w:tblPr>
      <w:tblGrid>
        <w:gridCol w:w="626"/>
        <w:gridCol w:w="287"/>
        <w:gridCol w:w="288"/>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16"/>
        <w:gridCol w:w="220"/>
        <w:gridCol w:w="382"/>
        <w:gridCol w:w="109"/>
        <w:gridCol w:w="109"/>
        <w:gridCol w:w="109"/>
        <w:gridCol w:w="211"/>
        <w:gridCol w:w="721"/>
        <w:gridCol w:w="109"/>
        <w:gridCol w:w="109"/>
        <w:gridCol w:w="109"/>
        <w:gridCol w:w="109"/>
        <w:gridCol w:w="196"/>
        <w:gridCol w:w="646"/>
        <w:gridCol w:w="109"/>
        <w:gridCol w:w="109"/>
        <w:gridCol w:w="109"/>
        <w:gridCol w:w="109"/>
        <w:gridCol w:w="196"/>
        <w:gridCol w:w="646"/>
        <w:gridCol w:w="109"/>
        <w:gridCol w:w="109"/>
        <w:gridCol w:w="109"/>
        <w:gridCol w:w="109"/>
        <w:gridCol w:w="254"/>
        <w:gridCol w:w="257"/>
        <w:gridCol w:w="437"/>
      </w:tblGrid>
      <w:tr>
        <w:trPr/>
        <w:tc>
          <w:tcPr>
            <w:tcW w:w="6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br/>
              <w:t> 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w:t>
              <w:br/>
              <w:t>Change</w:t>
            </w:r>
          </w:p>
        </w:tc>
      </w:tr>
      <w:tr>
        <w:trPr/>
        <w:tc>
          <w:tcPr>
            <w:tcW w:w="12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RNG Fuel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Project development and startup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481 </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2832 </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income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Paid-in-kind preferred dividends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color w:val="000000"/>
                <w:sz w:val="18"/>
              </w:rPr>
            </w:pPr>
            <w:r>
              <w:rPr>
                <w:rFonts w:ascii="Times New Roman;sans-serif" w:hAnsi="Times New Roman;sans-serif"/>
                <w:b/>
                <w:color w:val="000000"/>
                <w:sz w:val="18"/>
              </w:rPr>
              <w:t>Net (loss) income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43535"/>
                <wp:effectExtent l="0" t="0" r="0" b="0"/>
                <wp:wrapNone/>
                <wp:docPr id="60" name="Frame6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bl>
      <w:tblPr>
        <w:tblW w:w="10205" w:type="dxa"/>
        <w:jc w:val="left"/>
        <w:tblInd w:w="0" w:type="dxa"/>
        <w:tblLayout w:type="fixed"/>
        <w:tblCellMar>
          <w:top w:w="28" w:type="dxa"/>
          <w:left w:w="28" w:type="dxa"/>
          <w:bottom w:w="28" w:type="dxa"/>
          <w:right w:w="28" w:type="dxa"/>
        </w:tblCellMar>
      </w:tblPr>
      <w:tblGrid>
        <w:gridCol w:w="689"/>
        <w:gridCol w:w="606"/>
        <w:gridCol w:w="55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56"/>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Brown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Environmental Attributes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OPAL owned stations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RNG marketing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party station service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Electricity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Environmental Attributes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Revenues from Environmental Attributes in the RNG Fuel segment relate to revenues earned from sales of RINs and LCFSs. Revenues from RNG marketing in the Fuel Station Services segment relate to fees associated with generation and sales of RINs and LCFSs.</w:t>
      </w:r>
    </w:p>
    <w:p>
      <w:pPr>
        <w:pStyle w:val="TextBody"/>
        <w:bidi w:val="0"/>
        <w:spacing w:lineRule="auto" w:line="288" w:before="240" w:after="283"/>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Revenues from Environmental Attributes in the Renewable Power segment include revenues earned from sales of ISCC Carbon Credits and RECs.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RNG Fuel</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RNG Fuel increased by $8.8 million or 83% for the three months ended June 30, 2024 compared to the three months ended June 30, 2023. This is primarily from a $4.0 million increase from higher volume of sales of RINs, $2.0 million from higher volume of LCFSs sales and a $2.5 million increase from higher RIN pricing compared to the same period prior year. </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RNG Fuel increased by $19.8 million, or 114%, for the six months ended June 30, 2024 compared to the six months ended June 30, 2023. This is primarily due to an increase of $9.3 million from higher volumes of RINs sold as the Company made a decision to hold the RINs as inventory at hand in 2023, $8.0 million due to higher RIN pricing year over year after the EPA Set Rule was finalized in the second half of 2023, $2.3 million from the sale of LCFSs and an $0.6 million increase in management fees earned from providing services to equity method entities offset by lower brown gas sales due to a decrease in volumes year over year.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Fuel Station Services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Fuel Station Services increased by $9.3 million, or 31%, for the three months ended June 30, 2024 compared to the three months ended June 30, 2023. This is primarily due to an increase in revenues from RIN and LCFS minting services of $5.0 million from higher volumes (Emerald, Biotown), a $7.1 million increase in third party RIN sales due to increases in volumes and RIN pricing, a $0.6 million increase in third party sales of LCFSs, an increase of $2.5 million in brown gas sales due to increases in price and volumes, a $0.8 million increase from service revenues offset by a decrease in construction revenues of $6.7 million.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Fuel Station Services increased by $25.6 million, or 50%, for the six months ended June 30, 2024 compared to the six months ended June 30, 2023. This is primarily due to an increase in revenues from RIN and LCFS minting services of $9.9 million from higher volumes from new supply from facilities coming online (Emerald, Biotown),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43535"/>
                <wp:effectExtent l="0" t="0" r="0" b="0"/>
                <wp:wrapNone/>
                <wp:docPr id="61" name="Frame6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$13.3 million increase in third party RIN sales due to increases in volumes and RIN pricing, an $0.7 million increase in third party sales of LCFSs, an increase of $3.7 million in brown gas sales due to increases in price volumes, $1.0 million increase from service revenues offset by decrease in construction revenues of $2.8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Renewable Power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Renewable Power decreased by $2.2 million, or 15%, for the three months ended June 30, 2024 compared to the three months ended June 30, 2023. This is primarily due to loss of revenues of $1.3 million from the conversion of two of our Renewable Power facilities into RNG facilities, $1.3 million from decrease in electricity pricing year over year, an $0.6 million decrease in revenues from sale of ISCC carbon credits offset by increase of $1.0 million revenues from higher volumes at one of our Renewable Power facilities.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Renewable Power decreased by $7.5 million, or 25%, for the six months ended June 30, 2024 compared to the six months ended June 30, 2023. This change was attributable primarily to loss of revenues of $2.9 million from the conversion of two of our Renewable facilities into RNG facilities and planned shut down of one of our facilities, $2.3 million of lower revenues from sale of ISCC Carbon Credits and RECs, $2.5 million from decrease in electricity pricing offset by higher volumes.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RNG Fuel</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RNG Fuel increased by $0.7 million, or 9%, for the three months ended June 30, 2024 compared to the three months ended June 30, 2023. This is primarily due to Prince William coming online in second quarter of 2024.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RNG Fuel increased by $2.5 million, or 18%, for the six months ended June 30, 2024 compared to the six months ended June 30, 2023. This is primarily due to a $1.0 million increase from royalties on higher environmental credit sales, $0.7 million from Prince William coming online in second quarter of 2024, and an $0.8 million increase in operating expenses such as consumables, gas flare expenses and routine maintenance in the current year compared to prior year.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Fuel Station Services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Fuel Station Services increased by $3.5 million, or 13%, for the three months ended June 30, 2024 compared to the three months ended June 30, 2023. This is primarily due to an increase of $8.8 million in higher dispensing fees due to higher environmental credit sales offset by savings of $5.5 million in equipment, parts and construction costs, which are in line with the decrease in construction revenues.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Fuel Station Services increased by $13.5 million, or 28%, for the six months ended June 30, 2024 compared to the six months ended June 30, 2023. This is primarily due to an increase of $15.4 million in higher dispensing fees due to higher environmental credit sales offset by savings of $2.3 million in equipment, parts and construction costs, in line with the decrease in construction revenues.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Renewable Power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Renewable Power increased by $0.1 million, or 2%, for the three months ended June 30, 2024 compared to the three months ended June 30, 2023.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Renewable Power increased by $1.0 million, or 6%, for the six months ended June 30, 2024 compared to the six months ended June 30, 2023. This is primarily due to an increase in major maintenance costs and unplanned maintenance at one of our Renewable Power facilities offset by savings from conversion of two of our Renewable Power facilities into RNG facilities and lower royalties and non labor costs.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Project development and startup costs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Project development and startup costs increased by $1.8 million, or 163%, for the three months ended June 30, 2024 compared to the three months ended June 30, 2023. This is primarily due to virtual pipeline costs for Prince William offset by deconsolidation of Emerald and Sapphire in the second quarter of 2023.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Project development and startup costs increased by $0.7 million, or 24%, for the six months ended June 30, 2024 compared to the six months ended June 30, 2023. This is primarily due to virtual pipeline costs for Prince William offset by deconsolidation of Emerald and Sapphire in the second quarter of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43535"/>
                <wp:effectExtent l="0" t="0" r="0" b="0"/>
                <wp:wrapNone/>
                <wp:docPr id="62" name="Frame6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by a total of $0.9 million, or 7%, for the three months ended June 30, 2024 compared to the three months ended June 30, 2023. This is primarily due to an increase of $0.5 million in compensation expense and $0.4 million in corporate expenses such as marketing and professional fees.</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by a total of $0.5 million, or 2%, for the six months ended June 30, 2024 compared to the six months ended June 30, 2023. This is primarily due to an increase in compensation costs.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Depreciation, amortization, and accretion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marginally increased by a total of $0.6 million, or 18%, for the three months ended June 30, 2024 compared to the three months ended June 30, 2023. This is primarily due to depreciation expense on Prince William which became operational in the second quarter of 2024.</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marginally increased by a total of $0.8 million, or 11%, for the six months ended June 30, 2024 compared to the six months ended June 30, 2023. This is primarily due to depreciation expense on Prince William which became operational in the second quarter of 2024.</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(loss) from equity method investments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equity method investments increased by $4.8 million, or 481%, for the three months ended June 30, 2024 compared to the three months ended June 30, 2023. This is primarily attributable to Emerald coming online in the second half of 2023 and higher net income from Pine and Noble Road.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equity method investments increased by $8.3 million or 2832% for the six months ended June 30, 2024 compared to the six months ended June 30, 2023. This is primarily attributable to Emerald coming online in the second half of 2023 and higher net income from Pine and Noble Road.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and financing expense, net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expenses, net increased by $4.0 million, or 422%, for the three months ended June 30, 2024 compared to the three months ended June 30, 2023. This is primarily due to an increase of $3.5 million in interest expense on the OPAL Term Loan due after the refinancing in third quarter of 2023 resulting in higher borrowing and lower capitalized interest, an $0.3 million increase in amortization of deferred financing costs, and higher interest on finance leases.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financing expenses, net increased by $7.4 million, or 460%, for the six months ended June 30, 2024 compared to the six months ended June 30, 2023. This is primarily due to an increase of $6.3 million in interest expense on the OPAL Term Loan due after the refinancing in third quarter of 2023 resulting in higher outstanding debt balance and lower capitalized interest, a $1.1 million increase in commitment fees and other fees, an $0.6 million increase in interest on finance leases and amortization of deferred financing costs, $0.8 million of lower interest income offset by savings of $1.1 million of interest on a convertible note payable which was repaid in full in the third quarter of 2023 and savings of $0.3 million of interest on the Senior Secured Credit Facility as the loan was repaid in full in first quarter of 2023.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Loss on debt extinguishment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30, 2023, OPAL Intermediate Holdco 2 assigned to Paragon its rights and obligations under the OPAL Term Loan II. The joint venture partner of Paragon reimbursed the Company $826 as its portion of the transaction costs incurred.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expensed the remaining deferred financing costs of $1,895 as loss on debt extinguishment in its condensed consolidated statement of operations for the three and six months ended June 30, 2023. There was no loss on debt extinguishment for the three and six months ended June 30, 2024.</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 in fair value of derivatives, net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derivatives, net decreased by $0.4 million, or 33%, for the three months ended June 30, 2024 compared to the three months ended June 30, 2023. This is primarily attributable to $0.8 million of gain recorded on termination of interest rate swaps in June 2023 offset by $0.4 million of lower gain on earnout liabilities in June 2024.</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of derivatives, net decreased by $3.9 million, or 77%, for the six months ended June 30, 2024 compared to the six months ended June 30, 2023. This is primarily attributable to $3.4 million lower gain on earnout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43535"/>
                <wp:effectExtent l="0" t="0" r="0" b="0"/>
                <wp:wrapNone/>
                <wp:docPr id="63" name="Frame6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year over year, an $0.8 million gain recorded on termination of interest rate swaps in 2023 offset by $0.3 million of lower loss on a put option.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decreased by $122.7 million, or 100%, for the three months ended June 30, 2024 compared to the three months ended June 30, 2023. This is primarily attributable to $122.9 million gain recorded on deconsolidation of Emerald and Sapphire in 2023 offset by $0.3 million higher gain on transfer of non-financial assets to a vendor.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decreased by $121.9 million, or 99%, for the six months ended June 30, 2024 compared to the six months ended June 30, 2023. This is primarily attributable to $122.9 million gain recorded on deconsolidation of VIEs in 2023, offset by $0.7 million higher gain on transfer of non-financial assets to a vendor, and $0.3 million lower loss on warrant exchange compared to prior year.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Net (loss) income attributable to redeemable non-controlling interests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 interests decreased by $94.2 million, or 101%, for the three months ended June 30, 2024 compared to the three months ended June 30, 2023. The net income for the three months ended June 30, 2024 and 2023 reflects the portion of earnings belonging to OPAL Fuels equity holders. The decrease is primarily attributable to lower net income in the current period compared to the same prior-year period.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redeemable non-controlling interests decreased by $87.6 million, or 103%, for the six months ended June 30, 2024 compared to the six months ended June 30, 2023, and reflects the portion of earnings belonging to OPAL Fuels equity holders. The decrease is primarily attributable to lower net income in the current period compared to the same prior-year period.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Net income (loss) attributable to non-redeemable non-controlling interests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non-redeemable non-controlling interests increased by $0.4 million, or 207%, for the three months ended June 30, 2024 compared to three months ended June 30, 2023. This reflects the joint venture partners' income (loss) in certain RNG facilities in which we sold a portion of our ownership interests but are consolidated in our financial statements. These entities for the three months ended June 30, 2024 were Sunoma and Central Valley. The entities for the three months ended June 30, 2023 were Sunoma, Central Valley and two months of Emerald and Sapphire. The increase was primarily attributable to higher net income earned by Sunoma and lower net loss upon deconsolidation of Emerald and Sapphire in May 2023.</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non-redeemable non-controlling interests for the six months ended June 30, 2024 increased by $0.7 million or 141%, compared to six months ended June 30, 2023. This reflects the joint venture partners' income (loss) in certain RNG facilities in which we sold a portion of our ownership interests but are consolidated in our financial statements. These entities for the six months ended June 30, 2024 were Sunoma and Central Valley. The entities for the six months ended June 30, 2023 included Sunoma and Central Valley for the full six months and Emerald and Sapphire up to May 30, 2023. The increase was primarily attributable to higher net income earned by Sunoma and lower net loss upon deconsolidation of Emerald and Sapphire in May 2023.</w:t>
      </w:r>
    </w:p>
    <w:p>
      <w:pPr>
        <w:pStyle w:val="TextBody"/>
        <w:bidi w:val="0"/>
        <w:spacing w:lineRule="auto" w:line="268" w:before="160" w:after="283"/>
        <w:jc w:val="left"/>
        <w:rPr>
          <w:rFonts w:ascii="Times New Roman;sans-serif" w:hAnsi="Times New Roman;sans-serif"/>
          <w:b/>
          <w:i/>
          <w:color w:val="000000"/>
          <w:sz w:val="20"/>
        </w:rPr>
      </w:pPr>
      <w:r>
        <w:rPr>
          <w:rFonts w:ascii="Times New Roman;sans-serif" w:hAnsi="Times New Roman;sans-serif"/>
          <w:b/>
          <w:i/>
          <w:color w:val="000000"/>
          <w:sz w:val="20"/>
        </w:rPr>
        <w:t>Dividends on redeemable preferred non-controlling interests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Redeemable preferred non-controlling interests decreased by $0.2 million for the three months ended June 30, 2024 compared to three months ended June 30, 2023. They carry an 8% dividend payable quarterly. This decrease is primarily due to lower interest accrued on paid-in-kind interest in the current period compared to the same prior-year period as the dividends are being paid quarterly instead of being paid-in-kind.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Redeemable preferred non-controlling interests decreased by $0.4 million for the six months ended June 30, 2024 compared to six months ended June 30, 2023. They carry an 8% dividend payable quarterly. This decrease is primarily due to lower interest accrued on paid-in-kind interest in the current period compared to the same prior-year period as the dividends are being paid quarterly instead of being paid-in-kind.</w:t>
      </w:r>
    </w:p>
    <w:p>
      <w:pPr>
        <w:pStyle w:val="TextBody"/>
        <w:bidi w:val="0"/>
        <w:spacing w:before="160" w:after="283"/>
        <w:ind w:left="0" w:right="0" w:firstLine="360"/>
        <w:jc w:val="both"/>
        <w:rPr/>
      </w:pPr>
      <w:r>
        <w:rPr/>
      </w:r>
    </w:p>
    <w:p>
      <w:pPr>
        <w:pStyle w:val="TextBody"/>
        <w:bidi w:val="0"/>
        <w:spacing w:before="16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43535"/>
                <wp:effectExtent l="0" t="0" r="0" b="0"/>
                <wp:wrapNone/>
                <wp:docPr id="64" name="Frame6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our liquidity consisted of cash and cash equivalents including restricted cash of $22.4 million and $8.6 million of short term investments. Additionally, we have availability of $238.4 million under the delayed draw term loan and $36.3 million under the revolver facility under the OPAL Term Loan.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our available cash together with our other assets, expected cash flows from operations, available lines of credit under various debt facilities and access to expected sources of capital will be sufficient to meet our existing commitments for a period of at least twelve months from the date of this report. Any reduction in demand for our products or our ability to manage our production facilities may result in lower cash flows from operations which may impact our ability to make investments and may require changes to our growth plan.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had total indebtedness excluding deferred financing costs of $233.3 million in principal amount which consists of $211.6 million under the OPAL Term Loan and $21.7 million under Sunoma Loan.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operations we have arrangements for office space for our corporate headquarters under the Administrative Services Agreement as well as operating leases for office space, warehouse space, and our vehicle fleet.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make payments under our various debt instruments when due and pursue opportunities for earlier repayment and/or refinancing if and when these opportunities arise.</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 xml:space="preserve">See Note 7.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to our condensed consolidated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cash flows for the six months ended June 30, 2024 and 2023:</w:t>
      </w:r>
    </w:p>
    <w:tbl>
      <w:tblPr>
        <w:tblW w:w="7716" w:type="dxa"/>
        <w:jc w:val="left"/>
        <w:tblInd w:w="0" w:type="dxa"/>
        <w:tblLayout w:type="fixed"/>
        <w:tblCellMar>
          <w:top w:w="28" w:type="dxa"/>
          <w:left w:w="28" w:type="dxa"/>
          <w:bottom w:w="28" w:type="dxa"/>
          <w:right w:w="28" w:type="dxa"/>
        </w:tblCellMar>
      </w:tblPr>
      <w:tblGrid>
        <w:gridCol w:w="1732"/>
        <w:gridCol w:w="1525"/>
        <w:gridCol w:w="1528"/>
        <w:gridCol w:w="109"/>
        <w:gridCol w:w="109"/>
        <w:gridCol w:w="109"/>
        <w:gridCol w:w="211"/>
        <w:gridCol w:w="796"/>
        <w:gridCol w:w="109"/>
        <w:gridCol w:w="109"/>
        <w:gridCol w:w="109"/>
        <w:gridCol w:w="109"/>
        <w:gridCol w:w="211"/>
        <w:gridCol w:w="796"/>
        <w:gridCol w:w="154"/>
      </w:tblGrid>
      <w:tr>
        <w:trPr/>
        <w:tc>
          <w:tcPr>
            <w:tcW w:w="1732"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7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six months ended June 30, 2024 was $14.3 million, an increase of $6.5 million compared to $7.8 million for the six months ended June 30, 2023. The increase in cash provided by operating activities was attributable to higher operating income year over year driven by increase in revenues, increase of $8.7 million from distributions from equity method investments offset by negative working capital changes.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six months ended June 30, 2024 was $54.1 million, an increase of $25.9 million compared to the $28.2 million used in investing activities for the six months ended June 30, 2023. This was primarily driven by decrease in cash invested in short term investments of $46.7 million, a $4.8 million decrease in distributions from equity method investments ($8.7 million recorded as part of cash flows from operating activities), $8.6 million in contributions to equity method investments offset by a decrease in cash from deconsolidation of VIEs of $11.9 million in 2023, and lower payments made for the construction of various RNG generation and dispensing facilities of $22.3 million in 2024 compared to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43535"/>
                <wp:effectExtent l="0" t="0" r="0" b="0"/>
                <wp:wrapNone/>
                <wp:docPr id="65" name="Frame6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Financing Activities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six months ended June 30, 2024 was 15.0 million, an increase of $44.7 million compared to the net cash used in financing activities of $29.7 million for the six months ended June 30, 2023. This increase was primarily driven by a $15.0 million increase in proceeds from the OPAL Term Loan, a decrease of $36.6 million in repayments on the Senior Secured Facility and the OPAL Term Loan facilities, a decrease of $16.4 million paid on termination of put options in 2023, offset by an increase of $7.9 million in payments of preferred dividends, a decrease in proceeds from non-controlling interests of $12.8 million, an increase of $0.8 million in repayment on the Sunoma Loan, an increase of $0.6 million in taxes paid on vesting of equity awards, and a decrease of $0.8 million in reimbursement of financing costs by a joint venture partner.</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Capital expenditures and other cash commitments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As of June 30, 2024, we anticipate spending approximately $237.4 million in capital expenditures for the next 12 months for projects and fuel stations currently under construction and our share of contributions in our equity method investment projects. These expenditures do not include any expected contributions from our joint venture partners and primarily relate to our development and construction of new renewable energy facilities and the purchase of equipment used in our Fueling Station services and Renewable Power operations</w:t>
      </w:r>
      <w:r>
        <w:rPr>
          <w:rFonts w:ascii="Times New Roman;sans-serif" w:hAnsi="Times New Roman;sans-serif"/>
          <w:b/>
          <w:color w:val="000000"/>
          <w:sz w:val="20"/>
        </w:rPr>
        <w:t>.</w:t>
      </w:r>
      <w:r>
        <w:rPr>
          <w:color w:val="000000"/>
        </w:rPr>
        <w:t xml:space="preserve">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In addition to the above, we also have lease commitments on our vehicle fleets and office leases and quarterly amortization payment obligations under various debt facilities. Please see Note 7.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 xml:space="preserve">and Note 8.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to our condensed consolidated financial statements for additional information. </w:t>
      </w:r>
    </w:p>
    <w:p>
      <w:pPr>
        <w:pStyle w:val="TextBody"/>
        <w:bidi w:val="0"/>
        <w:spacing w:lineRule="auto" w:line="280"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and cash equivalents on hand, anticipated cash flows from operations and our access to expected sources of capital will be sufficient to meet our anticipated funding needs. We continue to pursue additional funding opportunities for growth and streamlining of our capital structure.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not required to provide the information required by this Item because it is a “smaller reporting company.”</w:t>
      </w:r>
    </w:p>
    <w:p>
      <w:pPr>
        <w:pStyle w:val="TextBody"/>
        <w:bidi w:val="0"/>
        <w:spacing w:before="24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Co-Chief Executive Officers and our Interim Chief Financial Officer (our co-principal executive officers and principal financial officer, respectively), evaluated, as of the end of the period covered by this Quarterly Report on Form 10-Q, the effectiveness of our disclosure controls and procedures as defined in Rules 13a-15(e) or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43535"/>
                <wp:effectExtent l="0" t="0" r="0" b="0"/>
                <wp:wrapNone/>
                <wp:docPr id="66" name="Frame6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that evaluation of our disclosure controls and procedures as required by Rules 13a-15(b) or 15d-15(b) under the Exchange Act, as of June 30, 2024, our Co-Chief Executive Officers and Interim Chief Financial Officer concluded that, as of such date, our disclosure controls and procedures were effective for the period covered by this report.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Controls over Financial Reporting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change in our internal control over financial reporting (as defined in Rules 13a-15(f) or 15d-15(f) under the Exchange Act) was identified in the evaluation required by Rule 13a-15(d) or 15d-15(d) under the Exchange Act during the quarter ended June 30, 2024 that has materially affected, or is reasonably likely to materially affect, our internal controls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43535"/>
                <wp:effectExtent l="0" t="0" r="0" b="0"/>
                <wp:wrapNone/>
                <wp:docPr id="67" name="Frame6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76" w:before="0" w:after="0"/>
        <w:ind w:left="0" w:right="0" w:firstLine="360"/>
        <w:jc w:val="both"/>
        <w:rPr/>
      </w:pPr>
      <w:r>
        <w:rPr>
          <w:rFonts w:ascii="Times New Roman;sans-serif" w:hAnsi="Times New Roman;sans-serif"/>
          <w:b w:val="false"/>
          <w:color w:val="000000"/>
          <w:sz w:val="20"/>
        </w:rPr>
        <w:t xml:space="preserve">From time to time, we are involved in various legal proceedings, lawsuits and claims incidental to the conduct of our business, some of which may be material. Our businesses are also subject to extensive regulation, which may result in regulatory proceedings against us. </w:t>
      </w:r>
      <w:r>
        <w:rPr>
          <w:rFonts w:ascii="Times New Roman;sans-serif" w:hAnsi="Times New Roman;sans-serif"/>
          <w:b w:val="false"/>
          <w:color w:val="000000"/>
          <w:sz w:val="20"/>
          <w:shd w:fill="FFFFFF" w:val="clear"/>
        </w:rPr>
        <w:t>We do not believe that the outcome of any of our current legal proceedings will have a material adverse impact on our business,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Central Valley Project</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In September 2021, an indirect subsidiary of the Company, MD Digester, LLC (“</w:t>
      </w:r>
      <w:r>
        <w:rPr>
          <w:rFonts w:ascii="Times New Roman;sans-serif" w:hAnsi="Times New Roman;sans-serif"/>
          <w:b/>
          <w:color w:val="000000"/>
          <w:sz w:val="20"/>
        </w:rPr>
        <w:t>MD</w:t>
      </w:r>
      <w:r>
        <w:rPr>
          <w:color w:val="000000"/>
        </w:rPr>
        <w:t>”</w:t>
      </w:r>
      <w:r>
        <w:rPr>
          <w:rFonts w:ascii="Times New Roman;sans-serif" w:hAnsi="Times New Roman;sans-serif"/>
          <w:b w:val="false"/>
          <w:color w:val="000000"/>
          <w:sz w:val="20"/>
        </w:rPr>
        <w:t>), entered into a fixed-price Engineering, Procurement and Construction Contract (an “</w:t>
      </w:r>
      <w:r>
        <w:rPr>
          <w:rFonts w:ascii="Times New Roman;sans-serif" w:hAnsi="Times New Roman;sans-serif"/>
          <w:b/>
          <w:color w:val="000000"/>
          <w:sz w:val="20"/>
        </w:rPr>
        <w:t>EPC Contract</w:t>
      </w:r>
      <w:r>
        <w:rPr>
          <w:color w:val="000000"/>
        </w:rPr>
        <w:t>”</w:t>
      </w:r>
      <w:r>
        <w:rPr>
          <w:rFonts w:ascii="Times New Roman;sans-serif" w:hAnsi="Times New Roman;sans-serif"/>
          <w:b w:val="false"/>
          <w:color w:val="000000"/>
          <w:sz w:val="20"/>
        </w:rPr>
        <w:t>) with VEC Partners, Inc. d/b/a CEI Builders (“</w:t>
      </w:r>
      <w:r>
        <w:rPr>
          <w:rFonts w:ascii="Times New Roman;sans-serif" w:hAnsi="Times New Roman;sans-serif"/>
          <w:b/>
          <w:color w:val="000000"/>
          <w:sz w:val="20"/>
        </w:rPr>
        <w:t>CEI</w:t>
      </w:r>
      <w:r>
        <w:rPr>
          <w:color w:val="000000"/>
        </w:rPr>
        <w:t>”</w:t>
      </w:r>
      <w:r>
        <w:rPr>
          <w:rFonts w:ascii="Times New Roman;sans-serif" w:hAnsi="Times New Roman;sans-serif"/>
          <w:b w:val="false"/>
          <w:color w:val="000000"/>
          <w:sz w:val="20"/>
        </w:rPr>
        <w:t>) for the design and construction of a turn-key renewable natural gas production facility using dairy cow manure as feedstock. In December 2021, a second indirect subsidiary of the Company, VS Digester, LLC (“</w:t>
      </w:r>
      <w:r>
        <w:rPr>
          <w:rFonts w:ascii="Times New Roman;sans-serif" w:hAnsi="Times New Roman;sans-serif"/>
          <w:b/>
          <w:color w:val="000000"/>
          <w:sz w:val="20"/>
        </w:rPr>
        <w:t>VS</w:t>
      </w:r>
      <w:r>
        <w:rPr>
          <w:color w:val="000000"/>
        </w:rPr>
        <w:t>”</w:t>
      </w:r>
      <w:r>
        <w:rPr>
          <w:rFonts w:ascii="Times New Roman;sans-serif" w:hAnsi="Times New Roman;sans-serif"/>
          <w:b w:val="false"/>
          <w:color w:val="000000"/>
          <w:sz w:val="20"/>
        </w:rPr>
        <w:t xml:space="preserve">) entered into a nearly identical EPC Contract with CEI for the design and construction of a second facility in connection with the same project. CEI’s performance under both of the EPC Contracts is fully bonded by a licensed surety.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CEI has submitted a series of change order requests seeking to increase the EPC Contract price under each contract by approximately $14 million (i.e., approximately $28 million in total), to cover cost escalations primarily arising from two events: (i) modifications to CEI’s design drawings required to meet its contracted performance guaranties, and (ii) the default of one of CEI’s major equipment manufacturers. The Company disputes responsibility for substantially all of the additional costs.</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On January 5, 2024, the Company filed a civil lawsuit captioned, MD Digester, LLC. et. al. vs. VEC Partners, Inc. et. al.; California Superior Court, County of San Joaquin; Action No. STK-CV-UCC-2024-0000185 and commenced a related arbitration proceeding in order to obtain a formal determination on the claims, AAA Case No. 01-24-0000-0775. The Superior Court Action will be stayed, pending an award in the AAA proceeding. The AAA proceeding has not been set for hearing. The Company and CEI and have each nominated one arbitrator (each, a “</w:t>
      </w:r>
      <w:r>
        <w:rPr>
          <w:rFonts w:ascii="Times New Roman;sans-serif" w:hAnsi="Times New Roman;sans-serif"/>
          <w:b/>
          <w:color w:val="000000"/>
          <w:sz w:val="20"/>
        </w:rPr>
        <w:t>Party-selected Arbitrator</w:t>
      </w:r>
      <w:r>
        <w:rPr>
          <w:color w:val="000000"/>
        </w:rPr>
        <w:t>”</w:t>
      </w:r>
      <w:r>
        <w:rPr>
          <w:rFonts w:ascii="Times New Roman;sans-serif" w:hAnsi="Times New Roman;sans-serif"/>
          <w:b w:val="false"/>
          <w:color w:val="000000"/>
          <w:sz w:val="20"/>
        </w:rPr>
        <w:t xml:space="preserve">) and a third arbitrator was appointed by the Party-selected Arbitrators to chair the panel. As a result of the procedural status of these matters, no discovery has occurred.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EPC Contract requires that CEI, continue working during the course of the litigation and related arbitration proceedings; however, CEI effectively stopped working. On June 26, 2024, MD issued a Notice of Default and Demand to Cure to CEI. CEI failed to do so, and on July 30, 2024, MD terminated CEI for default. MD has notified CEI’s bond surety of the termination and demanded that it perform under the bond.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11, 2024, VS issued a Notice of Default and Demand to Cure, advising CEI of its defaults and giving it an opportunity to cure. CEI’s cure period has not expired and the Company is hopeful that CEI will so cure. However, if no cure is achieved, VS intends to assess all of its options for next steps, up to and including termination of CEI and demanding performance under the applicable bond.</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its claims against CEI have substantial merit, and intends to prosecute its claims vigorously. However, due to the incipient stage of the litigation and related arbitration, the recency of the termination, and the ongoing status of the proceedings and discussions with the bond surety, as well as the uncertainties involved in all litigation and arbitration, the Company does not believe it is reasonably estimable at this time to assess the likely outcome of the litigation and related arbitration, the timing of its resolution, or its ultimate impact, if any, on the Central Valley projects or the Company's business, financial condition or results of operations.</w:t>
      </w:r>
    </w:p>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“Risk Factors” previously disclosed in our Annual Report on Form 10-K for the year ended December 31, 2023, filed with the SEC on March 15, 2024. The risks described in the Annual Report on Form 10-K for the year ended December 31, 2023 are not the only risks facing us. Additional risks and uncertainties not currently known to us or that we currently deem to be immaterial also may materially adversely affect our business, financial condition or future results.</w:t>
      </w:r>
    </w:p>
    <w:p>
      <w:pPr>
        <w:pStyle w:val="TextBody"/>
        <w:bidi w:val="0"/>
        <w:spacing w:before="160" w:after="283"/>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43535"/>
                <wp:effectExtent l="0" t="0" r="0" b="0"/>
                <wp:wrapNone/>
                <wp:docPr id="68" name="Frame6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43535"/>
                <wp:effectExtent l="0" t="0" r="0" b="0"/>
                <wp:wrapNone/>
                <wp:docPr id="69" name="Frame6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Rule 10b5-1 Trading Plans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June 30, 2024,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0"/>
        <w:gridCol w:w="359"/>
        <w:gridCol w:w="361"/>
        <w:gridCol w:w="109"/>
        <w:gridCol w:w="109"/>
        <w:gridCol w:w="109"/>
        <w:gridCol w:w="2613"/>
        <w:gridCol w:w="2527"/>
        <w:gridCol w:w="3608"/>
      </w:tblGrid>
      <w:tr>
        <w:trPr/>
        <w:tc>
          <w:tcPr>
            <w:tcW w:w="41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 xml:space="preserve">Restated Certificate of Incorporation of OPAL Fuels Inc. (incorporated by reference to Exhibit 3.1 to the Current Report on Form 8-K/A filed by the Company on August 10, 2022). </w:t>
              </w:r>
            </w:hyperlink>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Bylaws of OPAL Fuels Inc. (incorporated by reference to Exhibit 3.2 to the Current Report on Form 8-K filed by the Company on July 27, 2022)</w:t>
              </w:r>
            </w:hyperlink>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11.htm">
              <w:r>
                <w:rPr>
                  <w:rStyle w:val="InternetLink"/>
                  <w:rFonts w:ascii="Times New Roman;sans-serif" w:hAnsi="Times New Roman;sans-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12.htm">
              <w:r>
                <w:rPr>
                  <w:rStyle w:val="InternetLink"/>
                  <w:rFonts w:ascii="Times New Roman;sans-serif" w:hAnsi="Times New Roman;sans-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13.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21.htm">
              <w:r>
                <w:rPr>
                  <w:rStyle w:val="InternetLink"/>
                  <w:rFonts w:ascii="Times New Roman;sans-serif" w:hAnsi="Times New Roman;sans-serif"/>
                  <w:b w:val="false"/>
                  <w:color w:val="0000FF"/>
                  <w:sz w:val="20"/>
                  <w:u w:val="single"/>
                </w:rPr>
                <w:t>Certification of Co-Principal Executive Officer Pursuant to 18 U.S.C. Section 1350, as Adopted Pursuant to Section 906 of the Sarbanes-Oxley Act of 2002.</w:t>
              </w:r>
            </w:hyperlink>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22.htm">
              <w:r>
                <w:rPr>
                  <w:rStyle w:val="InternetLink"/>
                  <w:rFonts w:ascii="Times New Roman;sans-serif" w:hAnsi="Times New Roman;sans-serif"/>
                  <w:b w:val="false"/>
                  <w:color w:val="0000FF"/>
                  <w:sz w:val="20"/>
                  <w:u w:val="single"/>
                </w:rPr>
                <w:t>Certification of Co-Principal Executive Officer Pursuant to 18 U.S.C. Section 1350, as Adopted Pursuant to Section 906 of the Sarbanes-Oxley Act of 2002.</w:t>
              </w:r>
            </w:hyperlink>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23.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Taxonomy Extension Schema Document </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50"/>
        <w:gridCol w:w="2780"/>
        <w:gridCol w:w="39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39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Previously filed.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43535"/>
                <wp:effectExtent l="0" t="0" r="0" b="0"/>
                <wp:wrapNone/>
                <wp:docPr id="70" name="Frame7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bl>
      <w:tblPr>
        <w:tblW w:w="3161" w:type="dxa"/>
        <w:jc w:val="right"/>
        <w:tblInd w:w="0" w:type="dxa"/>
        <w:tblLayout w:type="fixed"/>
        <w:tblCellMar>
          <w:top w:w="28" w:type="dxa"/>
          <w:left w:w="28" w:type="dxa"/>
          <w:bottom w:w="28" w:type="dxa"/>
          <w:right w:w="28" w:type="dxa"/>
        </w:tblCellMar>
      </w:tblPr>
      <w:tblGrid>
        <w:gridCol w:w="271"/>
        <w:gridCol w:w="238"/>
        <w:gridCol w:w="238"/>
        <w:gridCol w:w="707"/>
        <w:gridCol w:w="707"/>
        <w:gridCol w:w="1000"/>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161"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 Chief Executive Officer</w:t>
            </w:r>
          </w:p>
        </w:tc>
      </w:tr>
    </w:tbl>
    <w:tbl>
      <w:tblPr>
        <w:tblW w:w="3162" w:type="dxa"/>
        <w:jc w:val="right"/>
        <w:tblInd w:w="0" w:type="dxa"/>
        <w:tblLayout w:type="fixed"/>
        <w:tblCellMar>
          <w:top w:w="28" w:type="dxa"/>
          <w:left w:w="28" w:type="dxa"/>
          <w:bottom w:w="28" w:type="dxa"/>
          <w:right w:w="28" w:type="dxa"/>
        </w:tblCellMar>
      </w:tblPr>
      <w:tblGrid>
        <w:gridCol w:w="271"/>
        <w:gridCol w:w="238"/>
        <w:gridCol w:w="238"/>
        <w:gridCol w:w="708"/>
        <w:gridCol w:w="708"/>
        <w:gridCol w:w="999"/>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3162"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 Chief Executive Officer</w:t>
            </w:r>
          </w:p>
        </w:tc>
      </w:tr>
    </w:tbl>
    <w:tbl>
      <w:tblPr>
        <w:tblW w:w="3386" w:type="dxa"/>
        <w:jc w:val="right"/>
        <w:tblInd w:w="0" w:type="dxa"/>
        <w:tblLayout w:type="fixed"/>
        <w:tblCellMar>
          <w:top w:w="28" w:type="dxa"/>
          <w:left w:w="28" w:type="dxa"/>
          <w:bottom w:w="28" w:type="dxa"/>
          <w:right w:w="28" w:type="dxa"/>
        </w:tblCellMar>
      </w:tblPr>
      <w:tblGrid>
        <w:gridCol w:w="271"/>
        <w:gridCol w:w="238"/>
        <w:gridCol w:w="238"/>
        <w:gridCol w:w="773"/>
        <w:gridCol w:w="773"/>
        <w:gridCol w:w="1093"/>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338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Contino</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Contino</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6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bl>
    <w:p>
      <w:pPr>
        <w:pStyle w:val="TextBody"/>
        <w:bidi w:val="0"/>
        <w:spacing w:before="240" w:after="283"/>
        <w:ind w:left="0" w:right="0" w:firstLine="72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43535"/>
                <wp:effectExtent l="0" t="0" r="0" b="0"/>
                <wp:wrapNone/>
                <wp:docPr id="71" name="Frame7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 RULES 13a-14(a) AND 15d-14(a)</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Adam Comora,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jc w:val="left"/>
        <w:rPr>
          <w:color w:val="000000"/>
          <w:shd w:fill="FFFFFF" w:val="clear"/>
        </w:rPr>
      </w:pPr>
      <w:r>
        <w:rPr>
          <w:color w:val="000000"/>
          <w:shd w:fill="FFFFFF" w:val="clear"/>
        </w:rPr>
        <w:t> </w:t>
      </w:r>
    </w:p>
    <w:tbl>
      <w:tblPr>
        <w:tblW w:w="633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34"/>
        <w:gridCol w:w="134"/>
        <w:gridCol w:w="136"/>
        <w:gridCol w:w="109"/>
        <w:gridCol w:w="109"/>
        <w:gridCol w:w="109"/>
        <w:gridCol w:w="812"/>
        <w:gridCol w:w="812"/>
        <w:gridCol w:w="115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lineRule="auto" w:line="240" w:before="0" w:after="0"/>
        <w:jc w:val="left"/>
        <w:rPr>
          <w:color w:val="000000"/>
          <w:shd w:fill="FFFFFF" w:val="clear"/>
        </w:rPr>
      </w:pPr>
      <w:r>
        <w:rPr>
          <w:color w:val="000000"/>
          <w:shd w:fill="FFFFFF" w:val="clear"/>
        </w:rPr>
        <w:t> </w:t>
      </w:r>
    </w:p>
    <w:p>
      <w:pPr>
        <w:pStyle w:val="TextBody"/>
        <w:bidi w:val="0"/>
        <w:spacing w:lineRule="auto" w:line="24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 RULES 13a-14(a) AND 15d-14(a)</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Jonathan Maurer,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jc w:val="left"/>
        <w:rPr>
          <w:color w:val="000000"/>
          <w:shd w:fill="FFFFFF" w:val="clear"/>
        </w:rPr>
      </w:pPr>
      <w:r>
        <w:rPr>
          <w:color w:val="000000"/>
          <w:shd w:fill="FFFFFF" w:val="clear"/>
        </w:rPr>
        <w:t> </w:t>
      </w:r>
    </w:p>
    <w:tbl>
      <w:tblPr>
        <w:tblW w:w="633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34"/>
        <w:gridCol w:w="134"/>
        <w:gridCol w:w="136"/>
        <w:gridCol w:w="109"/>
        <w:gridCol w:w="109"/>
        <w:gridCol w:w="109"/>
        <w:gridCol w:w="810"/>
        <w:gridCol w:w="810"/>
        <w:gridCol w:w="1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31.3</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 RULES 13a-14(a) AND 15d-14(a)</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Scott Contino,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jc w:val="left"/>
        <w:rPr>
          <w:color w:val="000000"/>
          <w:shd w:fill="FFFFFF" w:val="clear"/>
        </w:rPr>
      </w:pPr>
      <w:r>
        <w:rPr>
          <w:color w:val="000000"/>
          <w:shd w:fill="FFFFFF" w:val="clear"/>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19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34"/>
        <w:gridCol w:w="134"/>
        <w:gridCol w:w="136"/>
        <w:gridCol w:w="109"/>
        <w:gridCol w:w="109"/>
        <w:gridCol w:w="109"/>
        <w:gridCol w:w="773"/>
        <w:gridCol w:w="773"/>
        <w:gridCol w:w="109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Contino</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63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40" w:before="0" w:after="0"/>
        <w:jc w:val="left"/>
        <w:rPr>
          <w:color w:val="000000"/>
          <w:shd w:fill="FFFFFF" w:val="clear"/>
        </w:rPr>
      </w:pPr>
      <w:r>
        <w:rPr>
          <w:color w:val="000000"/>
          <w:shd w:fill="FFFFFF" w:val="clear"/>
        </w:rPr>
        <w:t>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ans-serif" w:hAnsi="Times New Roman;sans-serif"/>
          <w:b w:val="false"/>
          <w:color w:val="000000"/>
          <w:sz w:val="20"/>
          <w:shd w:fill="FFFFFF" w:val="clear"/>
        </w:rPr>
        <w:t>In connection with the Quarterly Report of OPAL Fuels Inc. (the “</w:t>
      </w:r>
      <w:r>
        <w:rPr>
          <w:rFonts w:ascii="Times New Roman;sans-serif" w:hAnsi="Times New Roman;sans-serif"/>
          <w:b w:val="false"/>
          <w:color w:val="000000"/>
          <w:sz w:val="20"/>
          <w:u w:val="single"/>
          <w:shd w:fill="FFFFFF" w:val="clear"/>
        </w:rPr>
        <w:t>Company</w:t>
      </w:r>
      <w:r>
        <w:rPr>
          <w:color w:val="000000"/>
          <w:shd w:fill="FFFFFF" w:val="clear"/>
        </w:rPr>
        <w:t>”</w:t>
      </w:r>
      <w:r>
        <w:rPr>
          <w:rFonts w:ascii="Times New Roman;sans-serif" w:hAnsi="Times New Roman;sans-serif"/>
          <w:b w:val="false"/>
          <w:color w:val="000000"/>
          <w:sz w:val="20"/>
          <w:shd w:fill="FFFFFF" w:val="clear"/>
        </w:rPr>
        <w:t>) on Form 10-Q for the three months ended June 30, 2024, as filed with the Securities and Exchange Commission on the date hereof (the “</w:t>
      </w:r>
      <w:r>
        <w:rPr>
          <w:rFonts w:ascii="Times New Roman;sans-serif" w:hAnsi="Times New Roman;sans-serif"/>
          <w:b w:val="false"/>
          <w:color w:val="000000"/>
          <w:sz w:val="20"/>
          <w:u w:val="single"/>
          <w:shd w:fill="FFFFFF" w:val="clear"/>
        </w:rPr>
        <w:t>Report</w:t>
      </w:r>
      <w:r>
        <w:rPr>
          <w:color w:val="000000"/>
          <w:shd w:fill="FFFFFF" w:val="clear"/>
        </w:rPr>
        <w:t>”</w:t>
      </w:r>
      <w:r>
        <w:rPr>
          <w:rFonts w:ascii="Times New Roman;sans-serif" w:hAnsi="Times New Roman;sans-serif"/>
          <w:b w:val="false"/>
          <w:color w:val="000000"/>
          <w:sz w:val="20"/>
          <w:shd w:fill="FFFFFF" w:val="clear"/>
        </w:rPr>
        <w:t>), I, Adam Comora, Co-Chief Executive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40" w:before="0" w:after="0"/>
        <w:jc w:val="left"/>
        <w:rPr>
          <w:color w:val="000000"/>
          <w:shd w:fill="FFFFFF" w:val="clear"/>
        </w:rPr>
      </w:pPr>
      <w:r>
        <w:rPr>
          <w:color w:val="000000"/>
          <w:shd w:fill="FFFFFF" w:val="clear"/>
        </w:rPr>
        <w:t> </w:t>
      </w:r>
    </w:p>
    <w:tbl>
      <w:tblPr>
        <w:tblW w:w="6343"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09"/>
        <w:gridCol w:w="838"/>
        <w:gridCol w:w="838"/>
        <w:gridCol w:w="118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Adam Comora</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Co-Chief Executive Officer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37565"/>
                <wp:effectExtent l="0" t="0" r="0" b="0"/>
                <wp:wrapNone/>
                <wp:docPr id="79" name="Frame7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37565"/>
                <wp:effectExtent l="0" t="0" r="0" b="0"/>
                <wp:wrapNone/>
                <wp:docPr id="80" name="Frame8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ans-serif" w:hAnsi="Times New Roman;sans-serif"/>
          <w:b w:val="false"/>
          <w:color w:val="000000"/>
          <w:sz w:val="20"/>
          <w:shd w:fill="FFFFFF" w:val="clear"/>
        </w:rPr>
        <w:t>In connection with the Quarterly Report of OPAL Fuels Inc. (the “</w:t>
      </w:r>
      <w:r>
        <w:rPr>
          <w:rFonts w:ascii="Times New Roman;sans-serif" w:hAnsi="Times New Roman;sans-serif"/>
          <w:b w:val="false"/>
          <w:color w:val="000000"/>
          <w:sz w:val="20"/>
          <w:u w:val="single"/>
          <w:shd w:fill="FFFFFF" w:val="clear"/>
        </w:rPr>
        <w:t>Company</w:t>
      </w:r>
      <w:r>
        <w:rPr>
          <w:color w:val="000000"/>
          <w:shd w:fill="FFFFFF" w:val="clear"/>
        </w:rPr>
        <w:t>”</w:t>
      </w:r>
      <w:r>
        <w:rPr>
          <w:rFonts w:ascii="Times New Roman;sans-serif" w:hAnsi="Times New Roman;sans-serif"/>
          <w:b w:val="false"/>
          <w:color w:val="000000"/>
          <w:sz w:val="20"/>
          <w:shd w:fill="FFFFFF" w:val="clear"/>
        </w:rPr>
        <w:t>) on Form 10-Q for the three months ended June 30, 2024, as filed with the Securities and Exchange Commission on the date hereof (the “</w:t>
      </w:r>
      <w:r>
        <w:rPr>
          <w:rFonts w:ascii="Times New Roman;sans-serif" w:hAnsi="Times New Roman;sans-serif"/>
          <w:b w:val="false"/>
          <w:color w:val="000000"/>
          <w:sz w:val="20"/>
          <w:u w:val="single"/>
          <w:shd w:fill="FFFFFF" w:val="clear"/>
        </w:rPr>
        <w:t>Report</w:t>
      </w:r>
      <w:r>
        <w:rPr>
          <w:color w:val="000000"/>
          <w:shd w:fill="FFFFFF" w:val="clear"/>
        </w:rPr>
        <w:t>”</w:t>
      </w:r>
      <w:r>
        <w:rPr>
          <w:rFonts w:ascii="Times New Roman;sans-serif" w:hAnsi="Times New Roman;sans-serif"/>
          <w:b w:val="false"/>
          <w:color w:val="000000"/>
          <w:sz w:val="20"/>
          <w:shd w:fill="FFFFFF" w:val="clear"/>
        </w:rPr>
        <w:t>), I, Jonathan Maurer, Co-Chief Executive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6344"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09"/>
        <w:gridCol w:w="836"/>
        <w:gridCol w:w="836"/>
        <w:gridCol w:w="119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Jonathan Maurer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Co-Chief Executive Officer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37565"/>
                <wp:effectExtent l="0" t="0" r="0" b="0"/>
                <wp:wrapNone/>
                <wp:docPr id="81" name="Frame8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37565"/>
                <wp:effectExtent l="0" t="0" r="0" b="0"/>
                <wp:wrapNone/>
                <wp:docPr id="82" name="Frame8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32.3</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ans-serif" w:hAnsi="Times New Roman;sans-serif"/>
          <w:b w:val="false"/>
          <w:color w:val="000000"/>
          <w:sz w:val="20"/>
          <w:shd w:fill="FFFFFF" w:val="clear"/>
        </w:rPr>
        <w:t>In connection with the Quarterly Report of OPAL Fuels Inc. (the “</w:t>
      </w:r>
      <w:r>
        <w:rPr>
          <w:rFonts w:ascii="Times New Roman;sans-serif" w:hAnsi="Times New Roman;sans-serif"/>
          <w:b w:val="false"/>
          <w:color w:val="000000"/>
          <w:sz w:val="20"/>
          <w:u w:val="single"/>
          <w:shd w:fill="FFFFFF" w:val="clear"/>
        </w:rPr>
        <w:t>Company</w:t>
      </w:r>
      <w:r>
        <w:rPr>
          <w:color w:val="000000"/>
          <w:shd w:fill="FFFFFF" w:val="clear"/>
        </w:rPr>
        <w:t>”</w:t>
      </w:r>
      <w:r>
        <w:rPr>
          <w:rFonts w:ascii="Times New Roman;sans-serif" w:hAnsi="Times New Roman;sans-serif"/>
          <w:b w:val="false"/>
          <w:color w:val="000000"/>
          <w:sz w:val="20"/>
          <w:shd w:fill="FFFFFF" w:val="clear"/>
        </w:rPr>
        <w:t>) on Form 10-Q for the three months ended June 30, 2024, as filed with the Securities and Exchange Commission on the date hereof (the “</w:t>
      </w:r>
      <w:r>
        <w:rPr>
          <w:rFonts w:ascii="Times New Roman;sans-serif" w:hAnsi="Times New Roman;sans-serif"/>
          <w:b w:val="false"/>
          <w:color w:val="000000"/>
          <w:sz w:val="20"/>
          <w:u w:val="single"/>
          <w:shd w:fill="FFFFFF" w:val="clear"/>
        </w:rPr>
        <w:t>Report</w:t>
      </w:r>
      <w:r>
        <w:rPr>
          <w:color w:val="000000"/>
          <w:shd w:fill="FFFFFF" w:val="clear"/>
        </w:rPr>
        <w:t>”</w:t>
      </w:r>
      <w:r>
        <w:rPr>
          <w:rFonts w:ascii="Times New Roman;sans-serif" w:hAnsi="Times New Roman;sans-serif"/>
          <w:b w:val="false"/>
          <w:color w:val="000000"/>
          <w:sz w:val="20"/>
          <w:shd w:fill="FFFFFF" w:val="clear"/>
        </w:rPr>
        <w:t>), I, Scott Contino, Interim Chief Financial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40" w:before="0" w:after="0"/>
        <w:jc w:val="left"/>
        <w:rPr>
          <w:color w:val="000000"/>
          <w:shd w:fill="FFFFFF" w:val="clear"/>
        </w:rPr>
      </w:pPr>
      <w:r>
        <w:rPr>
          <w:color w:val="000000"/>
          <w:shd w:fill="FFFFFF" w:val="clear"/>
        </w:rPr>
        <w:t> </w:t>
      </w:r>
    </w:p>
    <w:tbl>
      <w:tblPr>
        <w:tblW w:w="6613"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09"/>
        <w:gridCol w:w="918"/>
        <w:gridCol w:w="918"/>
        <w:gridCol w:w="129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Contino</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13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Scott Contino</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Interim Chief Financial Officer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837565"/>
                <wp:effectExtent l="0" t="0" r="0" b="0"/>
                <wp:wrapNone/>
                <wp:docPr id="83" name="Frame8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2279/000121390022046338/ea164030ex3-1_opal.htm" TargetMode="External"/><Relationship Id="rId3" Type="http://schemas.openxmlformats.org/officeDocument/2006/relationships/hyperlink" Target="https://www.sec.gov/Archives/edgar/data/1842279/000121390022042020/ea163248ex3-2_opal.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34860</Words>
  <Characters>188981</Characters>
  <CharactersWithSpaces>222078</CharactersWithSpaces>
  <Paragraphs>4778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