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704"/>
        <w:spacing w:after="0"/>
        <w:rPr>
          <w:sz w:val="20"/>
          <w:szCs w:val="20"/>
          <w:color w:val="auto"/>
        </w:rPr>
      </w:pPr>
      <w:r>
        <w:rPr>
          <w:rFonts w:ascii="Arial" w:cs="Arial" w:eastAsia="Arial" w:hAnsi="Arial"/>
          <w:sz w:val="22"/>
          <w:szCs w:val="22"/>
          <w:b w:val="1"/>
          <w:bCs w:val="1"/>
          <w:color w:val="auto"/>
        </w:rPr>
        <w:t>Pursuant to Section 13 or Section 15(d)</w:t>
      </w:r>
    </w:p>
    <w:p>
      <w:pPr>
        <w:ind w:left="3744"/>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Date of Report (Date of earliest event reported): March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63"/>
        <w:spacing w:after="0"/>
        <w:rPr>
          <w:sz w:val="20"/>
          <w:szCs w:val="20"/>
          <w:color w:val="auto"/>
        </w:rPr>
      </w:pPr>
      <w:r>
        <w:rPr>
          <w:rFonts w:ascii="Arial" w:cs="Arial" w:eastAsia="Arial" w:hAnsi="Arial"/>
          <w:sz w:val="43"/>
          <w:szCs w:val="43"/>
          <w:b w:val="1"/>
          <w:bCs w:val="1"/>
          <w:color w:val="auto"/>
        </w:rPr>
        <w:t>ARCLIGHT CLEAN TRANSITION CORP. II</w:t>
      </w:r>
    </w:p>
    <w:p>
      <w:pPr>
        <w:spacing w:after="0" w:line="5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4" w:type="dxa"/>
        <w:tblCellMar>
          <w:top w:w="0" w:type="dxa"/>
          <w:left w:w="0" w:type="dxa"/>
          <w:bottom w:w="0" w:type="dxa"/>
          <w:right w:w="0" w:type="dxa"/>
        </w:tblCellMar>
      </w:tblPr>
      <w:tr>
        <w:trPr>
          <w:trHeight w:val="212"/>
        </w:trPr>
        <w:tc>
          <w:tcPr>
            <w:tcW w:w="4160" w:type="dxa"/>
            <w:vAlign w:val="bottom"/>
          </w:tcPr>
          <w:p>
            <w:pPr>
              <w:jc w:val="center"/>
              <w:ind w:right="2199"/>
              <w:spacing w:after="0"/>
              <w:rPr>
                <w:sz w:val="20"/>
                <w:szCs w:val="20"/>
                <w:color w:val="auto"/>
              </w:rPr>
            </w:pPr>
            <w:r>
              <w:rPr>
                <w:rFonts w:ascii="Arial" w:cs="Arial" w:eastAsia="Arial" w:hAnsi="Arial"/>
                <w:sz w:val="18"/>
                <w:szCs w:val="18"/>
                <w:b w:val="1"/>
                <w:bCs w:val="1"/>
                <w:color w:val="auto"/>
                <w:w w:val="90"/>
              </w:rPr>
              <w:t>Cayman Islands</w:t>
            </w:r>
          </w:p>
        </w:tc>
        <w:tc>
          <w:tcPr>
            <w:tcW w:w="2200" w:type="dxa"/>
            <w:vAlign w:val="bottom"/>
          </w:tcPr>
          <w:p>
            <w:pPr>
              <w:ind w:left="140"/>
              <w:spacing w:after="0"/>
              <w:rPr>
                <w:sz w:val="20"/>
                <w:szCs w:val="20"/>
                <w:color w:val="auto"/>
              </w:rPr>
            </w:pPr>
            <w:r>
              <w:rPr>
                <w:rFonts w:ascii="Arial" w:cs="Arial" w:eastAsia="Arial" w:hAnsi="Arial"/>
                <w:sz w:val="18"/>
                <w:szCs w:val="18"/>
                <w:b w:val="1"/>
                <w:bCs w:val="1"/>
                <w:color w:val="auto"/>
              </w:rPr>
              <w:t>001-40272</w:t>
            </w:r>
          </w:p>
        </w:tc>
        <w:tc>
          <w:tcPr>
            <w:tcW w:w="2680" w:type="dxa"/>
            <w:vAlign w:val="bottom"/>
          </w:tcPr>
          <w:p>
            <w:pPr>
              <w:jc w:val="right"/>
              <w:ind w:right="201"/>
              <w:spacing w:after="0"/>
              <w:rPr>
                <w:sz w:val="20"/>
                <w:szCs w:val="20"/>
                <w:color w:val="auto"/>
              </w:rPr>
            </w:pPr>
            <w:r>
              <w:rPr>
                <w:rFonts w:ascii="Arial" w:cs="Arial" w:eastAsia="Arial" w:hAnsi="Arial"/>
                <w:sz w:val="18"/>
                <w:szCs w:val="18"/>
                <w:b w:val="1"/>
                <w:bCs w:val="1"/>
                <w:color w:val="auto"/>
              </w:rPr>
              <w:t>98-1578357</w:t>
            </w:r>
          </w:p>
        </w:tc>
      </w:tr>
      <w:tr>
        <w:trPr>
          <w:trHeight w:val="148"/>
        </w:trPr>
        <w:tc>
          <w:tcPr>
            <w:tcW w:w="4160" w:type="dxa"/>
            <w:vAlign w:val="bottom"/>
          </w:tcPr>
          <w:p>
            <w:pPr>
              <w:jc w:val="center"/>
              <w:ind w:right="21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160" w:type="dxa"/>
            <w:vAlign w:val="bottom"/>
          </w:tcPr>
          <w:p>
            <w:pPr>
              <w:jc w:val="center"/>
              <w:ind w:right="2199"/>
              <w:spacing w:after="0"/>
              <w:rPr>
                <w:sz w:val="20"/>
                <w:szCs w:val="20"/>
                <w:color w:val="auto"/>
              </w:rPr>
            </w:pPr>
            <w:r>
              <w:rPr>
                <w:rFonts w:ascii="Arial" w:cs="Arial" w:eastAsia="Arial" w:hAnsi="Arial"/>
                <w:sz w:val="14"/>
                <w:szCs w:val="14"/>
                <w:b w:val="1"/>
                <w:bCs w:val="1"/>
                <w:color w:val="auto"/>
                <w:w w:val="94"/>
              </w:rPr>
              <w:t>incorporation or organization)</w:t>
            </w:r>
          </w:p>
        </w:tc>
        <w:tc>
          <w:tcPr>
            <w:tcW w:w="220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Identification Number)</w:t>
            </w:r>
          </w:p>
        </w:tc>
      </w:tr>
      <w:tr>
        <w:trPr>
          <w:trHeight w:val="399"/>
        </w:trPr>
        <w:tc>
          <w:tcPr>
            <w:tcW w:w="4160" w:type="dxa"/>
            <w:vAlign w:val="bottom"/>
          </w:tcPr>
          <w:p>
            <w:pPr>
              <w:jc w:val="center"/>
              <w:ind w:left="1299"/>
              <w:spacing w:after="0"/>
              <w:rPr>
                <w:sz w:val="20"/>
                <w:szCs w:val="20"/>
                <w:color w:val="auto"/>
              </w:rPr>
            </w:pPr>
            <w:r>
              <w:rPr>
                <w:rFonts w:ascii="Arial" w:cs="Arial" w:eastAsia="Arial" w:hAnsi="Arial"/>
                <w:sz w:val="18"/>
                <w:szCs w:val="18"/>
                <w:b w:val="1"/>
                <w:bCs w:val="1"/>
                <w:color w:val="auto"/>
                <w:w w:val="91"/>
              </w:rPr>
              <w:t>200 Clarendon Street, 55th Floor</w:t>
            </w:r>
          </w:p>
        </w:tc>
        <w:tc>
          <w:tcPr>
            <w:tcW w:w="2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2"/>
        </w:trPr>
        <w:tc>
          <w:tcPr>
            <w:tcW w:w="4160" w:type="dxa"/>
            <w:vAlign w:val="bottom"/>
          </w:tcPr>
          <w:p>
            <w:pPr>
              <w:jc w:val="center"/>
              <w:ind w:left="1279"/>
              <w:spacing w:after="0"/>
              <w:rPr>
                <w:sz w:val="20"/>
                <w:szCs w:val="20"/>
                <w:color w:val="auto"/>
              </w:rPr>
            </w:pPr>
            <w:r>
              <w:rPr>
                <w:rFonts w:ascii="Arial" w:cs="Arial" w:eastAsia="Arial" w:hAnsi="Arial"/>
                <w:sz w:val="18"/>
                <w:szCs w:val="18"/>
                <w:b w:val="1"/>
                <w:bCs w:val="1"/>
                <w:color w:val="auto"/>
                <w:w w:val="91"/>
              </w:rPr>
              <w:t>Boston, MA</w:t>
            </w:r>
          </w:p>
        </w:tc>
        <w:tc>
          <w:tcPr>
            <w:tcW w:w="2200" w:type="dxa"/>
            <w:vAlign w:val="bottom"/>
          </w:tcPr>
          <w:p>
            <w:pPr>
              <w:spacing w:after="0"/>
              <w:rPr>
                <w:sz w:val="18"/>
                <w:szCs w:val="18"/>
                <w:color w:val="auto"/>
              </w:rPr>
            </w:pPr>
          </w:p>
        </w:tc>
        <w:tc>
          <w:tcPr>
            <w:tcW w:w="2680" w:type="dxa"/>
            <w:vAlign w:val="bottom"/>
          </w:tcPr>
          <w:p>
            <w:pPr>
              <w:jc w:val="right"/>
              <w:ind w:right="401"/>
              <w:spacing w:after="0"/>
              <w:rPr>
                <w:sz w:val="20"/>
                <w:szCs w:val="20"/>
                <w:color w:val="auto"/>
              </w:rPr>
            </w:pPr>
            <w:r>
              <w:rPr>
                <w:rFonts w:ascii="Arial" w:cs="Arial" w:eastAsia="Arial" w:hAnsi="Arial"/>
                <w:sz w:val="18"/>
                <w:szCs w:val="18"/>
                <w:b w:val="1"/>
                <w:bCs w:val="1"/>
                <w:color w:val="auto"/>
              </w:rPr>
              <w:t>02116</w:t>
            </w:r>
          </w:p>
        </w:tc>
      </w:tr>
      <w:tr>
        <w:trPr>
          <w:trHeight w:val="186"/>
        </w:trPr>
        <w:tc>
          <w:tcPr>
            <w:tcW w:w="4160" w:type="dxa"/>
            <w:vAlign w:val="bottom"/>
          </w:tcPr>
          <w:p>
            <w:pPr>
              <w:jc w:val="center"/>
              <w:ind w:left="1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0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(617) 531-6300</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each class</w:t>
            </w:r>
          </w:p>
        </w:tc>
        <w:tc>
          <w:tcPr>
            <w:tcW w:w="212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3"/>
              </w:rPr>
              <w:t>Trading</w:t>
            </w:r>
          </w:p>
        </w:tc>
        <w:tc>
          <w:tcPr>
            <w:tcW w:w="3320" w:type="dxa"/>
            <w:vAlign w:val="bottom"/>
            <w:gridSpan w:val="3"/>
          </w:tcPr>
          <w:p>
            <w:pPr>
              <w:jc w:val="center"/>
              <w:ind w:left="975"/>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25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Symbol(s)</w:t>
            </w:r>
          </w:p>
        </w:tc>
        <w:tc>
          <w:tcPr>
            <w:tcW w:w="1480" w:type="dxa"/>
            <w:vAlign w:val="bottom"/>
          </w:tcPr>
          <w:p>
            <w:pPr>
              <w:spacing w:after="0"/>
              <w:rPr>
                <w:sz w:val="14"/>
                <w:szCs w:val="14"/>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120" w:type="dxa"/>
            <w:vAlign w:val="bottom"/>
            <w:vMerge w:val="restart"/>
          </w:tcPr>
          <w:p>
            <w:pPr>
              <w:ind w:left="60"/>
              <w:spacing w:after="0"/>
              <w:rPr>
                <w:sz w:val="20"/>
                <w:szCs w:val="20"/>
                <w:color w:val="auto"/>
              </w:rPr>
            </w:pPr>
            <w:r>
              <w:rPr>
                <w:rFonts w:ascii="Arial" w:cs="Arial" w:eastAsia="Arial" w:hAnsi="Arial"/>
                <w:sz w:val="18"/>
                <w:szCs w:val="18"/>
                <w:color w:val="auto"/>
              </w:rPr>
              <w:t>A Ordinary</w:t>
            </w:r>
          </w:p>
        </w:tc>
        <w:tc>
          <w:tcPr>
            <w:tcW w:w="8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480" w:type="dxa"/>
            <w:vAlign w:val="bottom"/>
            <w:gridSpan w:val="2"/>
          </w:tcPr>
          <w:p>
            <w:pPr>
              <w:spacing w:after="0" w:line="195" w:lineRule="exact"/>
              <w:rPr>
                <w:sz w:val="20"/>
                <w:szCs w:val="20"/>
                <w:color w:val="auto"/>
              </w:rPr>
            </w:pPr>
            <w:r>
              <w:rPr>
                <w:rFonts w:ascii="Arial" w:cs="Arial" w:eastAsia="Arial" w:hAnsi="Arial"/>
                <w:sz w:val="18"/>
                <w:szCs w:val="18"/>
                <w:color w:val="auto"/>
                <w:w w:val="87"/>
              </w:rPr>
              <w:t>Units, each consisting of one Class</w:t>
            </w:r>
          </w:p>
        </w:tc>
        <w:tc>
          <w:tcPr>
            <w:tcW w:w="21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ind w:left="180"/>
              <w:spacing w:after="0"/>
              <w:rPr>
                <w:sz w:val="20"/>
                <w:szCs w:val="20"/>
                <w:color w:val="auto"/>
              </w:rPr>
            </w:pPr>
            <w:r>
              <w:rPr>
                <w:rFonts w:ascii="Arial" w:cs="Arial" w:eastAsia="Arial" w:hAnsi="Arial"/>
                <w:sz w:val="18"/>
                <w:szCs w:val="18"/>
                <w:color w:val="auto"/>
              </w:rPr>
              <w:t>Share, $0.0001 par value, and one-fifth of one</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ind w:left="180"/>
              <w:spacing w:after="0"/>
              <w:rPr>
                <w:sz w:val="20"/>
                <w:szCs w:val="20"/>
                <w:color w:val="auto"/>
              </w:rPr>
            </w:pPr>
            <w:r>
              <w:rPr>
                <w:rFonts w:ascii="Arial" w:cs="Arial" w:eastAsia="Arial" w:hAnsi="Arial"/>
                <w:sz w:val="18"/>
                <w:szCs w:val="18"/>
                <w:color w:val="auto"/>
              </w:rPr>
              <w:t>redeemable warrant</w:t>
            </w:r>
          </w:p>
        </w:tc>
        <w:tc>
          <w:tcPr>
            <w:tcW w:w="252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ACTDU</w:t>
            </w:r>
          </w:p>
        </w:tc>
        <w:tc>
          <w:tcPr>
            <w:tcW w:w="3320" w:type="dxa"/>
            <w:vAlign w:val="bottom"/>
            <w:gridSpan w:val="3"/>
          </w:tcPr>
          <w:p>
            <w:pPr>
              <w:jc w:val="center"/>
              <w:ind w:left="975"/>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Class A Ordinary Shares included as part of the units</w:t>
            </w:r>
          </w:p>
        </w:tc>
        <w:tc>
          <w:tcPr>
            <w:tcW w:w="840" w:type="dxa"/>
            <w:vAlign w:val="bottom"/>
          </w:tcPr>
          <w:p>
            <w:pPr>
              <w:spacing w:after="0"/>
              <w:rPr>
                <w:sz w:val="18"/>
                <w:szCs w:val="18"/>
                <w:color w:val="auto"/>
              </w:rPr>
            </w:pPr>
          </w:p>
        </w:tc>
        <w:tc>
          <w:tcPr>
            <w:tcW w:w="1680" w:type="dxa"/>
            <w:vAlign w:val="bottom"/>
            <w:gridSpan w:val="2"/>
          </w:tcPr>
          <w:p>
            <w:pPr>
              <w:jc w:val="center"/>
              <w:ind w:right="1080"/>
              <w:spacing w:after="0"/>
              <w:rPr>
                <w:sz w:val="20"/>
                <w:szCs w:val="20"/>
                <w:color w:val="auto"/>
              </w:rPr>
            </w:pPr>
            <w:r>
              <w:rPr>
                <w:rFonts w:ascii="Arial" w:cs="Arial" w:eastAsia="Arial" w:hAnsi="Arial"/>
                <w:sz w:val="18"/>
                <w:szCs w:val="18"/>
                <w:color w:val="auto"/>
                <w:w w:val="97"/>
              </w:rPr>
              <w:t>ACTD</w:t>
            </w:r>
          </w:p>
        </w:tc>
        <w:tc>
          <w:tcPr>
            <w:tcW w:w="3320" w:type="dxa"/>
            <w:vAlign w:val="bottom"/>
            <w:gridSpan w:val="3"/>
          </w:tcPr>
          <w:p>
            <w:pPr>
              <w:jc w:val="center"/>
              <w:ind w:left="975"/>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Redeemable warrants included as part of the units,</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ind w:left="180"/>
              <w:spacing w:after="0"/>
              <w:rPr>
                <w:sz w:val="20"/>
                <w:szCs w:val="20"/>
                <w:color w:val="auto"/>
              </w:rPr>
            </w:pPr>
            <w:r>
              <w:rPr>
                <w:rFonts w:ascii="Arial" w:cs="Arial" w:eastAsia="Arial" w:hAnsi="Arial"/>
                <w:sz w:val="18"/>
                <w:szCs w:val="18"/>
                <w:color w:val="auto"/>
              </w:rPr>
              <w:t>each whole warrant exercisable for one Class A</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3"/>
          </w:tcPr>
          <w:p>
            <w:pPr>
              <w:ind w:left="180"/>
              <w:spacing w:after="0"/>
              <w:rPr>
                <w:sz w:val="20"/>
                <w:szCs w:val="20"/>
                <w:color w:val="auto"/>
              </w:rPr>
            </w:pPr>
            <w:r>
              <w:rPr>
                <w:rFonts w:ascii="Arial" w:cs="Arial" w:eastAsia="Arial" w:hAnsi="Arial"/>
                <w:sz w:val="18"/>
                <w:szCs w:val="18"/>
                <w:color w:val="auto"/>
              </w:rPr>
              <w:t>Ordinary Share at an exercise price of $11.50</w:t>
            </w:r>
          </w:p>
        </w:tc>
        <w:tc>
          <w:tcPr>
            <w:tcW w:w="252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ACTDW</w:t>
            </w:r>
          </w:p>
        </w:tc>
        <w:tc>
          <w:tcPr>
            <w:tcW w:w="3320" w:type="dxa"/>
            <w:vAlign w:val="bottom"/>
            <w:gridSpan w:val="3"/>
          </w:tcPr>
          <w:p>
            <w:pPr>
              <w:jc w:val="center"/>
              <w:ind w:left="975"/>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4"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 Other Events.</w:t>
      </w:r>
    </w:p>
    <w:p>
      <w:pPr>
        <w:spacing w:after="0" w:line="121"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On March 25, 2021, ArcLight Clean Transition Corp. II (the “Company”) consummated an initial public offering (the “IPO”) of 31,116,305 units (the “Units”) at an offering price of $10.00 per Unit, which includes an additional sale of 3,616,305 units, pursuant to the partial exercise of the underwriters’ option to purchase an additional 4,125,000 Units at the initial public offering price to cover over-allotments, and a private placement with ArcLight CTC Holdings II, L.P. of 9,223,261 private placement warrants at a price of $1.00 per warrant (the “Private Placement”). The net proceeds from the IPO together with certain of the proceeds from the Private Placement, $311,163,050 in the aggregate (the “Offering Proceeds”), were placed in a trust account established for the benefit of the Company’s public shareholders and the underwriters of the IPO with Continental Stock Transfer &amp; Trust Company acting as trustee. Except with respect to interest earned on the Offering Proceeds held in the trust account that may be released to the Company to pay its income taxes, if any, the Company’s amended and restated memorandum and articles of association will provide that the Offering Proceeds will not be released from the trust account (1) to the Company, until the completion of its initial business combination, or (2) to its public shareholders, until the earliest of (a) the completion of the its initial business combination, and then only in connection with those Class A ordinary shares that such shareholders properly elected to redeem, (b) the redemption of any public shares properly tendered in connection with a shareholder vote to amend the Company’s amended and restated memorandum and articles of association (A) to modify the substance or timing of the Company’s obligation to provide holders of its Class A ordinary shares the right to have their shares redeemed in connection with the Company’s initial business combination or to redeem 100% of its public shares if the Company does not complete its initial business combination within 24 months from the closing of the IPO, or 30 months from the closing of the IPO if the Company has executed a letter of intent, agreement in principle or definitive agreement for an initial business combination within 24 months from the closing of the IPO, or (B) with respect to any other provision relating to the rights of holders of its Class A ordinary shares, and (c) the redemption of the public shares if the Company has not consummated its business combination within 24 months from the closing of the IPO, or 30 months from the closing of the IPO if the Company has executed a letter of intent, agreement in principle or definitive agreement for an initial business combination within 24 months from the closing of the IPO, subject to applicable law.</w:t>
      </w:r>
    </w:p>
    <w:p>
      <w:pPr>
        <w:spacing w:after="0" w:line="187"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An audited balance sheet as of March 25, 2021 reflecting receipt of the Offering Proceeds has been issued by the Company and is included as Exhibit 99.1 to this Current Report on Form 8-K.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Audited Balance Sheet</w:t>
        </w:r>
      </w:hyperlink>
    </w:p>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0700"/>
          </w:cols>
          <w:pgMar w:left="440" w:top="270" w:right="7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320" w:type="dxa"/>
            <w:vAlign w:val="bottom"/>
          </w:tcPr>
          <w:p>
            <w:pPr>
              <w:ind w:left="1380"/>
              <w:spacing w:after="0"/>
              <w:rPr>
                <w:sz w:val="20"/>
                <w:szCs w:val="20"/>
                <w:color w:val="auto"/>
              </w:rPr>
            </w:pPr>
            <w:r>
              <w:rPr>
                <w:rFonts w:ascii="Arial" w:cs="Arial" w:eastAsia="Arial" w:hAnsi="Arial"/>
                <w:sz w:val="18"/>
                <w:szCs w:val="18"/>
                <w:b w:val="1"/>
                <w:bCs w:val="1"/>
                <w:color w:val="auto"/>
                <w:w w:val="91"/>
              </w:rPr>
              <w:t>Exhibit 99.1</w:t>
            </w:r>
          </w:p>
        </w:tc>
      </w:tr>
      <w:tr>
        <w:trPr>
          <w:trHeight w:val="432"/>
        </w:trPr>
        <w:tc>
          <w:tcPr>
            <w:tcW w:w="8700" w:type="dxa"/>
            <w:vAlign w:val="bottom"/>
          </w:tcPr>
          <w:p>
            <w:pPr>
              <w:ind w:left="3700"/>
              <w:spacing w:after="0"/>
              <w:rPr>
                <w:sz w:val="20"/>
                <w:szCs w:val="20"/>
                <w:color w:val="auto"/>
              </w:rPr>
            </w:pPr>
            <w:r>
              <w:rPr>
                <w:rFonts w:ascii="Arial" w:cs="Arial" w:eastAsia="Arial" w:hAnsi="Arial"/>
                <w:sz w:val="18"/>
                <w:szCs w:val="18"/>
                <w:b w:val="1"/>
                <w:bCs w:val="1"/>
                <w:color w:val="auto"/>
              </w:rPr>
              <w:t>ARCLIGHT CLEAN TRANSITION CORP. II</w:t>
            </w:r>
          </w:p>
        </w:tc>
        <w:tc>
          <w:tcPr>
            <w:tcW w:w="2320" w:type="dxa"/>
            <w:vAlign w:val="bottom"/>
          </w:tcPr>
          <w:p>
            <w:pPr>
              <w:spacing w:after="0"/>
              <w:rPr>
                <w:sz w:val="24"/>
                <w:szCs w:val="24"/>
                <w:color w:val="auto"/>
              </w:rPr>
            </w:pPr>
          </w:p>
        </w:tc>
      </w:tr>
      <w:tr>
        <w:trPr>
          <w:trHeight w:val="445"/>
        </w:trPr>
        <w:tc>
          <w:tcPr>
            <w:tcW w:w="87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320" w:type="dxa"/>
            <w:vAlign w:val="bottom"/>
          </w:tcPr>
          <w:p>
            <w:pPr>
              <w:ind w:left="2000"/>
              <w:spacing w:after="0"/>
              <w:rPr>
                <w:sz w:val="20"/>
                <w:szCs w:val="20"/>
                <w:color w:val="auto"/>
              </w:rPr>
            </w:pPr>
            <w:r>
              <w:rPr>
                <w:rFonts w:ascii="Arial" w:cs="Arial" w:eastAsia="Arial" w:hAnsi="Arial"/>
                <w:sz w:val="18"/>
                <w:szCs w:val="18"/>
                <w:color w:val="auto"/>
              </w:rPr>
              <w:t>F-2</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Balance Sheet as of March 25, 2021</w:t>
            </w:r>
          </w:p>
        </w:tc>
        <w:tc>
          <w:tcPr>
            <w:tcW w:w="2320" w:type="dxa"/>
            <w:vAlign w:val="bottom"/>
          </w:tcPr>
          <w:p>
            <w:pPr>
              <w:ind w:left="2000"/>
              <w:spacing w:after="0"/>
              <w:rPr>
                <w:sz w:val="20"/>
                <w:szCs w:val="20"/>
                <w:color w:val="auto"/>
              </w:rPr>
            </w:pPr>
            <w:r>
              <w:rPr>
                <w:rFonts w:ascii="Arial" w:cs="Arial" w:eastAsia="Arial" w:hAnsi="Arial"/>
                <w:sz w:val="18"/>
                <w:szCs w:val="18"/>
                <w:color w:val="auto"/>
              </w:rPr>
              <w:t>F-3</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Notes to Financial Statement</w:t>
            </w:r>
          </w:p>
        </w:tc>
        <w:tc>
          <w:tcPr>
            <w:tcW w:w="2320" w:type="dxa"/>
            <w:vAlign w:val="bottom"/>
          </w:tcPr>
          <w:p>
            <w:pPr>
              <w:ind w:left="2000"/>
              <w:spacing w:after="0"/>
              <w:rPr>
                <w:sz w:val="20"/>
                <w:szCs w:val="20"/>
                <w:color w:val="auto"/>
              </w:rPr>
            </w:pPr>
            <w:r>
              <w:rPr>
                <w:rFonts w:ascii="Arial" w:cs="Arial" w:eastAsia="Arial" w:hAnsi="Arial"/>
                <w:sz w:val="18"/>
                <w:szCs w:val="18"/>
                <w:color w:val="auto"/>
              </w:rPr>
              <w:t>F-4</w:t>
            </w:r>
          </w:p>
        </w:tc>
      </w:tr>
    </w:tbl>
    <w:p>
      <w:pPr>
        <w:sectPr>
          <w:pgSz w:w="11900" w:h="16838" w:orient="portrait"/>
          <w:cols w:equalWidth="0" w:num="1">
            <w:col w:w="11020"/>
          </w:cols>
          <w:pgMar w:left="440" w:top="121" w:right="4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ArcLight Clean Transition Corp. II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w:t>
      </w:r>
    </w:p>
    <w:p>
      <w:pPr>
        <w:spacing w:after="0" w:line="12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have audited the accompanying balance sheet of ArcLight Clean Transition Corp. II (the “Company”) as of March 25, 2021, and the related notes (collectively referred to as the “financial statement”). In our opinion, the financial statement present fairly, in all material respects, the financial position of the Company as of March 25, 2021, in conformity with accounting principles generally accepted in the United States of America.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4"/>
          <w:szCs w:val="14"/>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4"/>
          <w:szCs w:val="14"/>
          <w:color w:val="auto"/>
        </w:rPr>
        <w:t>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00"/>
          </w:cols>
          <w:pgMar w:left="440" w:top="270" w:right="45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16"/>
        </w:trPr>
        <w:tc>
          <w:tcPr>
            <w:tcW w:w="9900" w:type="dxa"/>
            <w:vAlign w:val="bottom"/>
          </w:tcPr>
          <w:p>
            <w:pPr>
              <w:jc w:val="center"/>
              <w:ind w:left="1010"/>
              <w:spacing w:after="0"/>
              <w:rPr>
                <w:sz w:val="20"/>
                <w:szCs w:val="20"/>
                <w:color w:val="auto"/>
              </w:rPr>
            </w:pPr>
            <w:r>
              <w:rPr>
                <w:rFonts w:ascii="Arial" w:cs="Arial" w:eastAsia="Arial" w:hAnsi="Arial"/>
                <w:sz w:val="18"/>
                <w:szCs w:val="18"/>
                <w:b w:val="1"/>
                <w:bCs w:val="1"/>
                <w:color w:val="auto"/>
              </w:rPr>
              <w:t>ARCLIGHT CLEAN TRANSITION CORP. II</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jc w:val="center"/>
              <w:ind w:left="1010"/>
              <w:spacing w:after="0"/>
              <w:rPr>
                <w:sz w:val="20"/>
                <w:szCs w:val="20"/>
                <w:color w:val="auto"/>
              </w:rPr>
            </w:pPr>
            <w:r>
              <w:rPr>
                <w:rFonts w:ascii="Arial" w:cs="Arial" w:eastAsia="Arial" w:hAnsi="Arial"/>
                <w:sz w:val="18"/>
                <w:szCs w:val="18"/>
                <w:b w:val="1"/>
                <w:bCs w:val="1"/>
                <w:color w:val="auto"/>
                <w:w w:val="99"/>
              </w:rPr>
              <w:t>BALANCE SHEET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900" w:type="dxa"/>
            <w:vAlign w:val="bottom"/>
          </w:tcPr>
          <w:p>
            <w:pPr>
              <w:jc w:val="center"/>
              <w:ind w:left="1030"/>
              <w:spacing w:after="0"/>
              <w:rPr>
                <w:sz w:val="20"/>
                <w:szCs w:val="20"/>
                <w:color w:val="auto"/>
              </w:rPr>
            </w:pPr>
            <w:r>
              <w:rPr>
                <w:rFonts w:ascii="Arial" w:cs="Arial" w:eastAsia="Arial" w:hAnsi="Arial"/>
                <w:sz w:val="18"/>
                <w:szCs w:val="18"/>
                <w:b w:val="1"/>
                <w:bCs w:val="1"/>
                <w:color w:val="auto"/>
                <w:w w:val="97"/>
              </w:rPr>
              <w:t>MARCH 25, 2021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3,000,100</w:t>
            </w:r>
          </w:p>
        </w:tc>
        <w:tc>
          <w:tcPr>
            <w:tcW w:w="0" w:type="dxa"/>
            <w:vAlign w:val="bottom"/>
          </w:tcPr>
          <w:p>
            <w:pPr>
              <w:spacing w:after="0"/>
              <w:rPr>
                <w:sz w:val="1"/>
                <w:szCs w:val="1"/>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26,800</w:t>
            </w:r>
          </w:p>
        </w:tc>
        <w:tc>
          <w:tcPr>
            <w:tcW w:w="0" w:type="dxa"/>
            <w:vAlign w:val="bottom"/>
          </w:tcPr>
          <w:p>
            <w:pPr>
              <w:spacing w:after="0"/>
              <w:rPr>
                <w:sz w:val="1"/>
                <w:szCs w:val="1"/>
                <w:color w:val="auto"/>
              </w:rPr>
            </w:pPr>
          </w:p>
        </w:tc>
      </w:tr>
      <w:tr>
        <w:trPr>
          <w:trHeight w:val="27"/>
        </w:trPr>
        <w:tc>
          <w:tcPr>
            <w:tcW w:w="9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3,026,900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Cash held in Trust Account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311,163,050</w:t>
            </w:r>
          </w:p>
        </w:tc>
        <w:tc>
          <w:tcPr>
            <w:tcW w:w="0" w:type="dxa"/>
            <w:vAlign w:val="bottom"/>
          </w:tcPr>
          <w:p>
            <w:pPr>
              <w:spacing w:after="0"/>
              <w:rPr>
                <w:sz w:val="1"/>
                <w:szCs w:val="1"/>
                <w:color w:val="auto"/>
              </w:rPr>
            </w:pPr>
          </w:p>
        </w:tc>
      </w:tr>
      <w:tr>
        <w:trPr>
          <w:trHeight w:val="27"/>
        </w:trPr>
        <w:tc>
          <w:tcPr>
            <w:tcW w:w="9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314,189,950</w:t>
            </w:r>
          </w:p>
        </w:tc>
        <w:tc>
          <w:tcPr>
            <w:tcW w:w="0" w:type="dxa"/>
            <w:vAlign w:val="bottom"/>
          </w:tcPr>
          <w:p>
            <w:pPr>
              <w:spacing w:after="0"/>
              <w:rPr>
                <w:sz w:val="1"/>
                <w:szCs w:val="1"/>
                <w:color w:val="auto"/>
              </w:rPr>
            </w:pPr>
          </w:p>
        </w:tc>
      </w:tr>
      <w:tr>
        <w:trPr>
          <w:trHeight w:val="20"/>
        </w:trPr>
        <w:tc>
          <w:tcPr>
            <w:tcW w:w="9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40,463</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313,637</w:t>
            </w:r>
          </w:p>
        </w:tc>
        <w:tc>
          <w:tcPr>
            <w:tcW w:w="0" w:type="dxa"/>
            <w:vAlign w:val="bottom"/>
          </w:tcPr>
          <w:p>
            <w:pPr>
              <w:spacing w:after="0"/>
              <w:rPr>
                <w:sz w:val="1"/>
                <w:szCs w:val="1"/>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rPr>
              <w:t>Note payable - related party</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171,742</w:t>
            </w:r>
          </w:p>
        </w:tc>
        <w:tc>
          <w:tcPr>
            <w:tcW w:w="0" w:type="dxa"/>
            <w:vAlign w:val="bottom"/>
          </w:tcPr>
          <w:p>
            <w:pPr>
              <w:spacing w:after="0"/>
              <w:rPr>
                <w:sz w:val="1"/>
                <w:szCs w:val="1"/>
                <w:color w:val="auto"/>
              </w:rPr>
            </w:pPr>
          </w:p>
        </w:tc>
      </w:tr>
      <w:tr>
        <w:trPr>
          <w:trHeight w:val="27"/>
        </w:trPr>
        <w:tc>
          <w:tcPr>
            <w:tcW w:w="9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525,842</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10,890,707</w:t>
            </w:r>
          </w:p>
        </w:tc>
        <w:tc>
          <w:tcPr>
            <w:tcW w:w="0" w:type="dxa"/>
            <w:vAlign w:val="bottom"/>
          </w:tcPr>
          <w:p>
            <w:pPr>
              <w:spacing w:after="0"/>
              <w:rPr>
                <w:sz w:val="1"/>
                <w:szCs w:val="1"/>
                <w:color w:val="auto"/>
              </w:rPr>
            </w:pPr>
          </w:p>
        </w:tc>
      </w:tr>
      <w:tr>
        <w:trPr>
          <w:trHeight w:val="27"/>
        </w:trPr>
        <w:tc>
          <w:tcPr>
            <w:tcW w:w="9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11,416,549</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29,777,340 shares subject to possible redemption at $10.00 per share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297,773,400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Preference shares, $0.0001 par value; 5,000,000 shares authorized; none issued and outstanding</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900" w:type="dxa"/>
            <w:vAlign w:val="bottom"/>
          </w:tcPr>
          <w:p>
            <w:pPr>
              <w:spacing w:after="0" w:line="201" w:lineRule="exact"/>
              <w:rPr>
                <w:sz w:val="20"/>
                <w:szCs w:val="20"/>
                <w:color w:val="auto"/>
              </w:rPr>
            </w:pPr>
            <w:r>
              <w:rPr>
                <w:rFonts w:ascii="Arial" w:cs="Arial" w:eastAsia="Arial" w:hAnsi="Arial"/>
                <w:sz w:val="18"/>
                <w:szCs w:val="18"/>
                <w:color w:val="auto"/>
                <w:w w:val="95"/>
              </w:rPr>
              <w:t>Class A ordinary shares, $0.0001 par value; 500,000,000 shares authorized; 1,338,965 shares issued and outstanding (excluding</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900" w:type="dxa"/>
            <w:vAlign w:val="bottom"/>
          </w:tcPr>
          <w:p>
            <w:pPr>
              <w:ind w:left="180"/>
              <w:spacing w:after="0"/>
              <w:rPr>
                <w:sz w:val="20"/>
                <w:szCs w:val="20"/>
                <w:color w:val="auto"/>
              </w:rPr>
            </w:pPr>
            <w:r>
              <w:rPr>
                <w:rFonts w:ascii="Arial" w:cs="Arial" w:eastAsia="Arial" w:hAnsi="Arial"/>
                <w:sz w:val="18"/>
                <w:szCs w:val="18"/>
                <w:color w:val="auto"/>
              </w:rPr>
              <w:t>29,777,340 shares subject to possible redemption)</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Class B ordinary shares, $0.0001 par value; 50,000,000 shares authorized; 7,906,250 shares issued and outstanding (1)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5,035,976</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(36,900)</w:t>
            </w:r>
          </w:p>
        </w:tc>
        <w:tc>
          <w:tcPr>
            <w:tcW w:w="0" w:type="dxa"/>
            <w:vAlign w:val="bottom"/>
          </w:tcPr>
          <w:p>
            <w:pPr>
              <w:spacing w:after="0"/>
              <w:rPr>
                <w:sz w:val="1"/>
                <w:szCs w:val="1"/>
                <w:color w:val="auto"/>
              </w:rPr>
            </w:pPr>
          </w:p>
        </w:tc>
      </w:tr>
      <w:tr>
        <w:trPr>
          <w:trHeight w:val="230"/>
        </w:trPr>
        <w:tc>
          <w:tcPr>
            <w:tcW w:w="990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314,189,950</w:t>
            </w: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40" w:hanging="424"/>
        <w:spacing w:after="0" w:line="277" w:lineRule="auto"/>
        <w:tabs>
          <w:tab w:leader="none" w:pos="424"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includes up to 127,174 Class B ordinary shares subject to forfeiture as a result of the underwriters’ election to partially exercise the over-allotment option (see Note 5).</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The accompanying notes are an integral part of the financial statement.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24"/>
          </w:cols>
          <w:pgMar w:left="436" w:top="270" w:right="4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ARCLIGHT CLEAN TRANSITION CORP.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BUSINESS OPERATIONS, AND LIQUIDITY</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ArcLight Clean Transition Corp. II (the “Company”) is a blank check company incorporated as a Cayman Islands exempted company on January 13, 2021. The Company was incorporated for the purpose of effecting a merger, share exchange, asset acquisition, share purchase, reorganization or similar business combination with one or more businesses that the Company has not yet identified (“Business Combination”).</w:t>
      </w:r>
    </w:p>
    <w:p>
      <w:pPr>
        <w:spacing w:after="0" w:line="16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As of March 25, 2021, the Company had not yet commenced operations. All activity for the period from January 13, 2021 (inception) through March 25, 2021 relates to the Company’s formation and the initial public offering (the “Initial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Initial Public Offering. The Company has selected December 31 as its fiscal year end.</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 $10.9 million was for deferred underwriting commissions (see Note 6).</w:t>
      </w:r>
    </w:p>
    <w:p>
      <w:pPr>
        <w:spacing w:after="0" w:line="19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184"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Upon the closing of the Initial Public Offering and the Private Placement, approximately $311.2 million ($10.00 per Unit)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its Initial Public Offering and the sale of Private Placement Warrants,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will provide its holders of the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($10.00 per share, plus any pro rata interest earned on the funds held in the Trust Account and not previously released to the Company to pay its tax obligations). The per-share amount to be distributed to Public Shareholders who redeem their Public Shares will not be reduced by the deferred underwriting commissions the Company will pay to the underwriters (as discussed in Note 6). These Public</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960"/>
          </w:cols>
          <w:pgMar w:left="440" w:top="270" w:right="49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ARCLIGHT CLEAN TRANSITION CORP.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Shares were recorded at a redemption value and classified as temporary equity,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Initial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Initial Public Offering (the “Initial Shareholders”) agreed to vote their Founder Shares (as defined in Note 5)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spacing w:after="0" w:line="18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5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Company’s Sponsor, executive officers and directors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5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Initial Public Offering, or March 25, 2023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18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1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0960"/>
          </w:cols>
          <w:pgMar w:left="440" w:top="270" w:right="49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ARCLIGHT CLEAN TRANSITION CORP.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w:t>
      </w:r>
    </w:p>
    <w:p>
      <w:pPr>
        <w:spacing w:after="0" w:line="14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Combination Period. The underwriters agreed to waive their rights to their deferred underwriting commission (see Note 6) held in the Trust Account in the event the Company does not complete a Business Combination within 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Management’s Plan</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Prior to the completion of the initial public offering, the Company lacked the liquidity it needed to sustain operations for a reasonable period or time, which is considered to be one year from the issuance date of the financial statement. The Company has since completed its initial Public Offering at which time capital in excess of the funds deposited in the trust and/or used to fund offering expenses was released to the Company for general working capital purposes. Accordingly, management has since reevaluated the Company’s liquidity and financial condition and determined that sufficient capital exists to sustain operations one year from the date this financial statement is issued and therefore substantial doubt has been alleviated.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Management continues to evaluate the impact of the COVID-19 global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this financial statement. The financial statement does not include any adjustments that might result from the outcome of this uncertainty.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accompanying financial statement is presented in U.S. dollars in conformity with accounting principles generally accepted in the United States of America (“GAAP”) and pursuant to the rules and regulations of the SEC.</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0980"/>
          </w:cols>
          <w:pgMar w:left="440" w:top="270" w:right="4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ARCLIGHT CLEAN TRANSITION CORP.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w:t>
      </w:r>
    </w:p>
    <w:p>
      <w:pPr>
        <w:spacing w:after="0" w:line="14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 Insurance Corporation limit of $250,000. As of March 25, 2021, the Company has not experienced losses on these accounts.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March 25,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held in Trust Account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25, 2021, the Company had approximately $311.2 million in cash held in the Trust Account.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preparation of financial statement in conformity with GAAP requires the Company’s management to make estimates and assumptions that affect the reported amounts of assets and liabilities and disclosure of contingent assets and liabilities at the date of the financial statement.</w:t>
      </w:r>
    </w:p>
    <w:p>
      <w:pPr>
        <w:spacing w:after="0" w:line="146"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 which management considered in formulating its estimate, could change in the near term due to one or more future confirming events. Accordingly, the actual results could differ significantly from those estimates.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the FASB ASC 820, “Fair Value Measurements and Disclosures,” approximates the carrying amounts represented in the balance sheet, primarily due to their short-term nature.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costs associated with the Initial Public Offering</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Offering costs consist of legal, accounting, underwriting and other costs incurred that were directly related to the Initial Public Offering and that were charged to shareholders’ equity upon the completion of the Initial Public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00"/>
          </w:cols>
          <w:pgMar w:left="440" w:top="270" w:right="4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ARCLIGHT CLEAN TRANSITION CORP.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as of March 25, 2021, 29,777,340 Class A ordinary shares subject to possible redemption are presented as temporary equity, outside of the shareholders’ equity section of the Company’s balance sheet.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March 25, 2021. The Company is currently not aware of any issues under review that could result in significant payments, accruals or material deviation from its position.</w:t>
      </w:r>
    </w:p>
    <w:p>
      <w:pPr>
        <w:spacing w:after="0" w:line="178"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w:t>
      </w:r>
    </w:p>
    <w:p>
      <w:pPr>
        <w:spacing w:after="0" w:line="16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7).</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0980"/>
          </w:cols>
          <w:pgMar w:left="440" w:top="270" w:right="4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ARCLIGHT CLEAN TRANSITION CORP.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121"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holders of the Founder Shares agreed to forfeit up to an aggregate of 1,031,250 Founder Shares, on a pro rata basis,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thus, only 127,174 Class B ordinary shares remain subject to forfeiture.</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January 20, 2021, the Sponsor agreed to loan the Company up to $300,000 pursuant to a promissory note (the “Note”). The Note was non-interest bearing, unsecured and due upon the closing of the Initial Public Offering. As of March 25, 2021, the Company borrowed approximately $172,000 under the Note. The Company fully repaid the Note on March 26, 2021 (see Note 8).</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w:t>
      </w:r>
    </w:p>
    <w:p>
      <w:pPr>
        <w:spacing w:after="0" w:line="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00"/>
          </w:cols>
          <w:pgMar w:left="440" w:top="270" w:right="4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ARCLIGHT CLEAN TRANSITION CORP.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w:t>
      </w:r>
    </w:p>
    <w:p>
      <w:pPr>
        <w:spacing w:after="0" w:line="143"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would be identical to the Private Placement Warrants. Except for the foregoing, the terms of such Working Capital Loans, if any, have not been determined and no written agreements exist with respect to such loans. As of March 25, 2021, the Company had no borrowings under the Working Capital Loans.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March 25, 2021, the Company entered into an agreement that provided that, commencing on the date that the Company’s securities were first listed on Nasdaq through the earlier of consummation of the initial Business Combination and the liquidation, the Company agreed to pay the Sponsor $10,000 per month for office space, secretarial and administrative services provided to the Company.</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will expire at the conclusion of the 45-day option period.</w:t>
      </w:r>
    </w:p>
    <w:p>
      <w:pPr>
        <w:spacing w:after="0" w:line="1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 xml:space="preserve">Preference Shares </w:t>
      </w:r>
      <w:r>
        <w:rPr>
          <w:rFonts w:ascii="Arial" w:cs="Arial" w:eastAsia="Arial" w:hAnsi="Arial"/>
          <w:sz w:val="18"/>
          <w:szCs w:val="18"/>
          <w:color w:val="auto"/>
        </w:rPr>
        <w:t>— The Company is authorized to issue 5,000,000 preference shares with a par value of $0.0001 per share. As of March 25,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were no preference shares issued or outstanding.</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 xml:space="preserve">Class A Ordinary Shares </w:t>
      </w:r>
      <w:r>
        <w:rPr>
          <w:rFonts w:ascii="Arial" w:cs="Arial" w:eastAsia="Arial" w:hAnsi="Arial"/>
          <w:sz w:val="17"/>
          <w:szCs w:val="17"/>
          <w:color w:val="auto"/>
        </w:rPr>
        <w:t>— The Company is authorized to issue 500,000,000 Class A ordinary shares with a par value of $0.0001 per share. Holders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Class A ordinary shares are entitled to one vote for each share. As of March 25, 2021, there were 1,338,965 Class A ordinary shares issued and outstanding, excluding 29,777,340 Class A ordinary shares subject to possible redemption.</w:t>
      </w:r>
    </w:p>
    <w:p>
      <w:pPr>
        <w:spacing w:after="0" w:line="16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 xml:space="preserve">Class B Ordinary Shares </w:t>
      </w:r>
      <w:r>
        <w:rPr>
          <w:rFonts w:ascii="Arial" w:cs="Arial" w:eastAsia="Arial" w:hAnsi="Arial"/>
          <w:sz w:val="18"/>
          <w:szCs w:val="18"/>
          <w:color w:val="auto"/>
        </w:rPr>
        <w:t>— The Company is authorized to issue 50,000,000 Class B ordinary shares with a par value of $0.0001 per share.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20, 2021, the Company issued 7,187,500 Class B ordinary shares. On March 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00"/>
          </w:cols>
          <w:pgMar w:left="440" w:top="270" w:right="4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ARCLIGHT CLEAN TRANSITION CORP.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14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2021, the Company effected a share capitalization resulting in an aggregate of 7,906,250 Class B ordinary shares issued and outstanding. Of the 7,906,250 Class B ordinary shares outstanding, up to 1,031,250 Class B ordinary shares are subject to forfeiture, to the Company by the Initial Shareholders for no consideration to the extent that the underwriters’ over-allotment option is not exercised in full or in part, so that the Initial Shareholders will collectively own 20% of the Company’s issued and outstanding ordinary shares after the Initial Public Offering. On March 25, 2021, the underwriters partially exercised the over-allotment option to purchase an additional 3,616,305 Units; thus, only 127,174 Class B ordinary shares remain subject to forfeiture.</w:t>
      </w:r>
    </w:p>
    <w:p>
      <w:pPr>
        <w:spacing w:after="0" w:line="19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18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68"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Public Warrants will be issued upon separation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7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20"/>
          </w:cols>
          <w:pgMar w:left="440" w:top="270" w:right="4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ARCLIGHT CLEAN TRANSITION CORP.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w:t>
      </w:r>
    </w:p>
    <w:p>
      <w:pPr>
        <w:spacing w:after="0" w:line="1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Class A ordinary share equals or exceeds $18.00: </w:t>
      </w:r>
      <w:r>
        <w:rPr>
          <w:rFonts w:ascii="Arial" w:cs="Arial" w:eastAsia="Arial" w:hAnsi="Arial"/>
          <w:sz w:val="18"/>
          <w:szCs w:val="18"/>
          <w:color w:val="auto"/>
        </w:rPr>
        <w:t>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 (except as described herein with respect to the Private Placement Warrants):</w:t>
      </w:r>
    </w:p>
    <w:p>
      <w:pPr>
        <w:spacing w:after="0" w:line="76"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960" w:right="10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Class A ordinary share equals or exceeds $10.00: </w:t>
      </w:r>
      <w:r>
        <w:rPr>
          <w:rFonts w:ascii="Arial" w:cs="Arial" w:eastAsia="Arial" w:hAnsi="Arial"/>
          <w:sz w:val="18"/>
          <w:szCs w:val="18"/>
          <w:color w:val="auto"/>
        </w:rPr>
        <w:t>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w:t>
      </w:r>
    </w:p>
    <w:p>
      <w:pPr>
        <w:spacing w:after="0" w:line="76"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jc w:val="both"/>
        <w:ind w:left="960" w:right="260" w:hanging="424"/>
        <w:spacing w:after="0" w:line="286"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at $0.10 per warrant upon a minimum of 30 days’ prior written notice of redemption provided that holders will be able to exercise their warrants on a cashless basis prior to redemption and receive that number of Class A ordinary shares to be determined by reference to an agreed table based on the redemption date and the “fair market value” of Class A ordinary shares; and</w:t>
      </w:r>
    </w:p>
    <w:p>
      <w:pPr>
        <w:spacing w:after="0" w:line="70" w:lineRule="exact"/>
        <w:rPr>
          <w:rFonts w:ascii="Arial" w:cs="Arial" w:eastAsia="Arial" w:hAnsi="Arial"/>
          <w:sz w:val="17"/>
          <w:szCs w:val="17"/>
          <w:color w:val="auto"/>
        </w:rPr>
      </w:pPr>
    </w:p>
    <w:p>
      <w:pPr>
        <w:ind w:left="960" w:right="100" w:hanging="424"/>
        <w:spacing w:after="0" w:line="342"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and only if, the closing price of Class A ordinary shares equals or exceeds $10.00 per share (as adjusted) for any 20 trading days within the 30-trading day period ending three trading days before the Company sends the notice of redemption to the warrant holders; and</w:t>
      </w:r>
    </w:p>
    <w:p>
      <w:pPr>
        <w:spacing w:after="0" w:line="29" w:lineRule="exact"/>
        <w:rPr>
          <w:rFonts w:ascii="Arial" w:cs="Arial" w:eastAsia="Arial" w:hAnsi="Arial"/>
          <w:sz w:val="16"/>
          <w:szCs w:val="16"/>
          <w:color w:val="auto"/>
        </w:rPr>
      </w:pPr>
    </w:p>
    <w:p>
      <w:pPr>
        <w:ind w:left="960" w:right="160" w:hanging="424"/>
        <w:spacing w:after="0" w:line="25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00"/>
          </w:cols>
          <w:pgMar w:left="440" w:top="270" w:right="4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ARCLIGHT CLEAN TRANSITION CORP.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w:t>
      </w:r>
    </w:p>
    <w:p>
      <w:pPr>
        <w:spacing w:after="0" w:line="143"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color w:val="auto"/>
        </w:rPr>
        <w:t>The “fair market value” of Class A ordinary shares for the above purpose shall mean the volume weighted average price of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fully repaid the Note amount of approximately $172,000 on March 26, 2021.</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 was issued. Based upon this review, the Company did not identify any subsequent events that would have required adjustment or disclosure in the financial statement, except as noted above.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2021-03-31T14:10:00Z</dcterms:created>
  <dcterms:modified xsi:type="dcterms:W3CDTF">2021-03-31T14:10:00Z</dcterms:modified>
</cp:coreProperties>
</file>