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549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497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Revers Daniel R</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00"/>
        <w:spacing w:after="0" w:line="370" w:lineRule="auto"/>
        <w:rPr>
          <w:sz w:val="20"/>
          <w:szCs w:val="20"/>
          <w:color w:val="auto"/>
        </w:rPr>
      </w:pPr>
      <w:r>
        <w:rPr>
          <w:rFonts w:ascii="Arial" w:cs="Arial" w:eastAsia="Arial" w:hAnsi="Arial"/>
          <w:sz w:val="16"/>
          <w:szCs w:val="16"/>
          <w:color w:val="0000FF"/>
        </w:rPr>
        <w:t>C/O ARCLIGHT CLEAN TRANSITION CORP. II 200 CLARENDON STREET, 55TH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02116</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ArcLight Clean Transition Corp. II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ACTDU</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0" w:type="dxa"/>
            <w:vAlign w:val="bottom"/>
            <w:gridSpan w:val="2"/>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vMerge w:val="restart"/>
          </w:tcPr>
          <w:p>
            <w:pPr>
              <w:ind w:left="260"/>
              <w:spacing w:after="0" w:line="52" w:lineRule="exact"/>
              <w:rPr>
                <w:sz w:val="20"/>
                <w:szCs w:val="20"/>
                <w:color w:val="auto"/>
              </w:rPr>
            </w:pPr>
            <w:r>
              <w:rPr>
                <w:rFonts w:ascii="Arial" w:cs="Arial" w:eastAsia="Arial" w:hAnsi="Arial"/>
                <w:sz w:val="5"/>
                <w:szCs w:val="5"/>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00" w:type="dxa"/>
            <w:vAlign w:val="bottom"/>
            <w:vMerge w:val="restart"/>
          </w:tcPr>
          <w:p>
            <w:pPr>
              <w:ind w:left="160"/>
              <w:spacing w:after="0" w:line="52" w:lineRule="exact"/>
              <w:rPr>
                <w:sz w:val="20"/>
                <w:szCs w:val="20"/>
                <w:color w:val="auto"/>
              </w:rPr>
            </w:pPr>
            <w:r>
              <w:rPr>
                <w:rFonts w:ascii="Arial" w:cs="Arial" w:eastAsia="Arial" w:hAnsi="Arial"/>
                <w:sz w:val="5"/>
                <w:szCs w:val="5"/>
                <w:color w:val="0000FF"/>
              </w:rPr>
              <w:t>X</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7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tcPr>
          <w:p>
            <w:pPr>
              <w:ind w:left="120"/>
              <w:spacing w:after="0" w:line="96" w:lineRule="exact"/>
              <w:rPr>
                <w:sz w:val="20"/>
                <w:szCs w:val="20"/>
                <w:color w:val="auto"/>
              </w:rPr>
            </w:pPr>
            <w:r>
              <w:rPr>
                <w:rFonts w:ascii="Arial" w:cs="Arial" w:eastAsia="Arial" w:hAnsi="Arial"/>
                <w:sz w:val="11"/>
                <w:szCs w:val="11"/>
                <w:color w:val="auto"/>
              </w:rPr>
              <w:t>below)</w:t>
            </w:r>
          </w:p>
        </w:tc>
        <w:tc>
          <w:tcPr>
            <w:tcW w:w="400" w:type="dxa"/>
            <w:vAlign w:val="bottom"/>
          </w:tcPr>
          <w:p>
            <w:pPr>
              <w:spacing w:after="0"/>
              <w:rPr>
                <w:sz w:val="9"/>
                <w:szCs w:val="9"/>
                <w:color w:val="auto"/>
              </w:rPr>
            </w:pPr>
          </w:p>
        </w:tc>
        <w:tc>
          <w:tcPr>
            <w:tcW w:w="1220" w:type="dxa"/>
            <w:vAlign w:val="bottom"/>
          </w:tcPr>
          <w:p>
            <w:pPr>
              <w:ind w:left="80"/>
              <w:spacing w:after="0" w:line="96"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7"/>
                <w:szCs w:val="17"/>
                <w:color w:val="auto"/>
              </w:rPr>
            </w:pPr>
          </w:p>
        </w:tc>
        <w:tc>
          <w:tcPr>
            <w:tcW w:w="1600" w:type="dxa"/>
            <w:vAlign w:val="bottom"/>
            <w:gridSpan w:val="2"/>
          </w:tcPr>
          <w:p>
            <w:pPr>
              <w:ind w:left="840"/>
              <w:spacing w:after="0"/>
              <w:rPr>
                <w:sz w:val="20"/>
                <w:szCs w:val="20"/>
                <w:color w:val="auto"/>
              </w:rPr>
            </w:pPr>
            <w:r>
              <w:rPr>
                <w:rFonts w:ascii="Arial" w:cs="Arial" w:eastAsia="Arial" w:hAnsi="Arial"/>
                <w:sz w:val="17"/>
                <w:szCs w:val="17"/>
                <w:color w:val="0000FF"/>
              </w:rPr>
              <w:t>Chairman</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gridSpan w:val="3"/>
          </w:tcPr>
          <w:p>
            <w:pPr>
              <w:ind w:left="60"/>
              <w:spacing w:after="0"/>
              <w:rPr>
                <w:sz w:val="20"/>
                <w:szCs w:val="20"/>
                <w:color w:val="auto"/>
              </w:rPr>
            </w:pPr>
            <w:r>
              <w:rPr>
                <w:rFonts w:ascii="Arial" w:cs="Arial" w:eastAsia="Arial" w:hAnsi="Arial"/>
                <w:sz w:val="17"/>
                <w:szCs w:val="17"/>
                <w:color w:val="0000FF"/>
              </w:rPr>
              <w:t>05/06/2021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920" w:type="dxa"/>
            <w:vAlign w:val="bottom"/>
            <w:gridSpan w:val="3"/>
          </w:tcPr>
          <w:p>
            <w:pPr>
              <w:ind w:left="60"/>
              <w:spacing w:after="0" w:line="179" w:lineRule="exact"/>
              <w:rPr>
                <w:sz w:val="20"/>
                <w:szCs w:val="20"/>
                <w:color w:val="auto"/>
              </w:rPr>
            </w:pPr>
            <w:r>
              <w:rPr>
                <w:rFonts w:ascii="Arial" w:cs="Arial" w:eastAsia="Arial" w:hAnsi="Arial"/>
                <w:sz w:val="17"/>
                <w:szCs w:val="17"/>
                <w:color w:val="0000FF"/>
              </w:rPr>
              <w:t>05/10/2021</w:t>
            </w:r>
          </w:p>
        </w:tc>
        <w:tc>
          <w:tcPr>
            <w:tcW w:w="9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00" w:type="dxa"/>
            <w:vAlign w:val="bottom"/>
            <w:gridSpan w:val="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5" w:lineRule="exact"/>
        <w:rPr>
          <w:sz w:val="20"/>
          <w:szCs w:val="20"/>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restart"/>
          </w:tcPr>
          <w:p>
            <w:pPr>
              <w:ind w:left="120"/>
              <w:spacing w:after="0" w:line="281"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(2)</w:t>
            </w:r>
          </w:p>
        </w:tc>
        <w:tc>
          <w:tcPr>
            <w:tcW w:w="560" w:type="dxa"/>
            <w:vAlign w:val="bottom"/>
          </w:tcPr>
          <w:p>
            <w:pPr>
              <w:ind w:left="80"/>
              <w:spacing w:after="0" w:line="141" w:lineRule="exact"/>
              <w:rPr>
                <w:sz w:val="20"/>
                <w:szCs w:val="20"/>
                <w:color w:val="auto"/>
              </w:rPr>
            </w:pPr>
            <w:r>
              <w:rPr>
                <w:rFonts w:ascii="Arial" w:cs="Arial" w:eastAsia="Arial" w:hAnsi="Arial"/>
                <w:sz w:val="13"/>
                <w:szCs w:val="13"/>
                <w:color w:val="0000FF"/>
              </w:rPr>
              <w:t>Class A</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127,174</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920" w:type="dxa"/>
            <w:vAlign w:val="bottom"/>
          </w:tcPr>
          <w:p>
            <w:pPr>
              <w:spacing w:after="0"/>
              <w:rPr>
                <w:sz w:val="12"/>
                <w:szCs w:val="12"/>
                <w:color w:val="auto"/>
              </w:rPr>
            </w:pPr>
          </w:p>
        </w:tc>
        <w:tc>
          <w:tcPr>
            <w:tcW w:w="740" w:type="dxa"/>
            <w:vAlign w:val="bottom"/>
            <w:vMerge w:val="restart"/>
          </w:tcPr>
          <w:p>
            <w:pPr>
              <w:ind w:left="300"/>
              <w:spacing w:after="0" w:line="281"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(3)</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ArcLight</w:t>
            </w: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ordinary</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41" w:lineRule="exact"/>
              <w:rPr>
                <w:sz w:val="20"/>
                <w:szCs w:val="20"/>
                <w:color w:val="auto"/>
              </w:rPr>
            </w:pPr>
            <w:r>
              <w:rPr>
                <w:rFonts w:ascii="Arial" w:cs="Arial" w:eastAsia="Arial" w:hAnsi="Arial"/>
                <w:sz w:val="13"/>
                <w:szCs w:val="13"/>
                <w:color w:val="0000FF"/>
              </w:rPr>
              <w:t>05/06/2021</w:t>
            </w: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tcPr>
          <w:p>
            <w:pPr>
              <w:ind w:left="360"/>
              <w:spacing w:after="0" w:line="141" w:lineRule="exact"/>
              <w:rPr>
                <w:sz w:val="20"/>
                <w:szCs w:val="20"/>
                <w:color w:val="auto"/>
              </w:rPr>
            </w:pPr>
            <w:r>
              <w:rPr>
                <w:rFonts w:ascii="Arial" w:cs="Arial" w:eastAsia="Arial" w:hAnsi="Arial"/>
                <w:sz w:val="13"/>
                <w:szCs w:val="13"/>
                <w:color w:val="0000FF"/>
              </w:rPr>
              <w:t>127,174</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60"/>
              <w:spacing w:after="0" w:line="141" w:lineRule="exact"/>
              <w:rPr>
                <w:sz w:val="20"/>
                <w:szCs w:val="20"/>
                <w:color w:val="auto"/>
              </w:rPr>
            </w:pPr>
            <w:r>
              <w:rPr>
                <w:rFonts w:ascii="Arial" w:cs="Arial" w:eastAsia="Arial" w:hAnsi="Arial"/>
                <w:sz w:val="13"/>
                <w:szCs w:val="13"/>
                <w:color w:val="0000FF"/>
              </w:rPr>
              <w:t>ordinary</w:t>
            </w: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20"/>
              <w:spacing w:after="0" w:line="141" w:lineRule="exact"/>
              <w:rPr>
                <w:sz w:val="20"/>
                <w:szCs w:val="20"/>
                <w:color w:val="auto"/>
              </w:rPr>
            </w:pPr>
            <w:r>
              <w:rPr>
                <w:rFonts w:ascii="Arial" w:cs="Arial" w:eastAsia="Arial" w:hAnsi="Arial"/>
                <w:sz w:val="13"/>
                <w:szCs w:val="13"/>
                <w:color w:val="0000FF"/>
              </w:rPr>
              <w:t>7,639,076</w:t>
            </w: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CTC</w:t>
            </w:r>
          </w:p>
        </w:tc>
        <w:tc>
          <w:tcPr>
            <w:tcW w:w="0" w:type="dxa"/>
            <w:vAlign w:val="bottom"/>
          </w:tcPr>
          <w:p>
            <w:pPr>
              <w:spacing w:after="0"/>
              <w:rPr>
                <w:sz w:val="1"/>
                <w:szCs w:val="1"/>
                <w:color w:val="auto"/>
              </w:rPr>
            </w:pPr>
          </w:p>
        </w:tc>
      </w:tr>
      <w:tr>
        <w:trPr>
          <w:trHeight w:val="151"/>
        </w:trPr>
        <w:tc>
          <w:tcPr>
            <w:tcW w:w="68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0000FF"/>
              </w:rPr>
              <w:t>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bl>
    <w:p>
      <w:pPr>
        <w:ind w:left="10400"/>
        <w:spacing w:after="0"/>
        <w:rPr>
          <w:sz w:val="20"/>
          <w:szCs w:val="20"/>
          <w:color w:val="auto"/>
        </w:rPr>
      </w:pPr>
      <w:r>
        <w:rPr>
          <w:rFonts w:ascii="Arial" w:cs="Arial" w:eastAsia="Arial" w:hAnsi="Arial"/>
          <w:sz w:val="13"/>
          <w:szCs w:val="13"/>
          <w:color w:val="0000FF"/>
        </w:rPr>
        <w:t>II, L.P.</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reflects the surrender to the issuer of 127,174 of the issuer's Class B ordinary shares, par value $0.0001 per share, for no consideration by ArcLight CTC Holdings II, L.P.'s ("Sponsor") as a result of the Sponsor's participation in the issuer's initial public offering, as more fully described in the issuer's registration statement on Form S-1 (File No. 333-252730).</w:t>
      </w:r>
    </w:p>
    <w:p>
      <w:pPr>
        <w:spacing w:after="0" w:line="27" w:lineRule="exact"/>
        <w:rPr>
          <w:rFonts w:ascii="Arial" w:cs="Arial" w:eastAsia="Arial" w:hAnsi="Arial"/>
          <w:sz w:val="13"/>
          <w:szCs w:val="13"/>
          <w:color w:val="008000"/>
        </w:rPr>
      </w:pPr>
    </w:p>
    <w:p>
      <w:pPr>
        <w:jc w:val="both"/>
        <w:ind w:left="40" w:right="140" w:firstLine="1"/>
        <w:spacing w:after="0" w:line="265"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described in the issuer's registration statement on Form S-1 (File No. 333-252730) under the heading "Description of Securities -- Founder Shares", the Class B ordinary shares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16" w:lineRule="exact"/>
        <w:rPr>
          <w:rFonts w:ascii="Arial" w:cs="Arial" w:eastAsia="Arial" w:hAnsi="Arial"/>
          <w:sz w:val="12"/>
          <w:szCs w:val="12"/>
          <w:color w:val="008000"/>
        </w:rPr>
      </w:pPr>
    </w:p>
    <w:p>
      <w:pPr>
        <w:ind w:left="40" w:right="14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the Sponsor. The reporting person has voting and investment discretion with respect to the securities held by the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0"/>
          <w:szCs w:val="20"/>
          <w:color w:val="auto"/>
        </w:rPr>
      </w:pPr>
    </w:p>
    <w:p>
      <w:pPr>
        <w:ind w:left="40" w:right="180"/>
        <w:spacing w:after="0" w:line="245" w:lineRule="auto"/>
        <w:rPr>
          <w:sz w:val="20"/>
          <w:szCs w:val="20"/>
          <w:color w:val="auto"/>
        </w:rPr>
      </w:pPr>
      <w:r>
        <w:rPr>
          <w:rFonts w:ascii="Arial" w:cs="Arial" w:eastAsia="Arial" w:hAnsi="Arial"/>
          <w:sz w:val="13"/>
          <w:szCs w:val="13"/>
          <w:color w:val="008000"/>
        </w:rPr>
        <w:t>This Form 4/A is only to conform the date of the earliest transaction and correct the reported amount of beneficial ownership following the reported transaction - beneficial ownership should have been reported as 7,639,076 - not 6,920,326 as reported on May 10, 2021.</w:t>
      </w:r>
    </w:p>
    <w:p>
      <w:pPr>
        <w:spacing w:after="0" w:line="3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0000FF"/>
                <w:w w:val="86"/>
              </w:rPr>
              <w:t>/s/ Daniel Revers</w:t>
            </w:r>
          </w:p>
        </w:tc>
        <w:tc>
          <w:tcPr>
            <w:tcW w:w="8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02/03/2022</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2022-02-03T17:08:12Z</dcterms:created>
  <dcterms:modified xsi:type="dcterms:W3CDTF">2022-02-03T17:08:12Z</dcterms:modified>
</cp:coreProperties>
</file>