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3, 2022</w:t>
      </w:r>
    </w:p>
    <w:p>
      <w:pPr>
        <w:spacing w:after="0" w:line="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09"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 UNDER THE SECURITIES ACT OF 1933</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OPAL FUELS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79" w:lineRule="exact"/>
        <w:rPr>
          <w:sz w:val="24"/>
          <w:szCs w:val="24"/>
          <w:color w:val="auto"/>
        </w:rPr>
      </w:pPr>
    </w:p>
    <w:tbl>
      <w:tblPr>
        <w:tblLayout w:type="fixed"/>
        <w:tblInd w:w="1800" w:type="dxa"/>
        <w:tblCellMar>
          <w:top w:w="0" w:type="dxa"/>
          <w:left w:w="0" w:type="dxa"/>
          <w:bottom w:w="0" w:type="dxa"/>
          <w:right w:w="0" w:type="dxa"/>
        </w:tblCellMar>
      </w:tblPr>
      <w:tr>
        <w:trPr>
          <w:trHeight w:val="210"/>
        </w:trPr>
        <w:tc>
          <w:tcPr>
            <w:tcW w:w="4380" w:type="dxa"/>
            <w:vAlign w:val="bottom"/>
          </w:tcPr>
          <w:p>
            <w:pPr>
              <w:jc w:val="center"/>
              <w:ind w:right="1659"/>
              <w:spacing w:after="0"/>
              <w:rPr>
                <w:sz w:val="20"/>
                <w:szCs w:val="20"/>
                <w:color w:val="auto"/>
              </w:rPr>
            </w:pPr>
            <w:r>
              <w:rPr>
                <w:rFonts w:ascii="Arial" w:cs="Arial" w:eastAsia="Arial" w:hAnsi="Arial"/>
                <w:sz w:val="16"/>
                <w:szCs w:val="16"/>
                <w:b w:val="1"/>
                <w:bCs w:val="1"/>
                <w:color w:val="auto"/>
                <w:w w:val="91"/>
              </w:rPr>
              <w:t>Delaware</w:t>
            </w:r>
          </w:p>
        </w:tc>
        <w:tc>
          <w:tcPr>
            <w:tcW w:w="2940" w:type="dxa"/>
            <w:vAlign w:val="bottom"/>
          </w:tcPr>
          <w:p>
            <w:pPr>
              <w:jc w:val="right"/>
              <w:ind w:right="119"/>
              <w:spacing w:after="0"/>
              <w:rPr>
                <w:sz w:val="20"/>
                <w:szCs w:val="20"/>
                <w:color w:val="auto"/>
              </w:rPr>
            </w:pPr>
            <w:r>
              <w:rPr>
                <w:rFonts w:ascii="Arial" w:cs="Arial" w:eastAsia="Arial" w:hAnsi="Arial"/>
                <w:sz w:val="16"/>
                <w:szCs w:val="16"/>
                <w:b w:val="1"/>
                <w:bCs w:val="1"/>
                <w:color w:val="auto"/>
              </w:rPr>
              <w:t>98-1578357</w:t>
            </w:r>
          </w:p>
        </w:tc>
      </w:tr>
      <w:tr>
        <w:trPr>
          <w:trHeight w:val="172"/>
        </w:trPr>
        <w:tc>
          <w:tcPr>
            <w:tcW w:w="4380" w:type="dxa"/>
            <w:vAlign w:val="bottom"/>
          </w:tcPr>
          <w:p>
            <w:pPr>
              <w:jc w:val="center"/>
              <w:ind w:right="1659"/>
              <w:spacing w:after="0" w:line="171" w:lineRule="exact"/>
              <w:rPr>
                <w:sz w:val="20"/>
                <w:szCs w:val="20"/>
                <w:color w:val="auto"/>
              </w:rPr>
            </w:pPr>
            <w:r>
              <w:rPr>
                <w:rFonts w:ascii="Arial" w:cs="Arial" w:eastAsia="Arial" w:hAnsi="Arial"/>
                <w:sz w:val="16"/>
                <w:szCs w:val="16"/>
                <w:color w:val="auto"/>
                <w:w w:val="94"/>
              </w:rPr>
              <w:t>(State or other jurisdiction</w:t>
            </w:r>
          </w:p>
        </w:tc>
        <w:tc>
          <w:tcPr>
            <w:tcW w:w="2940" w:type="dxa"/>
            <w:vAlign w:val="bottom"/>
          </w:tcPr>
          <w:p>
            <w:pPr>
              <w:jc w:val="center"/>
              <w:ind w:left="167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4380" w:type="dxa"/>
            <w:vAlign w:val="bottom"/>
          </w:tcPr>
          <w:p>
            <w:pPr>
              <w:jc w:val="center"/>
              <w:ind w:right="1659"/>
              <w:spacing w:after="0"/>
              <w:rPr>
                <w:sz w:val="20"/>
                <w:szCs w:val="20"/>
                <w:color w:val="auto"/>
              </w:rPr>
            </w:pPr>
            <w:r>
              <w:rPr>
                <w:rFonts w:ascii="Arial" w:cs="Arial" w:eastAsia="Arial" w:hAnsi="Arial"/>
                <w:sz w:val="16"/>
                <w:szCs w:val="16"/>
                <w:color w:val="auto"/>
                <w:w w:val="93"/>
              </w:rPr>
              <w:t>of incorporation or organization)</w:t>
            </w:r>
          </w:p>
        </w:tc>
        <w:tc>
          <w:tcPr>
            <w:tcW w:w="2940" w:type="dxa"/>
            <w:vAlign w:val="bottom"/>
          </w:tcPr>
          <w:p>
            <w:pPr>
              <w:jc w:val="center"/>
              <w:ind w:left="1659"/>
              <w:spacing w:after="0"/>
              <w:rPr>
                <w:sz w:val="20"/>
                <w:szCs w:val="20"/>
                <w:color w:val="auto"/>
              </w:rPr>
            </w:pPr>
            <w:r>
              <w:rPr>
                <w:rFonts w:ascii="Arial" w:cs="Arial" w:eastAsia="Arial" w:hAnsi="Arial"/>
                <w:sz w:val="16"/>
                <w:szCs w:val="16"/>
                <w:color w:val="auto"/>
                <w:w w:val="96"/>
              </w:rPr>
              <w:t>Identification No.)</w:t>
            </w:r>
          </w:p>
        </w:tc>
      </w:tr>
      <w:tr>
        <w:trPr>
          <w:trHeight w:val="181"/>
        </w:trPr>
        <w:tc>
          <w:tcPr>
            <w:tcW w:w="4380" w:type="dxa"/>
            <w:vAlign w:val="bottom"/>
          </w:tcPr>
          <w:p>
            <w:pPr>
              <w:jc w:val="center"/>
              <w:ind w:right="1659"/>
              <w:spacing w:after="0" w:line="181" w:lineRule="exact"/>
              <w:rPr>
                <w:sz w:val="20"/>
                <w:szCs w:val="20"/>
                <w:color w:val="auto"/>
              </w:rPr>
            </w:pPr>
            <w:r>
              <w:rPr>
                <w:rFonts w:ascii="Arial" w:cs="Arial" w:eastAsia="Arial" w:hAnsi="Arial"/>
                <w:sz w:val="16"/>
                <w:szCs w:val="16"/>
                <w:b w:val="1"/>
                <w:bCs w:val="1"/>
                <w:color w:val="auto"/>
                <w:w w:val="92"/>
              </w:rPr>
              <w:t>One North Lexington Avenue</w:t>
            </w:r>
          </w:p>
        </w:tc>
        <w:tc>
          <w:tcPr>
            <w:tcW w:w="2940" w:type="dxa"/>
            <w:vAlign w:val="bottom"/>
          </w:tcPr>
          <w:p>
            <w:pPr>
              <w:jc w:val="right"/>
              <w:ind w:right="319"/>
              <w:spacing w:after="0" w:line="181" w:lineRule="exact"/>
              <w:rPr>
                <w:sz w:val="20"/>
                <w:szCs w:val="20"/>
                <w:color w:val="auto"/>
              </w:rPr>
            </w:pPr>
            <w:r>
              <w:rPr>
                <w:rFonts w:ascii="Arial" w:cs="Arial" w:eastAsia="Arial" w:hAnsi="Arial"/>
                <w:sz w:val="16"/>
                <w:szCs w:val="16"/>
                <w:b w:val="1"/>
                <w:bCs w:val="1"/>
                <w:color w:val="auto"/>
              </w:rPr>
              <w:t>10601</w:t>
            </w:r>
          </w:p>
        </w:tc>
      </w:tr>
      <w:tr>
        <w:trPr>
          <w:trHeight w:val="162"/>
        </w:trPr>
        <w:tc>
          <w:tcPr>
            <w:tcW w:w="4380" w:type="dxa"/>
            <w:vAlign w:val="bottom"/>
          </w:tcPr>
          <w:p>
            <w:pPr>
              <w:jc w:val="center"/>
              <w:ind w:right="1659"/>
              <w:spacing w:after="0" w:line="162" w:lineRule="exact"/>
              <w:rPr>
                <w:sz w:val="20"/>
                <w:szCs w:val="20"/>
                <w:color w:val="auto"/>
              </w:rPr>
            </w:pPr>
            <w:r>
              <w:rPr>
                <w:rFonts w:ascii="Arial" w:cs="Arial" w:eastAsia="Arial" w:hAnsi="Arial"/>
                <w:sz w:val="16"/>
                <w:szCs w:val="16"/>
                <w:b w:val="1"/>
                <w:bCs w:val="1"/>
                <w:color w:val="auto"/>
                <w:w w:val="90"/>
              </w:rPr>
              <w:t>Suite 1450</w:t>
            </w:r>
          </w:p>
        </w:tc>
        <w:tc>
          <w:tcPr>
            <w:tcW w:w="2940" w:type="dxa"/>
            <w:vAlign w:val="bottom"/>
          </w:tcPr>
          <w:p>
            <w:pPr>
              <w:spacing w:after="0"/>
              <w:rPr>
                <w:sz w:val="14"/>
                <w:szCs w:val="14"/>
                <w:color w:val="auto"/>
              </w:rPr>
            </w:pPr>
          </w:p>
        </w:tc>
      </w:tr>
      <w:tr>
        <w:trPr>
          <w:trHeight w:val="210"/>
        </w:trPr>
        <w:tc>
          <w:tcPr>
            <w:tcW w:w="4380" w:type="dxa"/>
            <w:vAlign w:val="bottom"/>
          </w:tcPr>
          <w:p>
            <w:pPr>
              <w:jc w:val="center"/>
              <w:ind w:right="1679"/>
              <w:spacing w:after="0"/>
              <w:rPr>
                <w:sz w:val="20"/>
                <w:szCs w:val="20"/>
                <w:color w:val="auto"/>
              </w:rPr>
            </w:pPr>
            <w:r>
              <w:rPr>
                <w:rFonts w:ascii="Arial" w:cs="Arial" w:eastAsia="Arial" w:hAnsi="Arial"/>
                <w:sz w:val="16"/>
                <w:szCs w:val="16"/>
                <w:b w:val="1"/>
                <w:bCs w:val="1"/>
                <w:color w:val="auto"/>
                <w:w w:val="93"/>
              </w:rPr>
              <w:t>White Plains, New York</w:t>
            </w:r>
          </w:p>
        </w:tc>
        <w:tc>
          <w:tcPr>
            <w:tcW w:w="2940" w:type="dxa"/>
            <w:vAlign w:val="bottom"/>
          </w:tcPr>
          <w:p>
            <w:pPr>
              <w:spacing w:after="0"/>
              <w:rPr>
                <w:sz w:val="18"/>
                <w:szCs w:val="18"/>
                <w:color w:val="auto"/>
              </w:rPr>
            </w:pPr>
          </w:p>
        </w:tc>
      </w:tr>
      <w:tr>
        <w:trPr>
          <w:trHeight w:val="216"/>
        </w:trPr>
        <w:tc>
          <w:tcPr>
            <w:tcW w:w="4380" w:type="dxa"/>
            <w:vAlign w:val="bottom"/>
          </w:tcPr>
          <w:p>
            <w:pPr>
              <w:jc w:val="center"/>
              <w:ind w:right="1659"/>
              <w:spacing w:after="0"/>
              <w:rPr>
                <w:sz w:val="20"/>
                <w:szCs w:val="20"/>
                <w:color w:val="auto"/>
              </w:rPr>
            </w:pPr>
            <w:r>
              <w:rPr>
                <w:rFonts w:ascii="Arial" w:cs="Arial" w:eastAsia="Arial" w:hAnsi="Arial"/>
                <w:sz w:val="16"/>
                <w:szCs w:val="16"/>
                <w:color w:val="auto"/>
                <w:w w:val="93"/>
              </w:rPr>
              <w:t>(Address of Principal Executive Offices)</w:t>
            </w:r>
          </w:p>
        </w:tc>
        <w:tc>
          <w:tcPr>
            <w:tcW w:w="2940" w:type="dxa"/>
            <w:vAlign w:val="bottom"/>
          </w:tcPr>
          <w:p>
            <w:pPr>
              <w:jc w:val="center"/>
              <w:ind w:left="1659"/>
              <w:spacing w:after="0"/>
              <w:rPr>
                <w:sz w:val="20"/>
                <w:szCs w:val="20"/>
                <w:color w:val="auto"/>
              </w:rPr>
            </w:pPr>
            <w:r>
              <w:rPr>
                <w:rFonts w:ascii="Arial" w:cs="Arial" w:eastAsia="Arial" w:hAnsi="Arial"/>
                <w:sz w:val="16"/>
                <w:szCs w:val="16"/>
                <w:color w:val="auto"/>
                <w:w w:val="95"/>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OPAL Fuels Inc. 2022 Omnibus Equity Incentive Plan</w:t>
      </w:r>
    </w:p>
    <w:p>
      <w:pPr>
        <w:jc w:val="center"/>
        <w:spacing w:after="0"/>
        <w:rPr>
          <w:sz w:val="20"/>
          <w:szCs w:val="20"/>
          <w:color w:val="auto"/>
        </w:rPr>
      </w:pPr>
      <w:r>
        <w:rPr>
          <w:rFonts w:ascii="Arial" w:cs="Arial" w:eastAsia="Arial" w:hAnsi="Arial"/>
          <w:sz w:val="16"/>
          <w:szCs w:val="16"/>
          <w:color w:val="auto"/>
        </w:rPr>
        <w:t>(Full title of the plan)</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Ann Anthony</w:t>
      </w:r>
    </w:p>
    <w:p>
      <w:pPr>
        <w:jc w:val="center"/>
        <w:spacing w:after="0" w:line="211" w:lineRule="auto"/>
        <w:rPr>
          <w:sz w:val="20"/>
          <w:szCs w:val="20"/>
          <w:color w:val="auto"/>
        </w:rPr>
      </w:pPr>
      <w:r>
        <w:rPr>
          <w:rFonts w:ascii="Arial" w:cs="Arial" w:eastAsia="Arial" w:hAnsi="Arial"/>
          <w:sz w:val="16"/>
          <w:szCs w:val="16"/>
          <w:b w:val="1"/>
          <w:bCs w:val="1"/>
          <w:color w:val="auto"/>
        </w:rPr>
        <w:t>Chief Financial Officer</w:t>
      </w:r>
    </w:p>
    <w:p>
      <w:pPr>
        <w:jc w:val="center"/>
        <w:spacing w:after="0" w:line="211" w:lineRule="auto"/>
        <w:rPr>
          <w:sz w:val="20"/>
          <w:szCs w:val="20"/>
          <w:color w:val="auto"/>
        </w:rPr>
      </w:pPr>
      <w:r>
        <w:rPr>
          <w:rFonts w:ascii="Arial" w:cs="Arial" w:eastAsia="Arial" w:hAnsi="Arial"/>
          <w:sz w:val="16"/>
          <w:szCs w:val="16"/>
          <w:b w:val="1"/>
          <w:bCs w:val="1"/>
          <w:color w:val="auto"/>
        </w:rPr>
        <w:t>c/o OPAL Fuels Inc.</w:t>
      </w:r>
    </w:p>
    <w:p>
      <w:pPr>
        <w:jc w:val="center"/>
        <w:spacing w:after="0" w:line="211" w:lineRule="auto"/>
        <w:rPr>
          <w:sz w:val="20"/>
          <w:szCs w:val="20"/>
          <w:color w:val="auto"/>
        </w:rPr>
      </w:pPr>
      <w:r>
        <w:rPr>
          <w:rFonts w:ascii="Arial" w:cs="Arial" w:eastAsia="Arial" w:hAnsi="Arial"/>
          <w:sz w:val="16"/>
          <w:szCs w:val="16"/>
          <w:b w:val="1"/>
          <w:bCs w:val="1"/>
          <w:color w:val="auto"/>
        </w:rPr>
        <w:t>One North Lexington Avenue</w:t>
      </w:r>
    </w:p>
    <w:p>
      <w:pPr>
        <w:jc w:val="center"/>
        <w:spacing w:after="0" w:line="212" w:lineRule="auto"/>
        <w:rPr>
          <w:sz w:val="20"/>
          <w:szCs w:val="20"/>
          <w:color w:val="auto"/>
        </w:rPr>
      </w:pPr>
      <w:r>
        <w:rPr>
          <w:rFonts w:ascii="Arial" w:cs="Arial" w:eastAsia="Arial" w:hAnsi="Arial"/>
          <w:sz w:val="16"/>
          <w:szCs w:val="16"/>
          <w:b w:val="1"/>
          <w:bCs w:val="1"/>
          <w:color w:val="auto"/>
        </w:rPr>
        <w:t>Suite 1450</w:t>
      </w:r>
    </w:p>
    <w:p>
      <w:pPr>
        <w:jc w:val="center"/>
        <w:spacing w:after="0" w:line="211" w:lineRule="auto"/>
        <w:rPr>
          <w:sz w:val="20"/>
          <w:szCs w:val="20"/>
          <w:color w:val="auto"/>
        </w:rPr>
      </w:pPr>
      <w:r>
        <w:rPr>
          <w:rFonts w:ascii="Arial" w:cs="Arial" w:eastAsia="Arial" w:hAnsi="Arial"/>
          <w:sz w:val="16"/>
          <w:szCs w:val="16"/>
          <w:b w:val="1"/>
          <w:bCs w:val="1"/>
          <w:color w:val="auto"/>
        </w:rPr>
        <w:t>White Plains, New York 10601</w:t>
      </w:r>
    </w:p>
    <w:p>
      <w:pPr>
        <w:jc w:val="center"/>
        <w:spacing w:after="0"/>
        <w:rPr>
          <w:sz w:val="20"/>
          <w:szCs w:val="20"/>
          <w:color w:val="auto"/>
        </w:rPr>
      </w:pPr>
      <w:r>
        <w:rPr>
          <w:rFonts w:ascii="Arial" w:cs="Arial" w:eastAsia="Arial" w:hAnsi="Arial"/>
          <w:sz w:val="16"/>
          <w:szCs w:val="16"/>
          <w:color w:val="auto"/>
        </w:rPr>
        <w:t>(Name and address of agent for service)</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(914) 705-4000</w:t>
      </w:r>
    </w:p>
    <w:p>
      <w:pPr>
        <w:jc w:val="center"/>
        <w:spacing w:after="0"/>
        <w:rPr>
          <w:sz w:val="20"/>
          <w:szCs w:val="20"/>
          <w:color w:val="auto"/>
        </w:rPr>
      </w:pPr>
      <w:r>
        <w:rPr>
          <w:rFonts w:ascii="Arial" w:cs="Arial" w:eastAsia="Arial" w:hAnsi="Arial"/>
          <w:sz w:val="16"/>
          <w:szCs w:val="16"/>
          <w:color w:val="auto"/>
        </w:rPr>
        <w:t>(Telephone number, including area code, of agent for service)</w:t>
      </w:r>
    </w:p>
    <w:p>
      <w:pPr>
        <w:spacing w:after="0" w:line="200" w:lineRule="exact"/>
        <w:rPr>
          <w:sz w:val="24"/>
          <w:szCs w:val="24"/>
          <w:color w:val="auto"/>
        </w:rPr>
      </w:pPr>
    </w:p>
    <w:p>
      <w:pPr>
        <w:spacing w:after="0" w:line="296" w:lineRule="exact"/>
        <w:rPr>
          <w:sz w:val="24"/>
          <w:szCs w:val="24"/>
          <w:color w:val="auto"/>
        </w:rPr>
      </w:pPr>
    </w:p>
    <w:tbl>
      <w:tblPr>
        <w:tblLayout w:type="fixed"/>
        <w:tblInd w:w="314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5600" w:type="dxa"/>
            <w:vAlign w:val="bottom"/>
          </w:tcPr>
          <w:p>
            <w:pPr>
              <w:ind w:left="100"/>
              <w:spacing w:after="0"/>
              <w:rPr>
                <w:sz w:val="20"/>
                <w:szCs w:val="20"/>
                <w:color w:val="auto"/>
              </w:rPr>
            </w:pPr>
            <w:r>
              <w:rPr>
                <w:rFonts w:ascii="Arial" w:cs="Arial" w:eastAsia="Arial" w:hAnsi="Arial"/>
                <w:sz w:val="18"/>
                <w:szCs w:val="18"/>
                <w:b w:val="1"/>
                <w:bCs w:val="1"/>
                <w:color w:val="auto"/>
              </w:rPr>
              <w:t>Copies to:</w:t>
            </w:r>
          </w:p>
        </w:tc>
      </w:tr>
      <w:tr>
        <w:trPr>
          <w:trHeight w:val="162"/>
        </w:trPr>
        <w:tc>
          <w:tcPr>
            <w:tcW w:w="2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3"/>
              </w:rPr>
              <w:t>T. Allen McConnell, P.C.</w:t>
            </w:r>
          </w:p>
        </w:tc>
        <w:tc>
          <w:tcPr>
            <w:tcW w:w="5600" w:type="dxa"/>
            <w:vAlign w:val="bottom"/>
          </w:tcPr>
          <w:p>
            <w:pPr>
              <w:jc w:val="center"/>
              <w:ind w:left="3418"/>
              <w:spacing w:after="0" w:line="162" w:lineRule="exact"/>
              <w:rPr>
                <w:sz w:val="20"/>
                <w:szCs w:val="20"/>
                <w:color w:val="auto"/>
              </w:rPr>
            </w:pPr>
            <w:r>
              <w:rPr>
                <w:rFonts w:ascii="Arial" w:cs="Arial" w:eastAsia="Arial" w:hAnsi="Arial"/>
                <w:sz w:val="16"/>
                <w:szCs w:val="16"/>
                <w:b w:val="1"/>
                <w:bCs w:val="1"/>
                <w:color w:val="auto"/>
                <w:w w:val="93"/>
              </w:rPr>
              <w:t>Ann Anthony</w:t>
            </w:r>
          </w:p>
        </w:tc>
      </w:tr>
      <w:tr>
        <w:trPr>
          <w:trHeight w:val="162"/>
        </w:trPr>
        <w:tc>
          <w:tcPr>
            <w:tcW w:w="2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4"/>
              </w:rPr>
              <w:t>Edward M. Welch, Esq.</w:t>
            </w:r>
          </w:p>
        </w:tc>
        <w:tc>
          <w:tcPr>
            <w:tcW w:w="5600" w:type="dxa"/>
            <w:vAlign w:val="bottom"/>
          </w:tcPr>
          <w:p>
            <w:pPr>
              <w:jc w:val="center"/>
              <w:ind w:left="3398"/>
              <w:spacing w:after="0" w:line="162" w:lineRule="exact"/>
              <w:rPr>
                <w:sz w:val="20"/>
                <w:szCs w:val="20"/>
                <w:color w:val="auto"/>
              </w:rPr>
            </w:pPr>
            <w:r>
              <w:rPr>
                <w:rFonts w:ascii="Arial" w:cs="Arial" w:eastAsia="Arial" w:hAnsi="Arial"/>
                <w:sz w:val="16"/>
                <w:szCs w:val="16"/>
                <w:b w:val="1"/>
                <w:bCs w:val="1"/>
                <w:color w:val="auto"/>
                <w:w w:val="94"/>
              </w:rPr>
              <w:t>Chief Financial Officer</w:t>
            </w:r>
          </w:p>
        </w:tc>
      </w:tr>
      <w:tr>
        <w:trPr>
          <w:trHeight w:val="162"/>
        </w:trPr>
        <w:tc>
          <w:tcPr>
            <w:tcW w:w="2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5"/>
              </w:rPr>
              <w:t>Sheppard, Mullin,</w:t>
            </w:r>
          </w:p>
        </w:tc>
        <w:tc>
          <w:tcPr>
            <w:tcW w:w="5600" w:type="dxa"/>
            <w:vAlign w:val="bottom"/>
          </w:tcPr>
          <w:p>
            <w:pPr>
              <w:jc w:val="center"/>
              <w:ind w:left="3398"/>
              <w:spacing w:after="0" w:line="162" w:lineRule="exact"/>
              <w:rPr>
                <w:sz w:val="20"/>
                <w:szCs w:val="20"/>
                <w:color w:val="auto"/>
              </w:rPr>
            </w:pPr>
            <w:r>
              <w:rPr>
                <w:rFonts w:ascii="Arial" w:cs="Arial" w:eastAsia="Arial" w:hAnsi="Arial"/>
                <w:sz w:val="16"/>
                <w:szCs w:val="16"/>
                <w:b w:val="1"/>
                <w:bCs w:val="1"/>
                <w:color w:val="auto"/>
                <w:w w:val="93"/>
              </w:rPr>
              <w:t>c/o OPAL Fuels Inc.</w:t>
            </w:r>
          </w:p>
        </w:tc>
      </w:tr>
      <w:tr>
        <w:trPr>
          <w:trHeight w:val="162"/>
        </w:trPr>
        <w:tc>
          <w:tcPr>
            <w:tcW w:w="2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7"/>
              </w:rPr>
              <w:t>Richter &amp; Hampton LLP</w:t>
            </w:r>
          </w:p>
        </w:tc>
        <w:tc>
          <w:tcPr>
            <w:tcW w:w="5600" w:type="dxa"/>
            <w:vAlign w:val="bottom"/>
          </w:tcPr>
          <w:p>
            <w:pPr>
              <w:jc w:val="center"/>
              <w:ind w:left="3398"/>
              <w:spacing w:after="0" w:line="162" w:lineRule="exact"/>
              <w:rPr>
                <w:sz w:val="20"/>
                <w:szCs w:val="20"/>
                <w:color w:val="auto"/>
              </w:rPr>
            </w:pPr>
            <w:r>
              <w:rPr>
                <w:rFonts w:ascii="Arial" w:cs="Arial" w:eastAsia="Arial" w:hAnsi="Arial"/>
                <w:sz w:val="16"/>
                <w:szCs w:val="16"/>
                <w:b w:val="1"/>
                <w:bCs w:val="1"/>
                <w:color w:val="auto"/>
                <w:w w:val="92"/>
              </w:rPr>
              <w:t>One North Lexington Avenue</w:t>
            </w:r>
          </w:p>
        </w:tc>
      </w:tr>
      <w:tr>
        <w:trPr>
          <w:trHeight w:val="162"/>
        </w:trPr>
        <w:tc>
          <w:tcPr>
            <w:tcW w:w="2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0"/>
              </w:rPr>
              <w:t>30 Rockefeller Plaza</w:t>
            </w:r>
          </w:p>
        </w:tc>
        <w:tc>
          <w:tcPr>
            <w:tcW w:w="5600" w:type="dxa"/>
            <w:vAlign w:val="bottom"/>
          </w:tcPr>
          <w:p>
            <w:pPr>
              <w:jc w:val="center"/>
              <w:ind w:left="3398"/>
              <w:spacing w:after="0" w:line="162" w:lineRule="exact"/>
              <w:rPr>
                <w:sz w:val="20"/>
                <w:szCs w:val="20"/>
                <w:color w:val="auto"/>
              </w:rPr>
            </w:pPr>
            <w:r>
              <w:rPr>
                <w:rFonts w:ascii="Arial" w:cs="Arial" w:eastAsia="Arial" w:hAnsi="Arial"/>
                <w:sz w:val="16"/>
                <w:szCs w:val="16"/>
                <w:b w:val="1"/>
                <w:bCs w:val="1"/>
                <w:color w:val="auto"/>
                <w:w w:val="90"/>
              </w:rPr>
              <w:t>Suite 1450</w:t>
            </w:r>
          </w:p>
        </w:tc>
      </w:tr>
      <w:tr>
        <w:trPr>
          <w:trHeight w:val="162"/>
        </w:trPr>
        <w:tc>
          <w:tcPr>
            <w:tcW w:w="20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New York, New York 10112</w:t>
            </w:r>
          </w:p>
        </w:tc>
        <w:tc>
          <w:tcPr>
            <w:tcW w:w="5600" w:type="dxa"/>
            <w:vAlign w:val="bottom"/>
          </w:tcPr>
          <w:p>
            <w:pPr>
              <w:jc w:val="center"/>
              <w:ind w:left="3418"/>
              <w:spacing w:after="0" w:line="162" w:lineRule="exact"/>
              <w:rPr>
                <w:sz w:val="20"/>
                <w:szCs w:val="20"/>
                <w:color w:val="auto"/>
              </w:rPr>
            </w:pPr>
            <w:r>
              <w:rPr>
                <w:rFonts w:ascii="Arial" w:cs="Arial" w:eastAsia="Arial" w:hAnsi="Arial"/>
                <w:sz w:val="16"/>
                <w:szCs w:val="16"/>
                <w:b w:val="1"/>
                <w:bCs w:val="1"/>
                <w:color w:val="auto"/>
                <w:w w:val="92"/>
              </w:rPr>
              <w:t>White Plains, New York 10601</w:t>
            </w:r>
          </w:p>
        </w:tc>
      </w:tr>
      <w:tr>
        <w:trPr>
          <w:trHeight w:val="210"/>
        </w:trPr>
        <w:tc>
          <w:tcPr>
            <w:tcW w:w="20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Tel: (212) 653-8700</w:t>
            </w:r>
          </w:p>
        </w:tc>
        <w:tc>
          <w:tcPr>
            <w:tcW w:w="5600" w:type="dxa"/>
            <w:vAlign w:val="bottom"/>
          </w:tcPr>
          <w:p>
            <w:pPr>
              <w:jc w:val="center"/>
              <w:ind w:left="3398"/>
              <w:spacing w:after="0"/>
              <w:rPr>
                <w:sz w:val="20"/>
                <w:szCs w:val="20"/>
                <w:color w:val="auto"/>
              </w:rPr>
            </w:pPr>
            <w:r>
              <w:rPr>
                <w:rFonts w:ascii="Arial" w:cs="Arial" w:eastAsia="Arial" w:hAnsi="Arial"/>
                <w:sz w:val="16"/>
                <w:szCs w:val="16"/>
                <w:b w:val="1"/>
                <w:bCs w:val="1"/>
                <w:color w:val="auto"/>
                <w:w w:val="92"/>
              </w:rPr>
              <w:t>Tel: (914) 705-4000</w:t>
            </w:r>
          </w:p>
        </w:tc>
      </w:tr>
    </w:tbl>
    <w:p>
      <w:pPr>
        <w:spacing w:after="0" w:line="200" w:lineRule="exact"/>
        <w:rPr>
          <w:sz w:val="24"/>
          <w:szCs w:val="24"/>
          <w:color w:val="auto"/>
        </w:rPr>
      </w:pPr>
    </w:p>
    <w:p>
      <w:pPr>
        <w:spacing w:after="0" w:line="336"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348" w:lineRule="exact"/>
        <w:rPr>
          <w:sz w:val="20"/>
          <w:szCs w:val="20"/>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3" w:lineRule="exact"/>
        <w:rPr>
          <w:sz w:val="20"/>
          <w:szCs w:val="20"/>
          <w:color w:val="auto"/>
        </w:rPr>
      </w:pPr>
    </w:p>
    <w:p>
      <w:pPr>
        <w:sectPr>
          <w:pgSz w:w="11900" w:h="16838" w:orient="portrait"/>
          <w:cols w:equalWidth="0" w:num="2">
            <w:col w:w="4420" w:space="720"/>
            <w:col w:w="5520"/>
          </w:cols>
          <w:pgMar w:left="320" w:top="1440" w:right="919" w:bottom="1440" w:gutter="0" w:footer="0" w:header="0"/>
        </w:sect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5"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ectPr>
          <w:pgSz w:w="11900" w:h="16838" w:orient="portrait"/>
          <w:cols w:equalWidth="0" w:num="2">
            <w:col w:w="4420" w:space="720"/>
            <w:col w:w="5520"/>
          </w:cols>
          <w:pgMar w:left="320" w:top="1440" w:right="919" w:bottom="1440" w:gutter="0" w:footer="0" w:header="0"/>
          <w:type w:val="continuous"/>
        </w:sectPr>
      </w:pPr>
    </w:p>
    <w:p>
      <w:pPr>
        <w:spacing w:after="0" w:line="265" w:lineRule="exact"/>
        <w:rPr>
          <w:sz w:val="20"/>
          <w:szCs w:val="20"/>
          <w:color w:val="auto"/>
        </w:rPr>
      </w:pPr>
    </w:p>
    <w:p>
      <w:pPr>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660"/>
          </w:cols>
          <w:pgMar w:left="320" w:top="1440" w:right="91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4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information called for by Part I of Form S-8 is omitted from this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Registration Statement or as prospectuses or prospectus supplements pursuant to Rule 424. The documents containing the information specified in Part I of Form S-8 will be delivered to the participants in the equity incentive plan covered by this Registration Statement as specified by Rule 428(b)(1)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3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following documents filed by OPAL Fuels Inc. (the “Registrant”) with the Commission pursuant to the Securities Act and the Securities Exchange Act of 1934, as amended (the “Exchange Act”), are incorporated herein by reference:</w:t>
      </w:r>
    </w:p>
    <w:p>
      <w:pPr>
        <w:spacing w:after="0" w:line="121" w:lineRule="exact"/>
        <w:rPr>
          <w:sz w:val="20"/>
          <w:szCs w:val="20"/>
          <w:color w:val="auto"/>
        </w:rPr>
      </w:pPr>
    </w:p>
    <w:p>
      <w:pPr>
        <w:ind w:left="980" w:right="520" w:hanging="324"/>
        <w:spacing w:after="0" w:line="224" w:lineRule="auto"/>
        <w:tabs>
          <w:tab w:leader="none" w:pos="91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prospectus filed pursuant to Rule 424(b) under the Securities Act (File No. 333-262583) on June 27, 2022, relating to the Company’s Registration Statement on Form S-4, as amended (File No. 333-262583), originally filed with the Commission on February 8, 2022 (as amended, including all exhibits);</w:t>
      </w:r>
    </w:p>
    <w:p>
      <w:pPr>
        <w:spacing w:after="0" w:line="122" w:lineRule="exact"/>
        <w:rPr>
          <w:rFonts w:ascii="Arial" w:cs="Arial" w:eastAsia="Arial" w:hAnsi="Arial"/>
          <w:sz w:val="18"/>
          <w:szCs w:val="18"/>
          <w:color w:val="auto"/>
        </w:rPr>
      </w:pPr>
    </w:p>
    <w:p>
      <w:pPr>
        <w:ind w:left="980" w:right="540" w:hanging="324"/>
        <w:spacing w:after="0" w:line="235" w:lineRule="auto"/>
        <w:tabs>
          <w:tab w:leader="none" w:pos="9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January 3, 2022, May 12, 2022, July 18, 2022, July 27, 2022, August 4, 2022, August 8, 2022, August 10, 2022, and September 19, 2022; and</w:t>
      </w:r>
    </w:p>
    <w:p>
      <w:pPr>
        <w:spacing w:after="0" w:line="107" w:lineRule="exact"/>
        <w:rPr>
          <w:rFonts w:ascii="Arial" w:cs="Arial" w:eastAsia="Arial" w:hAnsi="Arial"/>
          <w:sz w:val="18"/>
          <w:szCs w:val="18"/>
          <w:color w:val="auto"/>
        </w:rPr>
      </w:pPr>
    </w:p>
    <w:p>
      <w:pPr>
        <w:ind w:left="980" w:right="200" w:hanging="324"/>
        <w:spacing w:after="0" w:line="24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Company’s Class A common stock contained in the Company’s Registration Statement on Form S-1(File No. 333-266757) filed with the Commission on August 11, 2022, pursuant to Section 12(b) of the Securities Exchange Act of 1934, as amended (the “Exchange Act”).</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w:t>
      </w:r>
    </w:p>
    <w:p>
      <w:pPr>
        <w:jc w:val="both"/>
        <w:spacing w:after="0" w:line="231" w:lineRule="auto"/>
        <w:rPr>
          <w:sz w:val="20"/>
          <w:szCs w:val="20"/>
          <w:color w:val="auto"/>
        </w:rPr>
      </w:pPr>
      <w:r>
        <w:rPr>
          <w:rFonts w:ascii="Arial" w:cs="Arial" w:eastAsia="Arial" w:hAnsi="Arial"/>
          <w:sz w:val="17"/>
          <w:szCs w:val="17"/>
          <w:color w:val="auto"/>
        </w:rPr>
        <w:t>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spacing w:after="0" w:line="17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such earlier statement. Any statement so modified or superseded shall not be deemed, except as so modified or superseded, to constitute a part of this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89"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6"/>
          <w:szCs w:val="16"/>
          <w:color w:val="auto"/>
        </w:rPr>
        <w:t>Section 145 of the General Corporation Law of the State of Delaware (the “DGCL”), authorizes a court to award, or a corporation’s board of directors to grant, indemnity to directors and officers under certain circumstances and subject to certain limitations. The terms of Section 145 of the DGCL</w:t>
      </w:r>
    </w:p>
    <w:p>
      <w:pPr>
        <w:jc w:val="both"/>
        <w:spacing w:after="0" w:line="226" w:lineRule="auto"/>
        <w:rPr>
          <w:sz w:val="20"/>
          <w:szCs w:val="20"/>
          <w:color w:val="auto"/>
        </w:rPr>
      </w:pPr>
      <w:r>
        <w:rPr>
          <w:rFonts w:ascii="Arial" w:cs="Arial" w:eastAsia="Arial" w:hAnsi="Arial"/>
          <w:sz w:val="18"/>
          <w:szCs w:val="18"/>
          <w:color w:val="auto"/>
        </w:rPr>
        <w:t>are sufficiently broad to permit indemnification under certain circumstances for liabilities, including reimbursement of expenses incurred, arising under the Securities Act.</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permitted by the DGCL, the Certificate of Incorporation of the Registrant contains provisions that eliminate the personal liability of its</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directors for monetary damages for any breach of fiduciary duties as a director, to the fullest extent permitted by the DGCL. As permitted by the DGCL, the Bylaws of the Registrant provide that:</w:t>
      </w:r>
    </w:p>
    <w:p>
      <w:pPr>
        <w:spacing w:after="0" w:line="107" w:lineRule="exact"/>
        <w:rPr>
          <w:sz w:val="20"/>
          <w:szCs w:val="20"/>
          <w:color w:val="auto"/>
        </w:rPr>
      </w:pPr>
    </w:p>
    <w:p>
      <w:pPr>
        <w:ind w:left="980" w:right="20" w:hanging="324"/>
        <w:spacing w:after="0" w:line="246" w:lineRule="auto"/>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102" w:lineRule="exact"/>
        <w:rPr>
          <w:rFonts w:ascii="Arial" w:cs="Arial" w:eastAsia="Arial" w:hAnsi="Arial"/>
          <w:sz w:val="18"/>
          <w:szCs w:val="18"/>
          <w:color w:val="auto"/>
        </w:rPr>
      </w:pPr>
    </w:p>
    <w:p>
      <w:pPr>
        <w:ind w:left="900" w:hanging="244"/>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4" w:right="339" w:bottom="1440" w:gutter="0" w:footer="0" w:header="0"/>
        </w:sectPr>
      </w:pPr>
    </w:p>
    <w:bookmarkStart w:id="4" w:name="page5"/>
    <w:bookmarkEnd w:id="4"/>
    <w:p>
      <w:pPr>
        <w:ind w:left="980" w:hanging="324"/>
        <w:spacing w:after="0" w:line="235" w:lineRule="auto"/>
        <w:tabs>
          <w:tab w:leader="none" w:pos="92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121" w:lineRule="exact"/>
        <w:rPr>
          <w:rFonts w:ascii="Arial" w:cs="Arial" w:eastAsia="Arial" w:hAnsi="Arial"/>
          <w:sz w:val="18"/>
          <w:szCs w:val="18"/>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rights conferred in the Bylaws of the Registrant are not exclusive.</w:t>
      </w:r>
    </w:p>
    <w:p>
      <w:pPr>
        <w:spacing w:after="0" w:line="13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Registrant has entered into indemnification agreements with each of its directors and executive officers pursuant to which, subject to certain exceptions, the Registrant shall indemnify its directors and executive officers for all reasonable and documented direct and indirect expenses, including</w:t>
      </w:r>
    </w:p>
    <w:p>
      <w:pPr>
        <w:jc w:val="both"/>
        <w:spacing w:after="0" w:line="234" w:lineRule="auto"/>
        <w:rPr>
          <w:sz w:val="20"/>
          <w:szCs w:val="20"/>
          <w:color w:val="auto"/>
        </w:rPr>
      </w:pPr>
      <w:r>
        <w:rPr>
          <w:rFonts w:ascii="Arial" w:cs="Arial" w:eastAsia="Arial" w:hAnsi="Arial"/>
          <w:sz w:val="16"/>
          <w:szCs w:val="16"/>
          <w:color w:val="auto"/>
        </w:rPr>
        <w:t>attorneys’ fees, paid or incurred by such officer or director in connection with the investigation, defense or appeal of, or being a witness or otherwise involved in, a Proceeding (as defined in the Indemnification Agreements), or establishing or enforcing a right to indemnification under such agreement, Section 145 of the DGCL or otherwise (the “Expenses”). Pursuant to the Indemnification Agreements, in the event an officer or director who was or is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party to or witness in or is threatened to be made a party to or witness in any Proceeding with respect such officer’s or director’s service for OPAL or any subsidiary or affiliate as an Indemnifiable Person (as defined in the Indemnification Agreements), or by reason of anything done or not done, or any act or omission, by such officer or director in any such capacity, OPAL shall indemnify such officer and director from and against any and all Expenses and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Liabilities (as defined in the Indemnification Agreements) incurred by such officer and director in connection with such Proceeding to the fullest extent not prohibited by the provisions of the Registrant’s Bylaws and the DGCL. Furthermore, pursuant to the Indemnification Agreements, OPAL shall, subject to certain exception, at the request of an officer or director, advance all Expenses incurred by such officer or director prior to the final disposition of a</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Proceeding. At present, there is no pending litigation or proceeding involving one of the Registrant’s directors or executive officers for which indemnification is sought. The indemnification provisions in the Certificate of Incorporation, Bylaws, and the indemnification agreements entered into between the Registrant and each of the Registrant’s directors and executive officers may be sufficiently broad to permit indemnification of the Registrant’s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directors and executive officers for liabilities arising under the Securities Act.</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Section 145(g) of the DGCL also provides that a corporation may maintain insurance against liabilities even if the corporation would lack the power under the DGCL to indemnify against those liabilities. The Registrant carries liability insurance for the Registrant’s directors and officers. Certain of</w:t>
      </w:r>
    </w:p>
    <w:p>
      <w:pPr>
        <w:spacing w:after="0"/>
        <w:rPr>
          <w:sz w:val="20"/>
          <w:szCs w:val="20"/>
          <w:color w:val="auto"/>
        </w:rPr>
      </w:pPr>
      <w:r>
        <w:rPr>
          <w:rFonts w:ascii="Arial" w:cs="Arial" w:eastAsia="Arial" w:hAnsi="Arial"/>
          <w:sz w:val="18"/>
          <w:szCs w:val="18"/>
          <w:color w:val="auto"/>
        </w:rPr>
        <w:t>the Registrant’s directors are also indemnified by their employers with regard to service on the Registrant’s board of directors.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Insofar as indemnification for liabilities arising under the Securities Act of 1933 may be permitted to the registrant’s directors, officers or</w:t>
      </w:r>
    </w:p>
    <w:p>
      <w:pPr>
        <w:spacing w:after="0" w:line="10"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controlling persons pursuant to the foregoing provisions, the registrant has been informed that, in the opinion of the SEC, such indemnification is against public policy as expressed in the Securities Act of 1933 and is, therefore, unenforceable. In addition, indemnification for violations of state securities laws may be limited by applicable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8" w:right="339" w:bottom="1440" w:gutter="0" w:footer="0" w:header="0"/>
        </w:sectPr>
      </w:pPr>
    </w:p>
    <w:bookmarkStart w:id="5" w:name="page6"/>
    <w:bookmarkEnd w:id="5"/>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4"/>
          </w:tcPr>
          <w:p>
            <w:pPr>
              <w:spacing w:after="0"/>
              <w:rPr>
                <w:sz w:val="20"/>
                <w:szCs w:val="20"/>
                <w:color w:val="auto"/>
              </w:rPr>
            </w:pPr>
            <w:r>
              <w:rPr>
                <w:rFonts w:ascii="Arial" w:cs="Arial" w:eastAsia="Arial" w:hAnsi="Arial"/>
                <w:sz w:val="18"/>
                <w:szCs w:val="18"/>
                <w:b w:val="1"/>
                <w:bCs w:val="1"/>
                <w:color w:val="auto"/>
              </w:rPr>
              <w:t>Item 8. Exhibits.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gridSpan w:val="5"/>
            <w:shd w:val="clear" w:color="auto" w:fill="CCEEFF"/>
          </w:tcPr>
          <w:p>
            <w:pPr>
              <w:ind w:left="400"/>
              <w:spacing w:after="0"/>
              <w:rPr>
                <w:sz w:val="20"/>
                <w:szCs w:val="20"/>
                <w:color w:val="auto"/>
              </w:rPr>
            </w:pPr>
            <w:r>
              <w:rPr>
                <w:rFonts w:ascii="Arial" w:cs="Arial" w:eastAsia="Arial" w:hAnsi="Arial"/>
                <w:sz w:val="18"/>
                <w:szCs w:val="18"/>
                <w:b w:val="1"/>
                <w:bCs w:val="1"/>
                <w:color w:val="auto"/>
                <w:w w:val="92"/>
              </w:rPr>
              <w:t>Incorporated by Reference</w:t>
            </w:r>
          </w:p>
        </w:tc>
        <w:tc>
          <w:tcPr>
            <w:tcW w:w="1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60" w:type="dxa"/>
            <w:vAlign w:val="bottom"/>
            <w:gridSpan w:val="20"/>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Form</w:t>
            </w:r>
          </w:p>
        </w:tc>
        <w:tc>
          <w:tcPr>
            <w:tcW w:w="1420" w:type="dxa"/>
            <w:vAlign w:val="bottom"/>
            <w:gridSpan w:val="2"/>
          </w:tcPr>
          <w:p>
            <w:pPr>
              <w:ind w:left="360"/>
              <w:spacing w:after="0"/>
              <w:rPr>
                <w:sz w:val="20"/>
                <w:szCs w:val="20"/>
                <w:color w:val="auto"/>
              </w:rPr>
            </w:pPr>
            <w:r>
              <w:rPr>
                <w:rFonts w:ascii="Arial" w:cs="Arial" w:eastAsia="Arial" w:hAnsi="Arial"/>
                <w:sz w:val="18"/>
                <w:szCs w:val="18"/>
                <w:b w:val="1"/>
                <w:bCs w:val="1"/>
                <w:color w:val="auto"/>
              </w:rPr>
              <w:t>File No.</w:t>
            </w:r>
          </w:p>
        </w:tc>
        <w:tc>
          <w:tcPr>
            <w:tcW w:w="1120" w:type="dxa"/>
            <w:vAlign w:val="bottom"/>
            <w:gridSpan w:val="3"/>
          </w:tcPr>
          <w:p>
            <w:pPr>
              <w:ind w:left="160"/>
              <w:spacing w:after="0"/>
              <w:rPr>
                <w:sz w:val="20"/>
                <w:szCs w:val="20"/>
                <w:color w:val="auto"/>
              </w:rPr>
            </w:pPr>
            <w:r>
              <w:rPr>
                <w:rFonts w:ascii="Arial" w:cs="Arial" w:eastAsia="Arial" w:hAnsi="Arial"/>
                <w:sz w:val="18"/>
                <w:szCs w:val="18"/>
                <w:b w:val="1"/>
                <w:bCs w:val="1"/>
                <w:color w:val="auto"/>
              </w:rPr>
              <w:t>Exhibit</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Filing Date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gridSpan w:val="19"/>
          </w:tcPr>
          <w:p>
            <w:pPr>
              <w:spacing w:after="0" w:line="189" w:lineRule="exact"/>
              <w:rPr>
                <w:rFonts w:ascii="Arial" w:cs="Arial" w:eastAsia="Arial" w:hAnsi="Arial"/>
                <w:sz w:val="18"/>
                <w:szCs w:val="18"/>
                <w:color w:val="0000FF"/>
              </w:rPr>
            </w:pPr>
            <w:hyperlink r:id="rId10">
              <w:r>
                <w:rPr>
                  <w:rFonts w:ascii="Arial" w:cs="Arial" w:eastAsia="Arial" w:hAnsi="Arial"/>
                  <w:sz w:val="18"/>
                  <w:szCs w:val="18"/>
                  <w:color w:val="0000FF"/>
                </w:rPr>
                <w:t>Restated Certificate of Incorporation of OPAL</w:t>
              </w:r>
            </w:hyperlink>
          </w:p>
        </w:tc>
        <w:tc>
          <w:tcPr>
            <w:tcW w:w="100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89"/>
              </w:rPr>
              <w:t>333-266757</w:t>
            </w: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88"/>
              </w:rPr>
              <w:t>September 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340" w:type="dxa"/>
            <w:vAlign w:val="bottom"/>
            <w:tcBorders>
              <w:top w:val="single" w:sz="8" w:color="0000FF"/>
            </w:tcBorders>
            <w:gridSpan w:val="12"/>
          </w:tcPr>
          <w:p>
            <w:pPr>
              <w:spacing w:after="0" w:line="169" w:lineRule="exact"/>
              <w:rPr>
                <w:rFonts w:ascii="Arial" w:cs="Arial" w:eastAsia="Arial" w:hAnsi="Arial"/>
                <w:sz w:val="18"/>
                <w:szCs w:val="18"/>
                <w:color w:val="0000FF"/>
              </w:rPr>
            </w:pPr>
            <w:hyperlink r:id="rId10">
              <w:r>
                <w:rPr>
                  <w:rFonts w:ascii="Arial" w:cs="Arial" w:eastAsia="Arial" w:hAnsi="Arial"/>
                  <w:sz w:val="18"/>
                  <w:szCs w:val="18"/>
                  <w:color w:val="0000FF"/>
                </w:rPr>
                <w:t>Fuels Inc.</w:t>
              </w:r>
            </w:hyperlink>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0000FF"/>
            </w:tcBorders>
            <w:gridSpan w:val="9"/>
            <w:shd w:val="clear" w:color="auto" w:fill="CCEEFF"/>
          </w:tcPr>
          <w:p>
            <w:pPr>
              <w:spacing w:after="0" w:line="216" w:lineRule="exact"/>
              <w:rPr>
                <w:rFonts w:ascii="Arial" w:cs="Arial" w:eastAsia="Arial" w:hAnsi="Arial"/>
                <w:sz w:val="22"/>
                <w:szCs w:val="22"/>
                <w:color w:val="0000FF"/>
                <w:w w:val="91"/>
              </w:rPr>
            </w:pPr>
            <w:hyperlink r:id="rId11">
              <w:r>
                <w:rPr>
                  <w:rFonts w:ascii="Arial" w:cs="Arial" w:eastAsia="Arial" w:hAnsi="Arial"/>
                  <w:sz w:val="22"/>
                  <w:szCs w:val="22"/>
                  <w:color w:val="0000FF"/>
                  <w:w w:val="91"/>
                </w:rPr>
                <w:t>Bylaws of OPAL Fuels Inc.</w:t>
              </w:r>
            </w:hyperlink>
          </w:p>
        </w:tc>
        <w:tc>
          <w:tcPr>
            <w:tcW w:w="1460" w:type="dxa"/>
            <w:vAlign w:val="bottom"/>
            <w:tcBorders>
              <w:bottom w:val="single" w:sz="8" w:color="CCEEFF"/>
            </w:tcBorders>
            <w:gridSpan w:val="11"/>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8-K</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001-40272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July 27, 2022</w:t>
            </w: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w w:val="95"/>
              </w:rPr>
              <w:t>5.1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gridSpan w:val="19"/>
          </w:tcPr>
          <w:p>
            <w:pPr>
              <w:spacing w:after="0" w:line="189" w:lineRule="exact"/>
              <w:rPr>
                <w:sz w:val="20"/>
                <w:szCs w:val="20"/>
                <w:color w:val="auto"/>
              </w:rPr>
            </w:pPr>
            <w:r>
              <w:rPr>
                <w:rFonts w:ascii="Arial" w:cs="Arial" w:eastAsia="Arial" w:hAnsi="Arial"/>
                <w:sz w:val="18"/>
                <w:szCs w:val="18"/>
                <w:color w:val="0000FF"/>
                <w:w w:val="98"/>
              </w:rPr>
              <w:t>Opinion of Sheppard, Mullin, Richter &amp; Hampton</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8"/>
                <w:szCs w:val="18"/>
                <w:color w:val="0000FF"/>
              </w:rPr>
              <w:t>LLP.</w:t>
            </w: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23.1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0000FF"/>
            </w:tcBorders>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1"/>
              </w:rPr>
              <w:t>Consent of BDO USA, LLP, independent</w:t>
            </w:r>
          </w:p>
        </w:tc>
        <w:tc>
          <w:tcPr>
            <w:tcW w:w="840" w:type="dxa"/>
            <w:vAlign w:val="bottom"/>
            <w:tcBorders>
              <w:bottom w:val="single" w:sz="8" w:color="CCEEFF"/>
            </w:tcBorders>
            <w:gridSpan w:val="9"/>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0000FF"/>
            </w:tcBorders>
            <w:gridSpan w:val="14"/>
            <w:shd w:val="clear" w:color="auto" w:fill="CCEEFF"/>
          </w:tcPr>
          <w:p>
            <w:pPr>
              <w:spacing w:after="0" w:line="169" w:lineRule="exact"/>
              <w:rPr>
                <w:sz w:val="20"/>
                <w:szCs w:val="20"/>
                <w:color w:val="auto"/>
              </w:rPr>
            </w:pPr>
            <w:r>
              <w:rPr>
                <w:rFonts w:ascii="Arial" w:cs="Arial" w:eastAsia="Arial" w:hAnsi="Arial"/>
                <w:sz w:val="18"/>
                <w:szCs w:val="18"/>
                <w:color w:val="0000FF"/>
                <w:w w:val="92"/>
              </w:rPr>
              <w:t>registered accounting firm for OPAL Fuels LLC.</w:t>
            </w:r>
          </w:p>
        </w:tc>
        <w:tc>
          <w:tcPr>
            <w:tcW w:w="300" w:type="dxa"/>
            <w:vAlign w:val="bottom"/>
            <w:tcBorders>
              <w:bottom w:val="single" w:sz="8" w:color="CCEEFF"/>
            </w:tcBorders>
            <w:gridSpan w:val="5"/>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w w:val="91"/>
              </w:rPr>
              <w:t>23.2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gridSpan w:val="19"/>
          </w:tcPr>
          <w:p>
            <w:pPr>
              <w:spacing w:after="0" w:line="189" w:lineRule="exact"/>
              <w:rPr>
                <w:sz w:val="20"/>
                <w:szCs w:val="20"/>
                <w:color w:val="auto"/>
              </w:rPr>
            </w:pPr>
            <w:r>
              <w:rPr>
                <w:rFonts w:ascii="Arial" w:cs="Arial" w:eastAsia="Arial" w:hAnsi="Arial"/>
                <w:sz w:val="18"/>
                <w:szCs w:val="18"/>
                <w:color w:val="0000FF"/>
                <w:w w:val="98"/>
              </w:rPr>
              <w:t>Consent of BDO USA, LLP, independent auditor</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2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8"/>
                <w:szCs w:val="18"/>
                <w:color w:val="0000FF"/>
              </w:rPr>
              <w:t>for Beacon RNG LLC.</w:t>
            </w: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20" w:type="dxa"/>
            <w:vAlign w:val="bottom"/>
            <w:tcBorders>
              <w:bottom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23.3</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0000FF"/>
            </w:tcBorders>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0"/>
              </w:rPr>
              <w:t>Consent of Marcum LLP, independent registered</w:t>
            </w:r>
          </w:p>
        </w:tc>
        <w:tc>
          <w:tcPr>
            <w:tcW w:w="340" w:type="dxa"/>
            <w:vAlign w:val="bottom"/>
            <w:tcBorders>
              <w:bottom w:val="single" w:sz="8" w:color="CCEEFF"/>
            </w:tcBorders>
            <w:gridSpan w:val="6"/>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60" w:type="dxa"/>
            <w:vAlign w:val="bottom"/>
            <w:gridSpan w:val="20"/>
            <w:shd w:val="clear" w:color="auto" w:fill="CCEEFF"/>
          </w:tcPr>
          <w:p>
            <w:pPr>
              <w:spacing w:after="0" w:line="169" w:lineRule="exact"/>
              <w:rPr>
                <w:sz w:val="20"/>
                <w:szCs w:val="20"/>
                <w:color w:val="auto"/>
              </w:rPr>
            </w:pPr>
            <w:r>
              <w:rPr>
                <w:rFonts w:ascii="Arial" w:cs="Arial" w:eastAsia="Arial" w:hAnsi="Arial"/>
                <w:sz w:val="18"/>
                <w:szCs w:val="18"/>
                <w:color w:val="0000FF"/>
                <w:w w:val="96"/>
              </w:rPr>
              <w:t>accounting firm for Arclight Clean Transition Corp.</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740" w:type="dxa"/>
            <w:vAlign w:val="bottom"/>
            <w:tcBorders>
              <w:top w:val="single" w:sz="8" w:color="0000FF"/>
            </w:tcBorders>
            <w:gridSpan w:val="18"/>
            <w:shd w:val="clear" w:color="auto" w:fill="CCEEFF"/>
          </w:tcPr>
          <w:p>
            <w:pPr>
              <w:spacing w:after="0" w:line="156" w:lineRule="exact"/>
              <w:rPr>
                <w:sz w:val="20"/>
                <w:szCs w:val="20"/>
                <w:color w:val="auto"/>
              </w:rPr>
            </w:pPr>
            <w:r>
              <w:rPr>
                <w:rFonts w:ascii="Arial" w:cs="Arial" w:eastAsia="Arial" w:hAnsi="Arial"/>
                <w:sz w:val="18"/>
                <w:szCs w:val="18"/>
                <w:color w:val="0000FF"/>
              </w:rPr>
              <w:t>II</w:t>
            </w:r>
          </w:p>
        </w:tc>
        <w:tc>
          <w:tcPr>
            <w:tcW w:w="120" w:type="dxa"/>
            <w:vAlign w:val="bottom"/>
            <w:tcBorders>
              <w:top w:val="single" w:sz="8" w:color="CCEEFF"/>
            </w:tcBorders>
            <w:gridSpan w:val="2"/>
            <w:shd w:val="clear" w:color="auto" w:fill="CCEEFF"/>
          </w:tcPr>
          <w:p>
            <w:pPr>
              <w:spacing w:after="0"/>
              <w:rPr>
                <w:sz w:val="13"/>
                <w:szCs w:val="13"/>
                <w:color w:val="auto"/>
              </w:rPr>
            </w:pPr>
          </w:p>
        </w:tc>
        <w:tc>
          <w:tcPr>
            <w:tcW w:w="9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w w:val="91"/>
              </w:rPr>
              <w:t>23.4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gridSpan w:val="19"/>
          </w:tcPr>
          <w:p>
            <w:pPr>
              <w:spacing w:after="0" w:line="189" w:lineRule="exact"/>
              <w:rPr>
                <w:sz w:val="20"/>
                <w:szCs w:val="20"/>
                <w:color w:val="auto"/>
              </w:rPr>
            </w:pPr>
            <w:r>
              <w:rPr>
                <w:rFonts w:ascii="Arial" w:cs="Arial" w:eastAsia="Arial" w:hAnsi="Arial"/>
                <w:sz w:val="18"/>
                <w:szCs w:val="18"/>
                <w:color w:val="0000FF"/>
                <w:w w:val="97"/>
              </w:rPr>
              <w:t>Consent of Sheppard, Mullin, Richter &amp; Hampton</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8"/>
                <w:szCs w:val="18"/>
                <w:color w:val="0000FF"/>
              </w:rPr>
              <w:t>LLP (contained in Exhibit 5.1).</w:t>
            </w:r>
          </w:p>
        </w:tc>
        <w:tc>
          <w:tcPr>
            <w:tcW w:w="22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24.1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2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rPr>
              <w:t>Powers of Attorney (included on the signature</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640" w:type="dxa"/>
            <w:vAlign w:val="bottom"/>
            <w:tcBorders>
              <w:top w:val="single" w:sz="8" w:color="0000FF"/>
              <w:bottom w:val="single" w:sz="8" w:color="0000FF"/>
            </w:tcBorders>
            <w:gridSpan w:val="9"/>
            <w:shd w:val="clear" w:color="auto" w:fill="CCEEFF"/>
          </w:tcPr>
          <w:p>
            <w:pPr>
              <w:spacing w:after="0" w:line="169" w:lineRule="exact"/>
              <w:rPr>
                <w:sz w:val="20"/>
                <w:szCs w:val="20"/>
                <w:color w:val="auto"/>
              </w:rPr>
            </w:pPr>
            <w:r>
              <w:rPr>
                <w:rFonts w:ascii="Arial" w:cs="Arial" w:eastAsia="Arial" w:hAnsi="Arial"/>
                <w:sz w:val="18"/>
                <w:szCs w:val="18"/>
                <w:color w:val="0000FF"/>
                <w:w w:val="89"/>
              </w:rPr>
              <w:t>page of this Registration Statement).</w:t>
            </w:r>
          </w:p>
        </w:tc>
        <w:tc>
          <w:tcPr>
            <w:tcW w:w="68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0" w:type="dxa"/>
            <w:vAlign w:val="bottom"/>
          </w:tcPr>
          <w:p>
            <w:pPr>
              <w:jc w:val="center"/>
              <w:spacing w:after="0" w:line="189" w:lineRule="exact"/>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gridSpan w:val="19"/>
          </w:tcPr>
          <w:p>
            <w:pPr>
              <w:spacing w:after="0" w:line="189" w:lineRule="exact"/>
              <w:rPr>
                <w:rFonts w:ascii="Arial" w:cs="Arial" w:eastAsia="Arial" w:hAnsi="Arial"/>
                <w:sz w:val="18"/>
                <w:szCs w:val="18"/>
                <w:color w:val="0000FF"/>
                <w:w w:val="98"/>
              </w:rPr>
            </w:pPr>
            <w:hyperlink r:id="rId12">
              <w:r>
                <w:rPr>
                  <w:rFonts w:ascii="Arial" w:cs="Arial" w:eastAsia="Arial" w:hAnsi="Arial"/>
                  <w:sz w:val="18"/>
                  <w:szCs w:val="18"/>
                  <w:color w:val="0000FF"/>
                  <w:w w:val="98"/>
                </w:rPr>
                <w:t>OPAL Fuels Inc. 2022 Omnibus Equity Incentive</w:t>
              </w:r>
            </w:hyperlink>
          </w:p>
        </w:tc>
        <w:tc>
          <w:tcPr>
            <w:tcW w:w="100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0"/>
              </w:rPr>
              <w:t>001-40272</w:t>
            </w:r>
          </w:p>
        </w:tc>
        <w:tc>
          <w:tcPr>
            <w:tcW w:w="10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line="189" w:lineRule="exact"/>
              <w:rPr>
                <w:sz w:val="20"/>
                <w:szCs w:val="20"/>
                <w:color w:val="auto"/>
              </w:rPr>
            </w:pPr>
            <w:r>
              <w:rPr>
                <w:rFonts w:ascii="Arial" w:cs="Arial" w:eastAsia="Arial" w:hAnsi="Arial"/>
                <w:sz w:val="18"/>
                <w:szCs w:val="18"/>
                <w:color w:val="auto"/>
                <w:w w:val="89"/>
              </w:rPr>
              <w:t>July 27, 2022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6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2">
              <w:r>
                <w:rPr>
                  <w:rFonts w:ascii="Arial" w:cs="Arial" w:eastAsia="Arial" w:hAnsi="Arial"/>
                  <w:sz w:val="18"/>
                  <w:szCs w:val="18"/>
                  <w:color w:val="0000FF"/>
                </w:rPr>
                <w:t>Plan.</w:t>
              </w:r>
            </w:hyperlink>
          </w:p>
        </w:tc>
        <w:tc>
          <w:tcPr>
            <w:tcW w:w="260" w:type="dxa"/>
            <w:vAlign w:val="bottom"/>
            <w:gridSpan w:val="4"/>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6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rPr>
              <w:t>Filing Fee Table</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349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144" w:lineRule="exact"/>
        <w:rPr>
          <w:sz w:val="20"/>
          <w:szCs w:val="20"/>
          <w:color w:val="auto"/>
        </w:rPr>
      </w:pPr>
    </w:p>
    <w:p>
      <w:pPr>
        <w:ind w:left="1560" w:hanging="256"/>
        <w:spacing w:after="0"/>
        <w:tabs>
          <w:tab w:leader="none" w:pos="15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2320" w:hanging="206"/>
        <w:spacing w:after="0"/>
        <w:tabs>
          <w:tab w:leader="none" w:pos="23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jc w:val="both"/>
        <w:ind w:firstLine="2114"/>
        <w:spacing w:after="0" w:line="229" w:lineRule="auto"/>
        <w:tabs>
          <w:tab w:leader="none" w:pos="2388"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p>
      <w:pPr>
        <w:spacing w:after="0" w:line="110" w:lineRule="exact"/>
        <w:rPr>
          <w:sz w:val="20"/>
          <w:szCs w:val="20"/>
          <w:color w:val="auto"/>
        </w:rPr>
      </w:pPr>
    </w:p>
    <w:p>
      <w:pPr>
        <w:ind w:left="2600"/>
        <w:spacing w:after="0"/>
        <w:rPr>
          <w:sz w:val="20"/>
          <w:szCs w:val="20"/>
          <w:color w:val="auto"/>
        </w:rPr>
      </w:pPr>
      <w:r>
        <w:rPr>
          <w:rFonts w:ascii="Arial" w:cs="Arial" w:eastAsia="Arial" w:hAnsi="Arial"/>
          <w:sz w:val="17"/>
          <w:szCs w:val="17"/>
          <w:color w:val="auto"/>
        </w:rPr>
        <w:t>Notwithstanding the foregoing, any increase or decrease in volume of securities offered (if the total dollar value of</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115" w:lineRule="exact"/>
        <w:rPr>
          <w:sz w:val="20"/>
          <w:szCs w:val="20"/>
          <w:color w:val="auto"/>
        </w:rPr>
      </w:pPr>
    </w:p>
    <w:p>
      <w:pPr>
        <w:ind w:firstLine="2114"/>
        <w:spacing w:after="0" w:line="235" w:lineRule="auto"/>
        <w:tabs>
          <w:tab w:leader="none" w:pos="2438"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21" w:lineRule="exact"/>
        <w:rPr>
          <w:sz w:val="20"/>
          <w:szCs w:val="20"/>
          <w:color w:val="auto"/>
        </w:rPr>
      </w:pPr>
    </w:p>
    <w:p>
      <w:pPr>
        <w:ind w:firstLine="1782"/>
        <w:spacing w:after="0" w:line="23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clauses (1)(i) and (1)(ii) shall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clauses is contained in periodic reports filed with or furnished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6" w:name="page7"/>
    <w:bookmarkEnd w:id="6"/>
    <w:p>
      <w:pPr>
        <w:spacing w:after="0" w:line="235" w:lineRule="auto"/>
        <w:rPr>
          <w:sz w:val="20"/>
          <w:szCs w:val="20"/>
          <w:color w:val="auto"/>
        </w:rPr>
      </w:pPr>
      <w:r>
        <w:rPr>
          <w:rFonts w:ascii="Arial" w:cs="Arial" w:eastAsia="Arial" w:hAnsi="Arial"/>
          <w:sz w:val="18"/>
          <w:szCs w:val="18"/>
          <w:color w:val="auto"/>
        </w:rPr>
        <w:t>to the Commission by the registrant pursuant to Section 13 or Section 15(d) of the Exchange Act that are incorporated by reference in this registration statement;</w:t>
      </w:r>
    </w:p>
    <w:p>
      <w:pPr>
        <w:spacing w:after="0" w:line="121" w:lineRule="exact"/>
        <w:rPr>
          <w:sz w:val="20"/>
          <w:szCs w:val="20"/>
          <w:color w:val="auto"/>
        </w:rPr>
      </w:pPr>
    </w:p>
    <w:p>
      <w:pPr>
        <w:jc w:val="both"/>
        <w:ind w:firstLine="1304"/>
        <w:spacing w:after="0" w:line="224" w:lineRule="auto"/>
        <w:tabs>
          <w:tab w:leader="none" w:pos="157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22" w:lineRule="exact"/>
        <w:rPr>
          <w:rFonts w:ascii="Arial" w:cs="Arial" w:eastAsia="Arial" w:hAnsi="Arial"/>
          <w:sz w:val="18"/>
          <w:szCs w:val="18"/>
          <w:color w:val="auto"/>
        </w:rPr>
      </w:pPr>
    </w:p>
    <w:p>
      <w:pPr>
        <w:ind w:firstLine="1304"/>
        <w:spacing w:after="0" w:line="235" w:lineRule="auto"/>
        <w:tabs>
          <w:tab w:leader="none" w:pos="1551"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Arial" w:cs="Arial" w:eastAsia="Arial" w:hAnsi="Arial"/>
          <w:sz w:val="18"/>
          <w:szCs w:val="18"/>
          <w:color w:val="auto"/>
        </w:rPr>
      </w:pPr>
    </w:p>
    <w:p>
      <w:pPr>
        <w:jc w:val="both"/>
        <w:ind w:firstLine="656"/>
        <w:spacing w:after="0" w:line="222" w:lineRule="auto"/>
        <w:tabs>
          <w:tab w:leader="none" w:pos="86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9" w:lineRule="exact"/>
        <w:rPr>
          <w:rFonts w:ascii="Arial" w:cs="Arial" w:eastAsia="Arial" w:hAnsi="Arial"/>
          <w:sz w:val="18"/>
          <w:szCs w:val="18"/>
          <w:color w:val="auto"/>
        </w:rPr>
      </w:pPr>
    </w:p>
    <w:p>
      <w:pPr>
        <w:jc w:val="both"/>
        <w:ind w:firstLine="656"/>
        <w:spacing w:after="0" w:line="215" w:lineRule="auto"/>
        <w:tabs>
          <w:tab w:leader="none" w:pos="86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requirements for filing on Form S-8 and has duly caused this registration statement to be signed on its behalf by the undersigned, thereunto duly authorized, in the City of White Plains, State of New York, on October 3, 2022.</w:t>
      </w:r>
    </w:p>
    <w:p>
      <w:pPr>
        <w:spacing w:after="0" w:line="25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OPAL FUELS INC.</w:t>
      </w:r>
    </w:p>
    <w:p>
      <w:pPr>
        <w:spacing w:after="0" w:line="256" w:lineRule="exact"/>
        <w:rPr>
          <w:sz w:val="20"/>
          <w:szCs w:val="20"/>
          <w:color w:val="auto"/>
        </w:rPr>
      </w:pPr>
    </w:p>
    <w:p>
      <w:pPr>
        <w:ind w:left="4740"/>
        <w:spacing w:after="0"/>
        <w:tabs>
          <w:tab w:leader="none" w:pos="5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1440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17"/>
          <w:szCs w:val="17"/>
          <w:color w:val="auto"/>
        </w:rPr>
        <w:t>Jonathan Maurer</w:t>
      </w:r>
    </w:p>
    <w:p>
      <w:pPr>
        <w:ind w:left="4740"/>
        <w:spacing w:after="0" w:line="234" w:lineRule="auto"/>
        <w:tabs>
          <w:tab w:leader="none" w:pos="5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Co-Chief Executive Officer</w:t>
      </w: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w:t>
      </w:r>
    </w:p>
    <w:p>
      <w:pPr>
        <w:jc w:val="both"/>
        <w:spacing w:after="0" w:line="234" w:lineRule="auto"/>
        <w:rPr>
          <w:sz w:val="20"/>
          <w:szCs w:val="20"/>
          <w:color w:val="auto"/>
        </w:rPr>
      </w:pPr>
      <w:r>
        <w:rPr>
          <w:rFonts w:ascii="Arial" w:cs="Arial" w:eastAsia="Arial" w:hAnsi="Arial"/>
          <w:sz w:val="16"/>
          <w:szCs w:val="16"/>
          <w:color w:val="auto"/>
        </w:rPr>
        <w:t>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may lawfully do or cause to be done by virtue hereof.</w:t>
      </w:r>
    </w:p>
    <w:p>
      <w:pPr>
        <w:sectPr>
          <w:pgSz w:w="11900" w:h="16838" w:orient="portrait"/>
          <w:cols w:equalWidth="0" w:num="1">
            <w:col w:w="11240"/>
          </w:cols>
          <w:pgMar w:left="320" w:top="14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404" w:right="339" w:bottom="1440" w:gutter="0" w:footer="0" w:header="0"/>
          <w:type w:val="continuous"/>
        </w:sectPr>
      </w:pPr>
    </w:p>
    <w:bookmarkStart w:id="8" w:name="page9"/>
    <w:bookmarkEnd w:id="8"/>
    <w:p>
      <w:pPr>
        <w:spacing w:after="0" w:line="21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ectPr>
          <w:pgSz w:w="11900" w:h="16838" w:orient="portrait"/>
          <w:cols w:equalWidth="0" w:num="1">
            <w:col w:w="11240"/>
          </w:cols>
          <w:pgMar w:left="320" w:top="1440" w:right="339" w:bottom="1440" w:gutter="0" w:footer="0" w:header="0"/>
        </w:sectPr>
      </w:pPr>
    </w:p>
    <w:p>
      <w:pPr>
        <w:spacing w:after="0" w:line="252"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20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Jonathan Maurer</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Adam Comora</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Ann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 Anthony</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Comora</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Betsy L.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Betsy L. Battle</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Dols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Dols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Kevin M. Fogarty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Kevin M. Fogarty</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Marco F. Gatti</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Nadeem Nisar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Nadeem Nisar</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Ashok Vemuri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200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82003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Ashok Vemuri</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Title</w:t>
            </w:r>
          </w:p>
        </w:tc>
        <w:tc>
          <w:tcPr>
            <w:tcW w:w="16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7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1"/>
                <w:szCs w:val="21"/>
                <w:color w:val="auto"/>
              </w:rPr>
            </w:pPr>
          </w:p>
        </w:tc>
      </w:tr>
      <w:tr>
        <w:trPr>
          <w:trHeight w:val="47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2020" w:type="dxa"/>
            <w:vAlign w:val="bottom"/>
          </w:tcPr>
          <w:p>
            <w:pPr>
              <w:spacing w:after="0"/>
              <w:rPr>
                <w:sz w:val="21"/>
                <w:szCs w:val="21"/>
                <w:color w:val="auto"/>
              </w:rPr>
            </w:pPr>
          </w:p>
        </w:tc>
      </w:tr>
      <w:tr>
        <w:trPr>
          <w:trHeight w:val="472"/>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176"/>
        </w:trPr>
        <w:tc>
          <w:tcPr>
            <w:tcW w:w="4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c>
          <w:tcPr>
            <w:tcW w:w="2020" w:type="dxa"/>
            <w:vAlign w:val="bottom"/>
          </w:tcPr>
          <w:p>
            <w:pPr>
              <w:spacing w:after="0"/>
              <w:rPr>
                <w:sz w:val="15"/>
                <w:szCs w:val="15"/>
                <w:color w:val="auto"/>
              </w:rPr>
            </w:pPr>
          </w:p>
        </w:tc>
      </w:tr>
      <w:tr>
        <w:trPr>
          <w:trHeight w:val="230"/>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020" w:type="dxa"/>
            <w:vAlign w:val="bottom"/>
          </w:tcPr>
          <w:p>
            <w:pPr>
              <w:spacing w:after="0"/>
              <w:rPr>
                <w:sz w:val="20"/>
                <w:szCs w:val="20"/>
                <w:color w:val="auto"/>
              </w:rPr>
            </w:pPr>
          </w:p>
        </w:tc>
      </w:tr>
      <w:tr>
        <w:trPr>
          <w:trHeight w:val="48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71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7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7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7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7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r>
        <w:trPr>
          <w:trHeight w:val="715"/>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October 3, 2022</w:t>
            </w:r>
          </w:p>
        </w:tc>
      </w:tr>
    </w:tbl>
    <w:p>
      <w:pPr>
        <w:spacing w:after="0" w:line="419" w:lineRule="exact"/>
        <w:rPr>
          <w:sz w:val="20"/>
          <w:szCs w:val="20"/>
          <w:color w:val="auto"/>
        </w:rPr>
      </w:pPr>
    </w:p>
    <w:p>
      <w:pPr>
        <w:sectPr>
          <w:pgSz w:w="11900" w:h="16838" w:orient="portrait"/>
          <w:cols w:equalWidth="0" w:num="2">
            <w:col w:w="3880" w:space="720"/>
            <w:col w:w="66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9019"/>
          </w:cols>
          <w:pgMar w:left="1440" w:top="144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107</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Calculation of Filing Fee Tables</w:t>
      </w:r>
    </w:p>
    <w:p>
      <w:pPr>
        <w:spacing w:after="0" w:line="14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Form S-8</w:t>
      </w:r>
    </w:p>
    <w:p>
      <w:pPr>
        <w:spacing w:after="0" w:line="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(Form Type)</w:t>
      </w:r>
    </w:p>
    <w:p>
      <w:pPr>
        <w:spacing w:after="0" w:line="12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OPAL FUELS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1: Newly Registered Securities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Proposed</w:t>
            </w:r>
          </w:p>
        </w:tc>
        <w:tc>
          <w:tcPr>
            <w:tcW w:w="200" w:type="dxa"/>
            <w:vAlign w:val="bottom"/>
          </w:tcPr>
          <w:p>
            <w:pPr>
              <w:spacing w:after="0"/>
              <w:rPr>
                <w:sz w:val="16"/>
                <w:szCs w:val="16"/>
                <w:color w:val="auto"/>
              </w:rPr>
            </w:pPr>
          </w:p>
        </w:tc>
        <w:tc>
          <w:tcPr>
            <w:tcW w:w="116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7"/>
              </w:rPr>
              <w:t>Maximum</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center"/>
              <w:ind w:right="58"/>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Security</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6"/>
              </w:rPr>
              <w:t>Fee</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7"/>
              </w:rPr>
              <w:t>Maximum</w:t>
            </w:r>
          </w:p>
        </w:tc>
        <w:tc>
          <w:tcPr>
            <w:tcW w:w="2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8"/>
              </w:rPr>
              <w:t>Security</w:t>
            </w:r>
          </w:p>
        </w:tc>
        <w:tc>
          <w:tcPr>
            <w:tcW w:w="278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6"/>
              </w:rPr>
              <w:t>Offering</w:t>
            </w:r>
          </w:p>
        </w:tc>
        <w:tc>
          <w:tcPr>
            <w:tcW w:w="200" w:type="dxa"/>
            <w:vAlign w:val="bottom"/>
          </w:tcPr>
          <w:p>
            <w:pPr>
              <w:spacing w:after="0"/>
              <w:rPr>
                <w:sz w:val="14"/>
                <w:szCs w:val="14"/>
                <w:color w:val="auto"/>
              </w:rPr>
            </w:pPr>
          </w:p>
        </w:tc>
        <w:tc>
          <w:tcPr>
            <w:tcW w:w="11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0"/>
              </w:rPr>
              <w:t>Aggregate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Fee</w:t>
            </w:r>
          </w:p>
        </w:tc>
        <w:tc>
          <w:tcPr>
            <w:tcW w:w="120" w:type="dxa"/>
            <w:vAlign w:val="bottom"/>
          </w:tcPr>
          <w:p>
            <w:pPr>
              <w:spacing w:after="0"/>
              <w:rPr>
                <w:sz w:val="14"/>
                <w:szCs w:val="14"/>
                <w:color w:val="auto"/>
              </w:rPr>
            </w:pPr>
          </w:p>
        </w:tc>
        <w:tc>
          <w:tcPr>
            <w:tcW w:w="1060" w:type="dxa"/>
            <w:vAlign w:val="bottom"/>
          </w:tcPr>
          <w:p>
            <w:pPr>
              <w:jc w:val="center"/>
              <w:ind w:right="38"/>
              <w:spacing w:after="0" w:line="162" w:lineRule="exact"/>
              <w:rPr>
                <w:sz w:val="20"/>
                <w:szCs w:val="20"/>
                <w:color w:val="auto"/>
              </w:rPr>
            </w:pPr>
            <w:r>
              <w:rPr>
                <w:rFonts w:ascii="Arial" w:cs="Arial" w:eastAsia="Arial" w:hAnsi="Arial"/>
                <w:sz w:val="16"/>
                <w:szCs w:val="16"/>
                <w:b w:val="1"/>
                <w:bCs w:val="1"/>
                <w:color w:val="auto"/>
                <w:w w:val="92"/>
              </w:rPr>
              <w:t>of</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7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4"/>
              </w:rPr>
              <w:t>Class</w:t>
            </w:r>
          </w:p>
        </w:tc>
        <w:tc>
          <w:tcPr>
            <w:tcW w:w="11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Calculation</w:t>
            </w: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Price</w:t>
            </w:r>
          </w:p>
        </w:tc>
        <w:tc>
          <w:tcPr>
            <w:tcW w:w="200" w:type="dxa"/>
            <w:vAlign w:val="bottom"/>
          </w:tcPr>
          <w:p>
            <w:pPr>
              <w:spacing w:after="0"/>
              <w:rPr>
                <w:sz w:val="14"/>
                <w:szCs w:val="14"/>
                <w:color w:val="auto"/>
              </w:rPr>
            </w:pPr>
          </w:p>
        </w:tc>
        <w:tc>
          <w:tcPr>
            <w:tcW w:w="11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6"/>
              </w:rPr>
              <w:t>Offering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8"/>
              <w:spacing w:after="0" w:line="162" w:lineRule="exact"/>
              <w:rPr>
                <w:sz w:val="20"/>
                <w:szCs w:val="20"/>
                <w:color w:val="auto"/>
              </w:rPr>
            </w:pPr>
            <w:r>
              <w:rPr>
                <w:rFonts w:ascii="Arial" w:cs="Arial" w:eastAsia="Arial" w:hAnsi="Arial"/>
                <w:sz w:val="16"/>
                <w:szCs w:val="16"/>
                <w:b w:val="1"/>
                <w:bCs w:val="1"/>
                <w:color w:val="auto"/>
                <w:w w:val="92"/>
              </w:rPr>
              <w:t>Registration</w:t>
            </w:r>
          </w:p>
        </w:tc>
        <w:tc>
          <w:tcPr>
            <w:tcW w:w="0" w:type="dxa"/>
            <w:vAlign w:val="bottom"/>
          </w:tcPr>
          <w:p>
            <w:pPr>
              <w:spacing w:after="0"/>
              <w:rPr>
                <w:sz w:val="1"/>
                <w:szCs w:val="1"/>
                <w:color w:val="auto"/>
              </w:rPr>
            </w:pPr>
          </w:p>
        </w:tc>
      </w:tr>
      <w:tr>
        <w:trPr>
          <w:trHeight w:val="223"/>
        </w:trPr>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Type</w:t>
            </w:r>
          </w:p>
        </w:tc>
        <w:tc>
          <w:tcPr>
            <w:tcW w:w="80" w:type="dxa"/>
            <w:vAlign w:val="bottom"/>
            <w:tcBorders>
              <w:bottom w:val="single" w:sz="8" w:color="CCEEFF"/>
            </w:tcBorders>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Rule</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Registered (1)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Per Unit</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Price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Rate</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143"/>
        </w:trPr>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9"/>
              </w:rPr>
              <w:t>Class A Common Stock, par value $0.0001</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Rule 457 (c)</w:t>
            </w: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per share,</w:t>
            </w:r>
          </w:p>
        </w:tc>
        <w:tc>
          <w:tcPr>
            <w:tcW w:w="1120" w:type="dxa"/>
            <w:vAlign w:val="bottom"/>
            <w:gridSpan w:val="2"/>
            <w:vMerge w:val="continue"/>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278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that may be issued under the OPAL Fuels Inc.</w:t>
            </w:r>
          </w:p>
        </w:tc>
        <w:tc>
          <w:tcPr>
            <w:tcW w:w="11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6"/>
                <w:szCs w:val="16"/>
                <w:color w:val="auto"/>
              </w:rPr>
              <w:t>and Rule</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19,811,726 (2)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 (3)</w:t>
            </w:r>
          </w:p>
        </w:tc>
        <w:tc>
          <w:tcPr>
            <w:tcW w:w="1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164,437,326 (3)</w:t>
            </w: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w w:val="89"/>
              </w:rPr>
              <w:t>0.0001102</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18,121</w:t>
            </w:r>
          </w:p>
        </w:tc>
        <w:tc>
          <w:tcPr>
            <w:tcW w:w="0" w:type="dxa"/>
            <w:vAlign w:val="bottom"/>
          </w:tcPr>
          <w:p>
            <w:pPr>
              <w:spacing w:after="0"/>
              <w:rPr>
                <w:sz w:val="1"/>
                <w:szCs w:val="1"/>
                <w:color w:val="auto"/>
              </w:rPr>
            </w:pPr>
          </w:p>
        </w:tc>
      </w:tr>
      <w:tr>
        <w:trPr>
          <w:trHeight w:val="206"/>
        </w:trPr>
        <w:tc>
          <w:tcPr>
            <w:tcW w:w="8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2022 Omnibus Equity Incentive Plan</w:t>
            </w:r>
            <w:r>
              <w:rPr>
                <w:rFonts w:ascii="Arial" w:cs="Arial" w:eastAsia="Arial" w:hAnsi="Arial"/>
                <w:sz w:val="8"/>
                <w:szCs w:val="8"/>
                <w:color w:val="auto"/>
              </w:rPr>
              <w:t>(2)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457(h)</w:t>
            </w:r>
          </w:p>
        </w:tc>
        <w:tc>
          <w:tcPr>
            <w:tcW w:w="13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 w:type="dxa"/>
            <w:vAlign w:val="bottom"/>
            <w:tcBorders>
              <w:top w:val="single" w:sz="8" w:color="CCEEFF"/>
              <w:bottom w:val="single" w:sz="8" w:color="CCEEFF"/>
            </w:tcBorders>
          </w:tcPr>
          <w:p>
            <w:pPr>
              <w:spacing w:after="0"/>
              <w:rPr>
                <w:sz w:val="20"/>
                <w:szCs w:val="20"/>
                <w:color w:val="auto"/>
              </w:rPr>
            </w:pPr>
          </w:p>
        </w:tc>
        <w:tc>
          <w:tcPr>
            <w:tcW w:w="76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c>
          <w:tcPr>
            <w:tcW w:w="2780" w:type="dxa"/>
            <w:vAlign w:val="bottom"/>
            <w:tcBorders>
              <w:top w:val="single" w:sz="8" w:color="CCEEFF"/>
              <w:bottom w:val="single" w:sz="8" w:color="CCEEFF"/>
            </w:tcBorders>
            <w:gridSpan w:val="2"/>
          </w:tcPr>
          <w:p>
            <w:pPr>
              <w:jc w:val="center"/>
              <w:ind w:left="123"/>
              <w:spacing w:after="0"/>
              <w:rPr>
                <w:sz w:val="20"/>
                <w:szCs w:val="20"/>
                <w:color w:val="auto"/>
              </w:rPr>
            </w:pPr>
            <w:r>
              <w:rPr>
                <w:rFonts w:ascii="Arial" w:cs="Arial" w:eastAsia="Arial" w:hAnsi="Arial"/>
                <w:sz w:val="16"/>
                <w:szCs w:val="16"/>
                <w:b w:val="1"/>
                <w:bCs w:val="1"/>
                <w:color w:val="auto"/>
                <w:w w:val="92"/>
              </w:rPr>
              <w:t>Total Offering Amounts</w:t>
            </w:r>
          </w:p>
        </w:tc>
        <w:tc>
          <w:tcPr>
            <w:tcW w:w="1040" w:type="dxa"/>
            <w:vAlign w:val="bottom"/>
            <w:tcBorders>
              <w:top w:val="single" w:sz="8" w:color="CCEEFF"/>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c>
          <w:tcPr>
            <w:tcW w:w="13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84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CCEEFF"/>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164,437,326</w:t>
            </w:r>
          </w:p>
        </w:tc>
        <w:tc>
          <w:tcPr>
            <w:tcW w:w="80" w:type="dxa"/>
            <w:vAlign w:val="bottom"/>
            <w:tcBorders>
              <w:top w:val="single" w:sz="8" w:color="CCEEFF"/>
              <w:bottom w:val="single" w:sz="8" w:color="CCEEFF"/>
            </w:tcBorders>
          </w:tcPr>
          <w:p>
            <w:pPr>
              <w:spacing w:after="0"/>
              <w:rPr>
                <w:sz w:val="20"/>
                <w:szCs w:val="20"/>
                <w:color w:val="auto"/>
              </w:rPr>
            </w:pPr>
          </w:p>
        </w:tc>
        <w:tc>
          <w:tcPr>
            <w:tcW w:w="240" w:type="dxa"/>
            <w:vAlign w:val="bottom"/>
            <w:tcBorders>
              <w:top w:val="single" w:sz="8" w:color="auto"/>
              <w:bottom w:val="single" w:sz="8" w:color="CCEEFF"/>
            </w:tcBorders>
          </w:tcPr>
          <w:p>
            <w:pPr>
              <w:spacing w:after="0"/>
              <w:rPr>
                <w:sz w:val="20"/>
                <w:szCs w:val="20"/>
                <w:color w:val="auto"/>
              </w:rPr>
            </w:pPr>
          </w:p>
        </w:tc>
        <w:tc>
          <w:tcPr>
            <w:tcW w:w="8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CCEEFF"/>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18,121</w:t>
            </w:r>
          </w:p>
        </w:tc>
        <w:tc>
          <w:tcPr>
            <w:tcW w:w="0" w:type="dxa"/>
            <w:vAlign w:val="bottom"/>
          </w:tcPr>
          <w:p>
            <w:pPr>
              <w:spacing w:after="0"/>
              <w:rPr>
                <w:sz w:val="1"/>
                <w:szCs w:val="1"/>
                <w:color w:val="auto"/>
              </w:rPr>
            </w:pPr>
          </w:p>
        </w:tc>
      </w:tr>
      <w:tr>
        <w:trPr>
          <w:trHeight w:val="229"/>
        </w:trPr>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jc w:val="center"/>
              <w:ind w:left="143"/>
              <w:spacing w:after="0"/>
              <w:rPr>
                <w:sz w:val="20"/>
                <w:szCs w:val="20"/>
                <w:color w:val="auto"/>
              </w:rPr>
            </w:pPr>
            <w:r>
              <w:rPr>
                <w:rFonts w:ascii="Arial" w:cs="Arial" w:eastAsia="Arial" w:hAnsi="Arial"/>
                <w:sz w:val="16"/>
                <w:szCs w:val="16"/>
                <w:b w:val="1"/>
                <w:bCs w:val="1"/>
                <w:color w:val="auto"/>
                <w:w w:val="89"/>
              </w:rPr>
              <w:t>Total Fee Offsets</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2"/>
          </w:tcPr>
          <w:p>
            <w:pPr>
              <w:jc w:val="center"/>
              <w:ind w:left="143"/>
              <w:spacing w:after="0"/>
              <w:rPr>
                <w:sz w:val="20"/>
                <w:szCs w:val="20"/>
                <w:color w:val="auto"/>
              </w:rPr>
            </w:pPr>
            <w:r>
              <w:rPr>
                <w:rFonts w:ascii="Arial" w:cs="Arial" w:eastAsia="Arial" w:hAnsi="Arial"/>
                <w:sz w:val="16"/>
                <w:szCs w:val="16"/>
                <w:b w:val="1"/>
                <w:bCs w:val="1"/>
                <w:color w:val="auto"/>
                <w:w w:val="90"/>
              </w:rPr>
              <w:t>Net Fee Due</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18,121</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firstLine="8"/>
        <w:spacing w:after="0" w:line="252" w:lineRule="auto"/>
        <w:tabs>
          <w:tab w:leader="none" w:pos="213" w:val="left"/>
        </w:tabs>
        <w:numPr>
          <w:ilvl w:val="0"/>
          <w:numId w:val="8"/>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this Registration Statement also covers such additional and indeterminate number of securities as may become issuable pursuant to the provisions of the OPAL Fuels Inc. 2022 Omnibus Equity Incentive Plan (the “Equity Incentive Plan”) by reason of any stock dividend, stock split, recapitalization or any other similar transaction effected without the Registrant’s receipt of consideration which results in an increase in the number of outstanding shares of common stock, par value $0.0001 per share (the “Common Stock”).</w:t>
      </w:r>
    </w:p>
    <w:p>
      <w:pPr>
        <w:spacing w:after="0" w:line="93" w:lineRule="exact"/>
        <w:rPr>
          <w:rFonts w:ascii="Arial" w:cs="Arial" w:eastAsia="Arial" w:hAnsi="Arial"/>
          <w:sz w:val="14"/>
          <w:szCs w:val="14"/>
          <w:color w:val="auto"/>
        </w:rPr>
      </w:pPr>
    </w:p>
    <w:p>
      <w:pPr>
        <w:jc w:val="both"/>
        <w:ind w:firstLine="8"/>
        <w:spacing w:after="0" w:line="228" w:lineRule="auto"/>
        <w:tabs>
          <w:tab w:leader="none" w:pos="21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shares of Common Stock that may be issued under the Equity Incentive Plan. In general, to the extent that any awards under the Equity Incentive Plan are forfeited, cancelled or expire for any reason before being exercised or settled in full, if any awards are settled in cash or if shares issued under the Equity Incentive Plan are reacquired by the Registrant pursuant to a forfeiture provision, repurchase right or for any other reason, those shares will again become available for issuance under the Equity Incentive Plan, as will shares applied to pay the exercise or purchase price of an award or to satisfy tax withholding obligations related to any award.</w:t>
      </w:r>
    </w:p>
    <w:p>
      <w:pPr>
        <w:spacing w:after="0" w:line="211" w:lineRule="exact"/>
        <w:rPr>
          <w:rFonts w:ascii="Arial" w:cs="Arial" w:eastAsia="Arial" w:hAnsi="Arial"/>
          <w:sz w:val="14"/>
          <w:szCs w:val="14"/>
          <w:color w:val="auto"/>
        </w:rPr>
      </w:pPr>
    </w:p>
    <w:p>
      <w:pPr>
        <w:ind w:firstLine="8"/>
        <w:spacing w:after="0" w:line="253" w:lineRule="auto"/>
        <w:tabs>
          <w:tab w:leader="none" w:pos="208" w:val="left"/>
        </w:tabs>
        <w:numPr>
          <w:ilvl w:val="0"/>
          <w:numId w:val="8"/>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Rules 457(c) and (h) promulgated under the Securities Act, based upon the average of the high and low prices of the registrant’s Class A Common Stock as reported on The Nasdaq Capital Market on September 30, 2022.</w:t>
      </w:r>
    </w:p>
    <w:p>
      <w:pPr>
        <w:sectPr>
          <w:pgSz w:w="11900" w:h="16838" w:orient="portrait"/>
          <w:cols w:equalWidth="0" w:num="1">
            <w:col w:w="11240"/>
          </w:cols>
          <w:pgMar w:left="320" w:top="140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Sheppard, Mullin, Richter &amp; Hampton LLP</w:t>
      </w:r>
    </w:p>
    <w:p>
      <w:pPr>
        <w:ind w:left="6840"/>
        <w:spacing w:after="0" w:line="203" w:lineRule="auto"/>
        <w:rPr>
          <w:sz w:val="20"/>
          <w:szCs w:val="20"/>
          <w:color w:val="auto"/>
        </w:rPr>
      </w:pPr>
      <w:r>
        <w:rPr>
          <w:rFonts w:ascii="Arial" w:cs="Arial" w:eastAsia="Arial" w:hAnsi="Arial"/>
          <w:sz w:val="18"/>
          <w:szCs w:val="18"/>
          <w:color w:val="auto"/>
        </w:rPr>
        <w:t>30 Rockefeller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1971675"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971675" cy="265430"/>
                    </a:xfrm>
                    <a:prstGeom prst="rect">
                      <a:avLst/>
                    </a:prstGeom>
                    <a:noFill/>
                  </pic:spPr>
                </pic:pic>
              </a:graphicData>
            </a:graphic>
          </wp:anchor>
        </w:drawing>
      </w:r>
    </w:p>
    <w:p>
      <w:pPr>
        <w:ind w:left="6840"/>
        <w:spacing w:after="0" w:line="219" w:lineRule="auto"/>
        <w:rPr>
          <w:sz w:val="20"/>
          <w:szCs w:val="20"/>
          <w:color w:val="auto"/>
        </w:rPr>
      </w:pPr>
      <w:r>
        <w:rPr>
          <w:rFonts w:ascii="Arial" w:cs="Arial" w:eastAsia="Arial" w:hAnsi="Arial"/>
          <w:sz w:val="18"/>
          <w:szCs w:val="18"/>
          <w:color w:val="auto"/>
        </w:rPr>
        <w:t>New York, New York 10112-0015</w:t>
      </w:r>
    </w:p>
    <w:p>
      <w:pPr>
        <w:ind w:left="6840"/>
        <w:spacing w:after="0" w:line="204" w:lineRule="auto"/>
        <w:rPr>
          <w:sz w:val="20"/>
          <w:szCs w:val="20"/>
          <w:color w:val="auto"/>
        </w:rPr>
      </w:pPr>
      <w:r>
        <w:rPr>
          <w:rFonts w:ascii="Arial" w:cs="Arial" w:eastAsia="Arial" w:hAnsi="Arial"/>
          <w:sz w:val="18"/>
          <w:szCs w:val="18"/>
          <w:color w:val="auto"/>
        </w:rPr>
        <w:t>212.653.8700 main</w:t>
      </w:r>
    </w:p>
    <w:p>
      <w:pPr>
        <w:ind w:left="6840"/>
        <w:spacing w:after="0" w:line="203" w:lineRule="auto"/>
        <w:rPr>
          <w:sz w:val="20"/>
          <w:szCs w:val="20"/>
          <w:color w:val="auto"/>
        </w:rPr>
      </w:pPr>
      <w:r>
        <w:rPr>
          <w:rFonts w:ascii="Arial" w:cs="Arial" w:eastAsia="Arial" w:hAnsi="Arial"/>
          <w:sz w:val="18"/>
          <w:szCs w:val="18"/>
          <w:color w:val="auto"/>
        </w:rPr>
        <w:t>212.653.8701 fax</w:t>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www.sheppardmullin.com</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October 3,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MAIL ONLY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OPAL Fuels Inc.</w:t>
      </w:r>
    </w:p>
    <w:p>
      <w:pPr>
        <w:spacing w:after="0" w:line="219" w:lineRule="auto"/>
        <w:rPr>
          <w:sz w:val="20"/>
          <w:szCs w:val="20"/>
          <w:color w:val="auto"/>
        </w:rPr>
      </w:pPr>
      <w:r>
        <w:rPr>
          <w:rFonts w:ascii="Arial" w:cs="Arial" w:eastAsia="Arial" w:hAnsi="Arial"/>
          <w:sz w:val="18"/>
          <w:szCs w:val="18"/>
          <w:color w:val="auto"/>
        </w:rPr>
        <w:t>One North Lexington Avenue, Suite 1450</w:t>
      </w:r>
    </w:p>
    <w:p>
      <w:pPr>
        <w:spacing w:after="0"/>
        <w:rPr>
          <w:sz w:val="20"/>
          <w:szCs w:val="20"/>
          <w:color w:val="auto"/>
        </w:rPr>
      </w:pPr>
      <w:r>
        <w:rPr>
          <w:rFonts w:ascii="Arial" w:cs="Arial" w:eastAsia="Arial" w:hAnsi="Arial"/>
          <w:sz w:val="18"/>
          <w:szCs w:val="18"/>
          <w:color w:val="auto"/>
        </w:rPr>
        <w:t>White Plains, New York 10601</w:t>
      </w:r>
    </w:p>
    <w:p>
      <w:pPr>
        <w:spacing w:after="0" w:line="37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jc w:val="both"/>
        <w:ind w:firstLine="441"/>
        <w:spacing w:after="0" w:line="241" w:lineRule="auto"/>
        <w:rPr>
          <w:sz w:val="20"/>
          <w:szCs w:val="20"/>
          <w:color w:val="auto"/>
        </w:rPr>
      </w:pPr>
      <w:r>
        <w:rPr>
          <w:rFonts w:ascii="Arial" w:cs="Arial" w:eastAsia="Arial" w:hAnsi="Arial"/>
          <w:sz w:val="16"/>
          <w:szCs w:val="16"/>
          <w:color w:val="auto"/>
        </w:rPr>
        <w:t>You have requested our opinion with respect to certain matters in connection with the filing by OPAL Fuels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of a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under the Securities Act of 1933, as amended, with the Securities and Exchange Commission, covering 19,811,726 shares of Class A Common Stock (the “</w:t>
      </w:r>
      <w:r>
        <w:rPr>
          <w:rFonts w:ascii="Arial" w:cs="Arial" w:eastAsia="Arial" w:hAnsi="Arial"/>
          <w:sz w:val="16"/>
          <w:szCs w:val="16"/>
          <w:b w:val="1"/>
          <w:bCs w:val="1"/>
          <w:color w:val="auto"/>
        </w:rPr>
        <w:t>Shares</w:t>
      </w:r>
      <w:r>
        <w:rPr>
          <w:rFonts w:ascii="Arial" w:cs="Arial" w:eastAsia="Arial" w:hAnsi="Arial"/>
          <w:sz w:val="16"/>
          <w:szCs w:val="16"/>
          <w:color w:val="auto"/>
        </w:rPr>
        <w:t>”) reserved for future issuance under the OPAL Fuels Inc.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Omnibus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Opinion is being furnished in accordance with the requirements of Item 8 of Form S-8 and Item 601(b)(5)(i) of Regulation S-K.</w:t>
      </w:r>
    </w:p>
    <w:p>
      <w:pPr>
        <w:spacing w:after="0" w:line="158" w:lineRule="exact"/>
        <w:rPr>
          <w:sz w:val="20"/>
          <w:szCs w:val="20"/>
          <w:color w:val="auto"/>
        </w:rPr>
      </w:pPr>
    </w:p>
    <w:p>
      <w:pPr>
        <w:jc w:val="both"/>
        <w:ind w:firstLine="441"/>
        <w:spacing w:after="0" w:line="248" w:lineRule="auto"/>
        <w:rPr>
          <w:sz w:val="20"/>
          <w:szCs w:val="20"/>
          <w:color w:val="auto"/>
        </w:rPr>
      </w:pPr>
      <w:r>
        <w:rPr>
          <w:rFonts w:ascii="Arial" w:cs="Arial" w:eastAsia="Arial" w:hAnsi="Arial"/>
          <w:sz w:val="16"/>
          <w:szCs w:val="16"/>
          <w:color w:val="auto"/>
        </w:rPr>
        <w:t>In connection with this opinion, we have reviewed and relied upon the Registration Statement, the Company’s Certificate of Incorporation, as amended, as in effect on the date hereof, the Company’s Bylaws effective as in effect on the date hereof (the “</w:t>
      </w:r>
      <w:r>
        <w:rPr>
          <w:rFonts w:ascii="Arial" w:cs="Arial" w:eastAsia="Arial" w:hAnsi="Arial"/>
          <w:sz w:val="16"/>
          <w:szCs w:val="16"/>
          <w:b w:val="1"/>
          <w:bCs w:val="1"/>
          <w:color w:val="auto"/>
        </w:rPr>
        <w:t>Bylaws</w:t>
      </w:r>
      <w:r>
        <w:rPr>
          <w:rFonts w:ascii="Arial" w:cs="Arial" w:eastAsia="Arial" w:hAnsi="Arial"/>
          <w:sz w:val="16"/>
          <w:szCs w:val="16"/>
          <w:color w:val="auto"/>
        </w:rPr>
        <w:t>”), the proceedings taken by the</w:t>
      </w:r>
    </w:p>
    <w:p>
      <w:pPr>
        <w:jc w:val="both"/>
        <w:spacing w:after="0" w:line="234" w:lineRule="auto"/>
        <w:rPr>
          <w:sz w:val="20"/>
          <w:szCs w:val="20"/>
          <w:color w:val="auto"/>
        </w:rPr>
      </w:pPr>
      <w:r>
        <w:rPr>
          <w:rFonts w:ascii="Arial" w:cs="Arial" w:eastAsia="Arial" w:hAnsi="Arial"/>
          <w:sz w:val="16"/>
          <w:szCs w:val="16"/>
          <w:color w:val="auto"/>
        </w:rPr>
        <w:t>Company with respect to the authorization and adoption of the Plan, resolutions adopted by the board of directors of the Company, and such other documents, records, certificates, memoranda and other instruments as we deem necessary as a basis for this opinion. With respect to the foregoing documents, we have assumed the genuineness of all signatures, the authenticity of all documents submitted to us as originals and the conformity to original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 all documents submitted to us as certified or reproduced copies. We have also assumed that the Shares will be uncertificated in accordance with Section 158 of the Delaware General Corporation Law, and the transfer agent therefor will register the purchaser thereof as the registered owner of any uncertificated Shares on its stock transfer books and records. We have further assumed that (a) shares of the Common Stock currently reserved for issuance</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under the Plan will remain available for the issuance of the Shares, and (b) neither the Company’s charter documents nor any of the proceedings relating to either the Plan or any of the award agreements relating to the Shares will be rescinded, amended or otherwise modified prior to the issuance of the Shares. We have also obtained from public officials and officers of the Company certificates or comparable documents as to certain factual matters and, insofar as this opinion is based on matters of fact, we have relied on such certificates and comparable documents without independent investigation. We have made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other investigations as we have deemed relevant and necessary in connection with the opinions hereinafter set forth.</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the basis of the foregoing, and in reliance thereon, we are of the opinion that the Shares, when issued and sold in the manner referred to in the</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Plan and against proper payment and consideration thereof and pursuant to the agreements that accompany the Plan, will be legally and validly issued, fully paid and nonassessable.</w:t>
      </w:r>
    </w:p>
    <w:p>
      <w:pPr>
        <w:spacing w:after="0" w:line="134"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We consent to the filing of this opinion letter as Exhibit 5.1 to the Registration Statement. In giving such consent, we do not thereby admit that we are included in the category of persons whose consent is required under Section 7 of the Securities Act or the rules and regulations of the Securities and Exchange Commission promulgated thereunder.</w:t>
      </w:r>
    </w:p>
    <w:p>
      <w:pPr>
        <w:spacing w:after="0" w:line="136"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We express no opinion as to matters governed by any laws other than the Delaware General Corporation Law and reported decisions of the Delaware courts interpreting such law.</w:t>
      </w:r>
    </w:p>
    <w:p>
      <w:pPr>
        <w:spacing w:after="0" w:line="135" w:lineRule="exact"/>
        <w:rPr>
          <w:sz w:val="20"/>
          <w:szCs w:val="20"/>
          <w:color w:val="auto"/>
        </w:rPr>
      </w:pPr>
    </w:p>
    <w:p>
      <w:pPr>
        <w:jc w:val="both"/>
        <w:ind w:right="20" w:firstLine="441"/>
        <w:spacing w:after="0" w:line="248" w:lineRule="auto"/>
        <w:rPr>
          <w:sz w:val="20"/>
          <w:szCs w:val="20"/>
          <w:color w:val="auto"/>
        </w:rPr>
      </w:pPr>
      <w:r>
        <w:rPr>
          <w:rFonts w:ascii="Arial" w:cs="Arial" w:eastAsia="Arial" w:hAnsi="Arial"/>
          <w:sz w:val="16"/>
          <w:szCs w:val="16"/>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w:t>
      </w:r>
    </w:p>
    <w:p>
      <w:pPr>
        <w:spacing w:after="0"/>
        <w:rPr>
          <w:sz w:val="20"/>
          <w:szCs w:val="20"/>
          <w:color w:val="auto"/>
        </w:rPr>
      </w:pPr>
      <w:r>
        <w:rPr>
          <w:rFonts w:ascii="Arial" w:cs="Arial" w:eastAsia="Arial" w:hAnsi="Arial"/>
          <w:sz w:val="18"/>
          <w:szCs w:val="18"/>
          <w:color w:val="auto"/>
        </w:rPr>
        <w:t>limited to the matters set forth above,</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04" w:right="339" w:bottom="1440" w:gutter="0" w:footer="0" w:header="0"/>
        </w:sectPr>
      </w:pPr>
    </w:p>
    <w:bookmarkStart w:id="12" w:name="page13"/>
    <w:bookmarkEnd w:id="12"/>
    <w:p>
      <w:pPr>
        <w:spacing w:after="0" w:line="235" w:lineRule="auto"/>
        <w:rPr>
          <w:sz w:val="20"/>
          <w:szCs w:val="20"/>
          <w:color w:val="auto"/>
        </w:rPr>
      </w:pPr>
      <w:r>
        <w:rPr>
          <w:rFonts w:ascii="Arial" w:cs="Arial" w:eastAsia="Arial" w:hAnsi="Arial"/>
          <w:sz w:val="18"/>
          <w:szCs w:val="18"/>
          <w:color w:val="auto"/>
        </w:rPr>
        <w:t>and we render no opinion, whether by implication or otherwise, as to any other matters relating to the Company, the Shares, the Plan, the award agreements related to the Shares or the Registration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Sheppard, Mullin, Richter &amp; Hampton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SHEPPARD, MULLIN, RICHTER &amp; HAMPTON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8"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OPAL Fuels Inc.</w:t>
      </w:r>
    </w:p>
    <w:p>
      <w:pPr>
        <w:spacing w:after="0"/>
        <w:rPr>
          <w:sz w:val="20"/>
          <w:szCs w:val="20"/>
          <w:color w:val="auto"/>
        </w:rPr>
      </w:pPr>
      <w:r>
        <w:rPr>
          <w:rFonts w:ascii="Arial" w:cs="Arial" w:eastAsia="Arial" w:hAnsi="Arial"/>
          <w:sz w:val="18"/>
          <w:szCs w:val="18"/>
          <w:color w:val="auto"/>
        </w:rPr>
        <w:t>White Plains, New York</w:t>
      </w:r>
    </w:p>
    <w:p>
      <w:pPr>
        <w:spacing w:after="0" w:line="209"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on Form S-8 of our report dated April 15, 2022, relating to the consolidated financial statements of Opal Fuels LLC, which are incorporated by reference into the Form 8-K filed on July 27, 2022 appearing in the Company’s Form S-4/A filed on June 21,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rPr>
          <w:sz w:val="20"/>
          <w:szCs w:val="20"/>
          <w:color w:val="auto"/>
        </w:rPr>
      </w:pPr>
      <w:r>
        <w:rPr>
          <w:rFonts w:ascii="Arial" w:cs="Arial" w:eastAsia="Arial" w:hAnsi="Arial"/>
          <w:sz w:val="18"/>
          <w:szCs w:val="18"/>
          <w:color w:val="auto"/>
        </w:rPr>
        <w:t>October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04" w:right="339" w:bottom="1440" w:gutter="0" w:footer="0" w:header="0"/>
        </w:sectPr>
      </w:pPr>
    </w:p>
    <w:bookmarkStart w:id="14" w:name="page15"/>
    <w:bookmarkEnd w:id="14"/>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Auditor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OPAL Fuels Inc.</w:t>
      </w:r>
    </w:p>
    <w:p>
      <w:pPr>
        <w:spacing w:after="0"/>
        <w:rPr>
          <w:sz w:val="20"/>
          <w:szCs w:val="20"/>
          <w:color w:val="auto"/>
        </w:rPr>
      </w:pPr>
      <w:r>
        <w:rPr>
          <w:rFonts w:ascii="Arial" w:cs="Arial" w:eastAsia="Arial" w:hAnsi="Arial"/>
          <w:sz w:val="18"/>
          <w:szCs w:val="18"/>
          <w:color w:val="auto"/>
        </w:rPr>
        <w:t>White Plains, New York</w:t>
      </w:r>
    </w:p>
    <w:p>
      <w:pPr>
        <w:spacing w:after="0" w:line="19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on Form S-8 of our report dated April 15, 2022, relating to the consolidated financial statements of Beacon RNG LLC, which are incorporated by reference into the Form 8-K filed on July 27, 2022 appearing in the Company’s Form S-4/A filed on June 21, 2022.</w:t>
      </w:r>
    </w:p>
    <w:p>
      <w:pPr>
        <w:spacing w:after="0" w:line="15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BDO USA, LLP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rPr>
          <w:sz w:val="20"/>
          <w:szCs w:val="20"/>
          <w:color w:val="auto"/>
        </w:rPr>
      </w:pPr>
      <w:r>
        <w:rPr>
          <w:rFonts w:ascii="Arial" w:cs="Arial" w:eastAsia="Arial" w:hAnsi="Arial"/>
          <w:sz w:val="18"/>
          <w:szCs w:val="18"/>
          <w:color w:val="auto"/>
        </w:rPr>
        <w:t>October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consent to the incorporation by reference in this Registration Statement of Opal Fuels Inc. on Form S-8 of our report dated March 9, 2022, with respect to our audit of the financial statements of ArcLight Clean Transition Corp. II as of December 31, 2021 and for the period from January 13, 2021 (inception) through December 31, 2021, appearing in the Annual Report on Form 10-K of ArcLight Clean Transition Corp. II for the period ended December 31, 2021. We were dismissed as auditors on August 9, 2022 following the issuance of the Company’s Form 10-Q for the quarterly period ended June 30, 2022 and, accordingly, we have not performed any audit or review procedures with respect to any financial statements appearing in such Prospectus for the periods after the date of our dismissal. We also consent to the reference to our firm under the heading “Experts” in the Prospectus, which is part of this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Hartford, CT</w:t>
      </w:r>
    </w:p>
    <w:p>
      <w:pPr>
        <w:spacing w:after="0"/>
        <w:rPr>
          <w:sz w:val="20"/>
          <w:szCs w:val="20"/>
          <w:color w:val="auto"/>
        </w:rPr>
      </w:pPr>
      <w:r>
        <w:rPr>
          <w:rFonts w:ascii="Arial" w:cs="Arial" w:eastAsia="Arial" w:hAnsi="Arial"/>
          <w:sz w:val="18"/>
          <w:szCs w:val="18"/>
          <w:color w:val="auto"/>
        </w:rPr>
        <w:t>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2)"/>
      <w:numFmt w:val="lowerRoman"/>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10" Type="http://schemas.openxmlformats.org/officeDocument/2006/relationships/hyperlink" Target="https://www.sec.gov/Archives/edgar/data/1842279/000121390022046525/ea164040ex3-1_opalfuelsinc.htm" TargetMode="External"/><Relationship Id="rId11" Type="http://schemas.openxmlformats.org/officeDocument/2006/relationships/hyperlink" Target="https://www.sec.gov/Archives/edgar/data/1842279/000121390022042020/ea163248ex3-2_opal.htm" TargetMode="External"/><Relationship Id="rId12" Type="http://schemas.openxmlformats.org/officeDocument/2006/relationships/hyperlink" Target="https://www.sec.gov/Archives/edgar/data/1842279/000121390022042020/ea163248ex10-2_op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2022-10-03T15:10:51Z</dcterms:created>
  <dcterms:modified xsi:type="dcterms:W3CDTF">2022-10-03T15:10:51Z</dcterms:modified>
</cp:coreProperties>
</file>