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Revers Daniel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OPAL Fuels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00" w:type="dxa"/>
            <w:vAlign w:val="bottom"/>
            <w:tcBorders>
              <w:bottom w:val="single" w:sz="8" w:color="0000EE"/>
            </w:tcBorders>
          </w:tcPr>
          <w:p>
            <w:pPr>
              <w:spacing w:after="0"/>
              <w:rPr>
                <w:sz w:val="3"/>
                <w:szCs w:val="3"/>
                <w:color w:val="auto"/>
              </w:rPr>
            </w:pPr>
          </w:p>
        </w:tc>
        <w:tc>
          <w:tcPr>
            <w:tcW w:w="2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5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12/15/2023</w:t>
            </w:r>
          </w:p>
        </w:tc>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12/15/2023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661,444</w:t>
            </w:r>
          </w:p>
        </w:tc>
        <w:tc>
          <w:tcPr>
            <w:tcW w:w="3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3"/>
                <w:szCs w:val="2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3"/>
                <w:szCs w:val="23"/>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619,731</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12/15/2023</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838,556</w:t>
            </w:r>
            <w:r>
              <w:rPr>
                <w:rFonts w:ascii="Times New Roman" w:cs="Times New Roman" w:eastAsia="Times New Roman" w:hAnsi="Times New Roman"/>
                <w:sz w:val="22"/>
                <w:szCs w:val="22"/>
                <w:color w:val="008000"/>
                <w:vertAlign w:val="superscript"/>
              </w:rPr>
              <w:t>(1)</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1"/>
                <w:szCs w:val="21"/>
                <w:color w:val="auto"/>
              </w:rPr>
            </w:pPr>
          </w:p>
        </w:tc>
        <w:tc>
          <w:tcPr>
            <w:tcW w:w="3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1,776,117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volume weighted average price ("VWAP"). The reported securities were sold in open market transactions at prices ranging from $5.25 to $5.60, inclusive. The reporting person undertakes to provide to the SEC, the Issuer or any stockholder of the Issuer, upon request, the relevant amount of shares sold to the market at each price within the ranges set forth in this footnote.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4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830,197 of the reported securities were sold by ArcLight CTC Holdings II, L.P., a Delaware limited partnership (the "Sponsor"), and 8,359 of the reported securities were sold by ACTC Holdings GP II, LLC, a Delaware limited liability company and general partner of the Sponsor ("ACTC GP"). After giving effect to such transactions, the reported securities consist of (i) 1,395,135 shares of Class A common stock held directly by the Sponsor, (ii) 322,227 shares of Class A common stock held directly by ACHP B, L.P., a Delaware limited partnership ("ACHP B") and (iii) 58,755 shares of Class A common stock held directly by ACTC GP. Mr. Revers has voting and investment discretion with respect to the securities held by the Sponsor, ACHP B and ACTC GP, and thus may be deemed to have beneficial ownership of such securities. Mr. Revers expressly disclaims any such beneficial ownership of such securities, except to the extent of his individual pecuniary interest therein.</w:t>
      </w:r>
    </w:p>
    <w:p>
      <w:pPr>
        <w:spacing w:after="0" w:line="19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Daniel R. Revers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12/19/2023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5456"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2023-12-19T15:10:52Z</dcterms:created>
  <dcterms:modified xsi:type="dcterms:W3CDTF">2023-12-19T15:10:52Z</dcterms:modified>
</cp:coreProperties>
</file>