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860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6092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20" w:type="dxa"/>
            <w:vAlign w:val="bottom"/>
            <w:gridSpan w:val="3"/>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Nisar Nadeem</w:t>
              </w:r>
            </w:hyperlink>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24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22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9"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03/31/2025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10601</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03/31/2025</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27,218</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86,712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w w:val="98"/>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and 4)</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27,218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03/31/2025</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66,073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03/31/2025</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66,073</w:t>
            </w:r>
          </w:p>
        </w:tc>
        <w:tc>
          <w:tcPr>
            <w:tcW w:w="5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66,073</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-2171065</wp:posOffset>
            </wp:positionV>
            <wp:extent cx="28575"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7614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9" w:lineRule="exact"/>
        <w:rPr>
          <w:rFonts w:ascii="Times New Roman" w:cs="Times New Roman" w:eastAsia="Times New Roman" w:hAnsi="Times New Roman"/>
          <w:sz w:val="13"/>
          <w:szCs w:val="13"/>
          <w:color w:val="008000"/>
        </w:rPr>
      </w:pPr>
    </w:p>
    <w:p>
      <w:pPr>
        <w:ind w:left="40" w:right="24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2025, the Reporting Person was granted 66,073 RSUs pursuant to the terms of the Issuer's 2022 Omnibus Equity Incentive Plan. The RSUs are scheduled to vest on March 31, 2026, provided that the Reporting Person continues to provide services to the Issuer through the applicable vesting date. Each restricted stock unit represents the right to receive, at settlement, one share of Class A common stock.</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7382"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2025-04-02T16:51:05Z</dcterms:created>
  <dcterms:modified xsi:type="dcterms:W3CDTF">2025-04-02T16:51:05Z</dcterms:modified>
</cp:coreProperties>
</file>