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3"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18, 2024</w:t>
      </w:r>
    </w:p>
    <w:p>
      <w:pPr>
        <w:spacing w:after="0" w:line="30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9"/>
          <w:szCs w:val="29"/>
          <w:b w:val="1"/>
          <w:bCs w:val="1"/>
          <w:color w:val="auto"/>
        </w:rPr>
        <w:t>OPAL Fuels Inc.</w:t>
      </w:r>
    </w:p>
    <w:p>
      <w:pPr>
        <w:spacing w:after="0" w:line="9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6" w:lineRule="exact"/>
        <w:rPr>
          <w:sz w:val="24"/>
          <w:szCs w:val="24"/>
          <w:color w:val="auto"/>
        </w:rPr>
      </w:pPr>
    </w:p>
    <w:tbl>
      <w:tblPr>
        <w:tblLayout w:type="fixed"/>
        <w:tblInd w:w="800" w:type="dxa"/>
        <w:tblCellMar>
          <w:top w:w="0" w:type="dxa"/>
          <w:left w:w="0" w:type="dxa"/>
          <w:bottom w:w="0" w:type="dxa"/>
          <w:right w:w="0" w:type="dxa"/>
        </w:tblCellMar>
      </w:tblPr>
      <w:tr>
        <w:trPr>
          <w:trHeight w:val="233"/>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001-40272</w:t>
            </w:r>
          </w:p>
        </w:tc>
        <w:tc>
          <w:tcPr>
            <w:tcW w:w="29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4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One North Lexington Avenue</w:t>
            </w:r>
            <w:r>
              <w:rPr>
                <w:rFonts w:ascii="Arial" w:cs="Arial" w:eastAsia="Arial" w:hAnsi="Arial"/>
                <w:sz w:val="18"/>
                <w:szCs w:val="18"/>
                <w:b w:val="1"/>
                <w:bCs w:val="1"/>
                <w:color w:val="3051F2"/>
                <w:w w:val="99"/>
              </w:rPr>
              <w:t>,</w:t>
            </w:r>
            <w:r>
              <w:rPr>
                <w:rFonts w:ascii="Times New Roman" w:cs="Times New Roman" w:eastAsia="Times New Roman" w:hAnsi="Times New Roman"/>
                <w:sz w:val="18"/>
                <w:szCs w:val="18"/>
                <w:b w:val="1"/>
                <w:bCs w:val="1"/>
                <w:color w:val="auto"/>
                <w:w w:val="99"/>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10601</w:t>
            </w:r>
          </w:p>
        </w:tc>
      </w:tr>
      <w:tr>
        <w:trPr>
          <w:trHeight w:val="28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8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(914) 705-4000</w:t>
      </w:r>
    </w:p>
    <w:p>
      <w:pPr>
        <w:spacing w:after="0" w:line="32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8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43"/>
        </w:trPr>
        <w:tc>
          <w:tcPr>
            <w:tcW w:w="166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440" w:type="dxa"/>
            <w:vAlign w:val="bottom"/>
          </w:tcPr>
          <w:p>
            <w:pPr>
              <w:spacing w:after="0"/>
              <w:rPr>
                <w:sz w:val="21"/>
                <w:szCs w:val="21"/>
                <w:color w:val="auto"/>
              </w:rPr>
            </w:pPr>
          </w:p>
        </w:tc>
        <w:tc>
          <w:tcPr>
            <w:tcW w:w="2160" w:type="dxa"/>
            <w:vAlign w:val="bottom"/>
          </w:tcPr>
          <w:p>
            <w:pPr>
              <w:ind w:left="260"/>
              <w:spacing w:after="0"/>
              <w:rPr>
                <w:sz w:val="20"/>
                <w:szCs w:val="20"/>
                <w:color w:val="auto"/>
              </w:rPr>
            </w:pPr>
            <w:r>
              <w:rPr>
                <w:rFonts w:ascii="Calibri" w:cs="Calibri" w:eastAsia="Calibri" w:hAnsi="Calibri"/>
                <w:sz w:val="18"/>
                <w:szCs w:val="18"/>
                <w:b w:val="1"/>
                <w:bCs w:val="1"/>
                <w:color w:val="auto"/>
              </w:rPr>
              <w:t>Trading Symbol(s)</w:t>
            </w:r>
          </w:p>
        </w:tc>
        <w:tc>
          <w:tcPr>
            <w:tcW w:w="600" w:type="dxa"/>
            <w:vAlign w:val="bottom"/>
          </w:tcPr>
          <w:p>
            <w:pPr>
              <w:spacing w:after="0"/>
              <w:rPr>
                <w:sz w:val="21"/>
                <w:szCs w:val="21"/>
                <w:color w:val="auto"/>
              </w:rPr>
            </w:pPr>
          </w:p>
        </w:tc>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90"/>
        </w:trPr>
        <w:tc>
          <w:tcPr>
            <w:tcW w:w="446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21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OPAL</w:t>
            </w:r>
          </w:p>
        </w:tc>
        <w:tc>
          <w:tcPr>
            <w:tcW w:w="60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21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45" w:right="859" w:bottom="144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5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On June 18, 2024, OPAL Fuels Inc. (the “Company”) held its 2024 Annual Meeting of Stockholders (the “Annual Meeting”). As of the close of business on April 19, 2024 (the “Record Date”), there were 28,386,505 shares of Class A common stock outstanding, each share being entitled to one vote, 71,500,000 shares of Class B common stock outstanding, each share being entitled to one vote and 72,899,037 shares of Class D common stock outstanding, each share being entitled to five votes (the Class A common stock, Class B common stock and Class D common stock, collectively, the “Common Stock”).</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Accordingly, as of the Record Date, there were 28,386,505 Class A common stock votes, 71,500,000 Class B common stock votes, and 364,495,185 Class D common stock votes, respectively, available to be cast, for a total of 464,381,690 votes available to be cast. At the Annual Meeting, the holders of 456,673,072 votes of the Common Stock were represented in person or by proxy, constituting a quorum. The following are the voting results for the proposals considered and voted upon at the meeting, each of which was described in the Company’s Definitive Proxy Statement filed with the Securities and Exchange Commission on April 22, 2024.</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Proposal 1 - Election of seven directors to hold office until the Annual Meeting of Stockholders to be held in 2025 or until each such director’s respective successor is elected and qualified or until each such director’s earlier death, resignation or removal.</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3000" w:type="dxa"/>
            <w:vAlign w:val="bottom"/>
            <w:tcBorders>
              <w:bottom w:val="single" w:sz="8" w:color="CCEEFF"/>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FOR</w:t>
            </w:r>
          </w:p>
        </w:tc>
        <w:tc>
          <w:tcPr>
            <w:tcW w:w="2300" w:type="dxa"/>
            <w:vAlign w:val="bottom"/>
            <w:tcBorders>
              <w:bottom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18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4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Comora, Chairman</w:t>
            </w:r>
          </w:p>
        </w:tc>
        <w:tc>
          <w:tcPr>
            <w:tcW w:w="3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445,599,519</w:t>
            </w:r>
          </w:p>
        </w:tc>
        <w:tc>
          <w:tcPr>
            <w:tcW w:w="2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5,394,698</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5,678,855</w:t>
            </w:r>
          </w:p>
        </w:tc>
      </w:tr>
      <w:tr>
        <w:trPr>
          <w:trHeight w:val="40"/>
        </w:trPr>
        <w:tc>
          <w:tcPr>
            <w:tcW w:w="3160" w:type="dxa"/>
            <w:vAlign w:val="bottom"/>
          </w:tcPr>
          <w:p>
            <w:pPr>
              <w:spacing w:after="0"/>
              <w:rPr>
                <w:sz w:val="3"/>
                <w:szCs w:val="3"/>
                <w:color w:val="auto"/>
              </w:rPr>
            </w:pPr>
          </w:p>
        </w:tc>
        <w:tc>
          <w:tcPr>
            <w:tcW w:w="300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180" w:type="dxa"/>
            <w:vAlign w:val="bottom"/>
          </w:tcPr>
          <w:p>
            <w:pPr>
              <w:spacing w:after="0"/>
              <w:rPr>
                <w:sz w:val="3"/>
                <w:szCs w:val="3"/>
                <w:color w:val="auto"/>
              </w:rPr>
            </w:pPr>
          </w:p>
        </w:tc>
      </w:tr>
      <w:tr>
        <w:trPr>
          <w:trHeight w:val="263"/>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Betsy L. Battle</w:t>
            </w:r>
          </w:p>
        </w:tc>
        <w:tc>
          <w:tcPr>
            <w:tcW w:w="30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446,861,078</w:t>
            </w:r>
          </w:p>
        </w:tc>
        <w:tc>
          <w:tcPr>
            <w:tcW w:w="23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4,133,139</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5,678,855</w:t>
            </w:r>
          </w:p>
        </w:tc>
      </w:tr>
      <w:tr>
        <w:trPr>
          <w:trHeight w:val="24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Dols</w:t>
            </w:r>
          </w:p>
        </w:tc>
        <w:tc>
          <w:tcPr>
            <w:tcW w:w="3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446,897,523</w:t>
            </w:r>
          </w:p>
        </w:tc>
        <w:tc>
          <w:tcPr>
            <w:tcW w:w="2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4,096,694</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5,678,855</w:t>
            </w:r>
          </w:p>
        </w:tc>
      </w:tr>
      <w:tr>
        <w:trPr>
          <w:trHeight w:val="40"/>
        </w:trPr>
        <w:tc>
          <w:tcPr>
            <w:tcW w:w="3160" w:type="dxa"/>
            <w:vAlign w:val="bottom"/>
          </w:tcPr>
          <w:p>
            <w:pPr>
              <w:spacing w:after="0"/>
              <w:rPr>
                <w:sz w:val="3"/>
                <w:szCs w:val="3"/>
                <w:color w:val="auto"/>
              </w:rPr>
            </w:pPr>
          </w:p>
        </w:tc>
        <w:tc>
          <w:tcPr>
            <w:tcW w:w="300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180" w:type="dxa"/>
            <w:vAlign w:val="bottom"/>
          </w:tcPr>
          <w:p>
            <w:pPr>
              <w:spacing w:after="0"/>
              <w:rPr>
                <w:sz w:val="3"/>
                <w:szCs w:val="3"/>
                <w:color w:val="auto"/>
              </w:rPr>
            </w:pPr>
          </w:p>
        </w:tc>
      </w:tr>
      <w:tr>
        <w:trPr>
          <w:trHeight w:val="263"/>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Kevin M. Fogarty</w:t>
            </w:r>
          </w:p>
        </w:tc>
        <w:tc>
          <w:tcPr>
            <w:tcW w:w="30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445,842,820</w:t>
            </w:r>
          </w:p>
        </w:tc>
        <w:tc>
          <w:tcPr>
            <w:tcW w:w="23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5,151,397</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5,678,855</w:t>
            </w:r>
          </w:p>
        </w:tc>
      </w:tr>
      <w:tr>
        <w:trPr>
          <w:trHeight w:val="24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Martell</w:t>
            </w:r>
          </w:p>
        </w:tc>
        <w:tc>
          <w:tcPr>
            <w:tcW w:w="3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446,890,100</w:t>
            </w:r>
          </w:p>
        </w:tc>
        <w:tc>
          <w:tcPr>
            <w:tcW w:w="2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4,104,117</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5,678,855</w:t>
            </w:r>
          </w:p>
        </w:tc>
      </w:tr>
      <w:tr>
        <w:trPr>
          <w:trHeight w:val="40"/>
        </w:trPr>
        <w:tc>
          <w:tcPr>
            <w:tcW w:w="3160" w:type="dxa"/>
            <w:vAlign w:val="bottom"/>
          </w:tcPr>
          <w:p>
            <w:pPr>
              <w:spacing w:after="0"/>
              <w:rPr>
                <w:sz w:val="3"/>
                <w:szCs w:val="3"/>
                <w:color w:val="auto"/>
              </w:rPr>
            </w:pPr>
          </w:p>
        </w:tc>
        <w:tc>
          <w:tcPr>
            <w:tcW w:w="300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180" w:type="dxa"/>
            <w:vAlign w:val="bottom"/>
          </w:tcPr>
          <w:p>
            <w:pPr>
              <w:spacing w:after="0"/>
              <w:rPr>
                <w:sz w:val="3"/>
                <w:szCs w:val="3"/>
                <w:color w:val="auto"/>
              </w:rPr>
            </w:pPr>
          </w:p>
        </w:tc>
      </w:tr>
      <w:tr>
        <w:trPr>
          <w:trHeight w:val="264"/>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Nadeem Nisar</w:t>
            </w:r>
          </w:p>
        </w:tc>
        <w:tc>
          <w:tcPr>
            <w:tcW w:w="30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445,602,078</w:t>
            </w:r>
          </w:p>
        </w:tc>
        <w:tc>
          <w:tcPr>
            <w:tcW w:w="23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5,392,139</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5,678,855</w:t>
            </w:r>
          </w:p>
        </w:tc>
      </w:tr>
      <w:tr>
        <w:trPr>
          <w:trHeight w:val="24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Ashok Vemuri</w:t>
            </w:r>
          </w:p>
        </w:tc>
        <w:tc>
          <w:tcPr>
            <w:tcW w:w="3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446,885,230</w:t>
            </w:r>
          </w:p>
        </w:tc>
        <w:tc>
          <w:tcPr>
            <w:tcW w:w="2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4,108,987</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5,678,855</w:t>
            </w:r>
          </w:p>
        </w:tc>
      </w:tr>
    </w:tbl>
    <w:p>
      <w:pPr>
        <w:spacing w:after="0" w:line="200" w:lineRule="exact"/>
        <w:rPr>
          <w:sz w:val="20"/>
          <w:szCs w:val="20"/>
          <w:color w:val="auto"/>
        </w:rPr>
      </w:pPr>
    </w:p>
    <w:p>
      <w:pPr>
        <w:spacing w:after="0" w:line="362"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Proposal 2 - Ratification of the appointment of BDO USA, P.C. as the Company’s independent registered public accounting firm for the year ending December 31, 2024.</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80" w:type="dxa"/>
            <w:vAlign w:val="bottom"/>
          </w:tcPr>
          <w:p>
            <w:pPr>
              <w:jc w:val="right"/>
              <w:ind w:right="1930"/>
              <w:spacing w:after="0"/>
              <w:rPr>
                <w:sz w:val="20"/>
                <w:szCs w:val="20"/>
                <w:color w:val="auto"/>
              </w:rPr>
            </w:pPr>
            <w:r>
              <w:rPr>
                <w:rFonts w:ascii="Times New Roman" w:cs="Times New Roman" w:eastAsia="Times New Roman" w:hAnsi="Times New Roman"/>
                <w:sz w:val="18"/>
                <w:szCs w:val="18"/>
                <w:b w:val="1"/>
                <w:bCs w:val="1"/>
                <w:color w:val="auto"/>
              </w:rPr>
              <w:t>FOR</w:t>
            </w:r>
          </w:p>
        </w:tc>
        <w:tc>
          <w:tcPr>
            <w:tcW w:w="296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184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ABSTENTIONS</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80" w:type="dxa"/>
            <w:vAlign w:val="bottom"/>
            <w:tcBorders>
              <w:bottom w:val="single" w:sz="8" w:color="CCEEFF"/>
            </w:tcBorders>
            <w:shd w:val="clear" w:color="auto" w:fill="CCEEFF"/>
          </w:tcPr>
          <w:p>
            <w:pPr>
              <w:jc w:val="right"/>
              <w:ind w:right="1670"/>
              <w:spacing w:after="0"/>
              <w:rPr>
                <w:sz w:val="20"/>
                <w:szCs w:val="20"/>
                <w:color w:val="auto"/>
              </w:rPr>
            </w:pPr>
            <w:r>
              <w:rPr>
                <w:rFonts w:ascii="Times New Roman" w:cs="Times New Roman" w:eastAsia="Times New Roman" w:hAnsi="Times New Roman"/>
                <w:sz w:val="18"/>
                <w:szCs w:val="18"/>
                <w:color w:val="auto"/>
              </w:rPr>
              <w:t>456,639,757</w:t>
            </w:r>
          </w:p>
        </w:tc>
        <w:tc>
          <w:tcPr>
            <w:tcW w:w="2960" w:type="dxa"/>
            <w:vAlign w:val="bottom"/>
            <w:tcBorders>
              <w:bottom w:val="single" w:sz="8" w:color="CCEEFF"/>
            </w:tcBorders>
            <w:shd w:val="clear" w:color="auto" w:fill="CCEEFF"/>
          </w:tcPr>
          <w:p>
            <w:pPr>
              <w:jc w:val="right"/>
              <w:ind w:right="1630"/>
              <w:spacing w:after="0"/>
              <w:rPr>
                <w:sz w:val="20"/>
                <w:szCs w:val="20"/>
                <w:color w:val="auto"/>
              </w:rPr>
            </w:pPr>
            <w:r>
              <w:rPr>
                <w:rFonts w:ascii="Times New Roman" w:cs="Times New Roman" w:eastAsia="Times New Roman" w:hAnsi="Times New Roman"/>
                <w:sz w:val="18"/>
                <w:szCs w:val="18"/>
                <w:color w:val="auto"/>
              </w:rPr>
              <w:t>14,946</w:t>
            </w:r>
          </w:p>
        </w:tc>
        <w:tc>
          <w:tcPr>
            <w:tcW w:w="184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18,369</w:t>
            </w:r>
          </w:p>
        </w:tc>
        <w:tc>
          <w:tcPr>
            <w:tcW w:w="2400" w:type="dxa"/>
            <w:vAlign w:val="bottom"/>
            <w:tcBorders>
              <w:bottom w:val="single" w:sz="8" w:color="CCEEFF"/>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35"/>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29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2880" w:type="dxa"/>
            <w:vAlign w:val="bottom"/>
            <w:vMerge w:val="restart"/>
            <w:shd w:val="clear" w:color="auto" w:fill="CCEEFF"/>
          </w:tcPr>
          <w:p>
            <w:pPr>
              <w:jc w:val="right"/>
              <w:ind w:right="1930"/>
              <w:spacing w:after="0"/>
              <w:rPr>
                <w:sz w:val="20"/>
                <w:szCs w:val="20"/>
                <w:color w:val="auto"/>
              </w:rPr>
            </w:pPr>
            <w:r>
              <w:rPr>
                <w:rFonts w:ascii="Times New Roman" w:cs="Times New Roman" w:eastAsia="Times New Roman" w:hAnsi="Times New Roman"/>
                <w:sz w:val="18"/>
                <w:szCs w:val="18"/>
                <w:color w:val="auto"/>
                <w:w w:val="99"/>
              </w:rPr>
              <w:t>Description</w:t>
            </w:r>
          </w:p>
        </w:tc>
        <w:tc>
          <w:tcPr>
            <w:tcW w:w="296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2880" w:type="dxa"/>
            <w:vAlign w:val="bottom"/>
            <w:tcBorders>
              <w:bottom w:val="single" w:sz="8" w:color="CCEEFF"/>
            </w:tcBorders>
            <w:vMerge w:val="continue"/>
            <w:shd w:val="clear" w:color="auto" w:fill="CCEEFF"/>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58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c>
          <w:tcPr>
            <w:tcW w:w="1840" w:type="dxa"/>
            <w:vAlign w:val="bottom"/>
            <w:tcBorders>
              <w:top w:val="single" w:sz="8" w:color="auto"/>
            </w:tcBorders>
          </w:tcPr>
          <w:p>
            <w:pPr>
              <w:spacing w:after="0"/>
              <w:rPr>
                <w:sz w:val="20"/>
                <w:szCs w:val="20"/>
                <w:color w:val="auto"/>
              </w:rPr>
            </w:pPr>
          </w:p>
        </w:tc>
        <w:tc>
          <w:tcPr>
            <w:tcW w:w="24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81"/>
        </w:trPr>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June 18, 2024</w:t>
      </w:r>
    </w:p>
    <w:p>
      <w:pPr>
        <w:spacing w:after="0" w:line="6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Scott Contino</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Scott Contino</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Interim 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3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2024-06-18T15:43:09Z</dcterms:created>
  <dcterms:modified xsi:type="dcterms:W3CDTF">2024-06-18T15:43:09Z</dcterms:modified>
</cp:coreProperties>
</file>