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22, 2021 under the Securities Act of 1933, as amended</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ArcLight Clean Transition Corp. II</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20" w:type="dxa"/>
        <w:tblCellMar>
          <w:top w:w="0" w:type="dxa"/>
          <w:left w:w="0" w:type="dxa"/>
          <w:bottom w:w="0" w:type="dxa"/>
          <w:right w:w="0" w:type="dxa"/>
        </w:tblCellMar>
      </w:tblPr>
      <w:tr>
        <w:trPr>
          <w:trHeight w:val="214"/>
        </w:trPr>
        <w:tc>
          <w:tcPr>
            <w:tcW w:w="2840" w:type="dxa"/>
            <w:vAlign w:val="bottom"/>
          </w:tcPr>
          <w:p>
            <w:pPr>
              <w:jc w:val="center"/>
              <w:ind w:right="882"/>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3860" w:type="dxa"/>
            <w:vAlign w:val="bottom"/>
          </w:tcPr>
          <w:p>
            <w:pPr>
              <w:jc w:val="center"/>
              <w:ind w:right="62"/>
              <w:spacing w:after="0"/>
              <w:rPr>
                <w:sz w:val="20"/>
                <w:szCs w:val="20"/>
                <w:color w:val="auto"/>
              </w:rPr>
            </w:pPr>
            <w:r>
              <w:rPr>
                <w:rFonts w:ascii="Times New Roman" w:cs="Times New Roman" w:eastAsia="Times New Roman" w:hAnsi="Times New Roman"/>
                <w:sz w:val="18"/>
                <w:szCs w:val="18"/>
                <w:b w:val="1"/>
                <w:bCs w:val="1"/>
                <w:color w:val="auto"/>
                <w:w w:val="99"/>
              </w:rPr>
              <w:t>6770</w:t>
            </w:r>
          </w:p>
        </w:tc>
        <w:tc>
          <w:tcPr>
            <w:tcW w:w="2200" w:type="dxa"/>
            <w:vAlign w:val="bottom"/>
          </w:tcPr>
          <w:p>
            <w:pPr>
              <w:jc w:val="center"/>
              <w:ind w:left="982"/>
              <w:spacing w:after="0"/>
              <w:rPr>
                <w:sz w:val="20"/>
                <w:szCs w:val="20"/>
                <w:color w:val="auto"/>
              </w:rPr>
            </w:pPr>
            <w:r>
              <w:rPr>
                <w:rFonts w:ascii="Times New Roman" w:cs="Times New Roman" w:eastAsia="Times New Roman" w:hAnsi="Times New Roman"/>
                <w:sz w:val="18"/>
                <w:szCs w:val="18"/>
                <w:b w:val="1"/>
                <w:bCs w:val="1"/>
                <w:color w:val="auto"/>
                <w:w w:val="98"/>
              </w:rPr>
              <w:t>98-1578357</w:t>
            </w:r>
          </w:p>
        </w:tc>
      </w:tr>
      <w:tr>
        <w:trPr>
          <w:trHeight w:val="148"/>
        </w:trPr>
        <w:tc>
          <w:tcPr>
            <w:tcW w:w="2840" w:type="dxa"/>
            <w:vAlign w:val="bottom"/>
          </w:tcPr>
          <w:p>
            <w:pPr>
              <w:jc w:val="center"/>
              <w:ind w:righ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6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200" w:type="dxa"/>
            <w:vAlign w:val="bottom"/>
          </w:tcPr>
          <w:p>
            <w:pPr>
              <w:jc w:val="center"/>
              <w:ind w:left="9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right="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200" w:type="dxa"/>
            <w:vAlign w:val="bottom"/>
          </w:tcPr>
          <w:p>
            <w:pPr>
              <w:jc w:val="center"/>
              <w:ind w:left="9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 Clarendon Street, 55th Floor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 02116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531-6300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 F. Erhard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 Clarendon Street, 55th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 02116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531-6300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172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52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Copies:</w:t>
            </w:r>
          </w:p>
        </w:tc>
      </w:tr>
      <w:tr>
        <w:trPr>
          <w:trHeight w:val="216"/>
        </w:trPr>
        <w:tc>
          <w:tcPr>
            <w:tcW w:w="28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Christian O. Nagler</w:t>
            </w:r>
          </w:p>
        </w:tc>
        <w:tc>
          <w:tcPr>
            <w:tcW w:w="528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9"/>
              </w:rPr>
              <w:t>Joel L. Rubinstein</w:t>
            </w:r>
          </w:p>
        </w:tc>
      </w:tr>
      <w:tr>
        <w:trPr>
          <w:trHeight w:val="216"/>
        </w:trPr>
        <w:tc>
          <w:tcPr>
            <w:tcW w:w="280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James S. Rowe</w:t>
            </w:r>
          </w:p>
        </w:tc>
        <w:tc>
          <w:tcPr>
            <w:tcW w:w="528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rPr>
              <w:t>White &amp; Case LLP</w:t>
            </w:r>
          </w:p>
        </w:tc>
      </w:tr>
      <w:tr>
        <w:trPr>
          <w:trHeight w:val="216"/>
        </w:trPr>
        <w:tc>
          <w:tcPr>
            <w:tcW w:w="28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Kirkland &amp; Ellis LLP</w:t>
            </w:r>
          </w:p>
        </w:tc>
        <w:tc>
          <w:tcPr>
            <w:tcW w:w="528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8"/>
              </w:rPr>
              <w:t>1221 6th Avenue New York, NY 10020</w:t>
            </w:r>
          </w:p>
        </w:tc>
      </w:tr>
      <w:tr>
        <w:trPr>
          <w:trHeight w:val="216"/>
        </w:trPr>
        <w:tc>
          <w:tcPr>
            <w:tcW w:w="28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601 Lexington Avenue</w:t>
            </w:r>
          </w:p>
        </w:tc>
        <w:tc>
          <w:tcPr>
            <w:tcW w:w="528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9"/>
              </w:rPr>
              <w:t>(212) 819-8200</w:t>
            </w:r>
          </w:p>
        </w:tc>
      </w:tr>
      <w:tr>
        <w:trPr>
          <w:trHeight w:val="216"/>
        </w:trPr>
        <w:tc>
          <w:tcPr>
            <w:tcW w:w="28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New York, New York 10022</w:t>
            </w:r>
          </w:p>
        </w:tc>
        <w:tc>
          <w:tcPr>
            <w:tcW w:w="5280" w:type="dxa"/>
            <w:vAlign w:val="bottom"/>
          </w:tcPr>
          <w:p>
            <w:pPr>
              <w:spacing w:after="0"/>
              <w:rPr>
                <w:sz w:val="18"/>
                <w:szCs w:val="18"/>
                <w:color w:val="auto"/>
              </w:rPr>
            </w:pPr>
          </w:p>
        </w:tc>
      </w:tr>
      <w:tr>
        <w:trPr>
          <w:trHeight w:val="238"/>
        </w:trPr>
        <w:tc>
          <w:tcPr>
            <w:tcW w:w="28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(212) 446-4800</w:t>
            </w:r>
          </w:p>
        </w:tc>
        <w:tc>
          <w:tcPr>
            <w:tcW w:w="52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231140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right="6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As soon as practicable after the effective date of this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w:t>
      </w:r>
    </w:p>
    <w:p>
      <w:pPr>
        <w:spacing w:after="0" w:line="159" w:lineRule="exact"/>
        <w:rPr>
          <w:sz w:val="24"/>
          <w:szCs w:val="24"/>
          <w:color w:val="auto"/>
        </w:rPr>
      </w:pPr>
    </w:p>
    <w:p>
      <w:pPr>
        <w:ind w:right="18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120" w:firstLine="440"/>
        <w:spacing w:after="0" w:line="222" w:lineRule="exact"/>
        <w:rPr>
          <w:sz w:val="20"/>
          <w:szCs w:val="20"/>
          <w:color w:val="auto"/>
        </w:rPr>
      </w:pPr>
      <w:r>
        <w:rPr>
          <w:rFonts w:ascii="Times New Roman" w:cs="Times New Roman" w:eastAsia="Times New Roman" w:hAnsi="Times New Roman"/>
          <w:sz w:val="18"/>
          <w:szCs w:val="18"/>
          <w:color w:val="auto"/>
        </w:rPr>
        <w:t xml:space="preserve">If this Form is filed to registered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 No. 333-252730</w:t>
      </w:r>
    </w:p>
    <w:p>
      <w:pPr>
        <w:spacing w:after="0" w:line="199" w:lineRule="exact"/>
        <w:rPr>
          <w:sz w:val="24"/>
          <w:szCs w:val="24"/>
          <w:color w:val="auto"/>
        </w:rPr>
      </w:pPr>
    </w:p>
    <w:p>
      <w:pPr>
        <w:ind w:right="20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right="18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020"/>
          </w:cols>
          <w:pgMar w:left="440" w:top="225" w:right="439" w:bottom="0" w:gutter="0" w:footer="0" w:header="0"/>
        </w:sectPr>
      </w:pPr>
    </w:p>
    <w:bookmarkStart w:id="1" w:name="page2"/>
    <w:bookmarkEnd w:id="1"/>
    <w:p>
      <w:pPr>
        <w:ind w:left="4" w:right="16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92"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4880" w:type="dxa"/>
            <w:vAlign w:val="bottom"/>
            <w:tcBorders>
              <w:right w:val="single" w:sz="8" w:color="auto"/>
            </w:tcBorders>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 Maximum</w:t>
            </w:r>
          </w:p>
        </w:tc>
        <w:tc>
          <w:tcPr>
            <w:tcW w:w="15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 Maximum</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6"/>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54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880" w:type="dxa"/>
            <w:vAlign w:val="bottom"/>
            <w:tcBorders>
              <w:bottom w:val="single" w:sz="8" w:color="auto"/>
              <w:right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Offering Price </w:t>
            </w:r>
            <w:r>
              <w:rPr>
                <w:rFonts w:ascii="Times New Roman" w:cs="Times New Roman" w:eastAsia="Times New Roman" w:hAnsi="Times New Roman"/>
                <w:sz w:val="12"/>
                <w:szCs w:val="12"/>
                <w:b w:val="1"/>
                <w:bCs w:val="1"/>
                <w:color w:val="auto"/>
              </w:rPr>
              <w:t>(1)</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Fee</w:t>
            </w:r>
          </w:p>
        </w:tc>
        <w:tc>
          <w:tcPr>
            <w:tcW w:w="0" w:type="dxa"/>
            <w:vAlign w:val="bottom"/>
          </w:tcPr>
          <w:p>
            <w:pPr>
              <w:spacing w:after="0"/>
              <w:rPr>
                <w:sz w:val="1"/>
                <w:szCs w:val="1"/>
                <w:color w:val="auto"/>
              </w:rPr>
            </w:pPr>
          </w:p>
        </w:tc>
      </w:tr>
      <w:tr>
        <w:trPr>
          <w:trHeight w:val="191"/>
        </w:trPr>
        <w:tc>
          <w:tcPr>
            <w:tcW w:w="48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Units, each consisting of one Class A ordinary share, $0.0001 par</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value, and one-fifth of one redeemable warrant</w:t>
            </w:r>
            <w:r>
              <w:rPr>
                <w:rFonts w:ascii="Times New Roman" w:cs="Times New Roman" w:eastAsia="Times New Roman" w:hAnsi="Times New Roman"/>
                <w:sz w:val="15"/>
                <w:szCs w:val="15"/>
                <w:color w:val="auto"/>
              </w:rPr>
              <w:t>(2)</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2,875,000 units</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$28,750,000</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$3,137.00</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ordinary shares included as part of the units</w:t>
            </w:r>
            <w:r>
              <w:rPr>
                <w:rFonts w:ascii="Times New Roman" w:cs="Times New Roman" w:eastAsia="Times New Roman" w:hAnsi="Times New Roman"/>
                <w:sz w:val="15"/>
                <w:szCs w:val="15"/>
                <w:color w:val="auto"/>
              </w:rPr>
              <w:t>(3)</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2,875,000 shares</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5"/>
                <w:szCs w:val="15"/>
                <w:color w:val="auto"/>
                <w:w w:val="99"/>
              </w:rPr>
              <w:t>(4)</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Redeemable warrants included as part of the units</w:t>
            </w:r>
            <w:r>
              <w:rPr>
                <w:rFonts w:ascii="Times New Roman" w:cs="Times New Roman" w:eastAsia="Times New Roman" w:hAnsi="Times New Roman"/>
                <w:sz w:val="15"/>
                <w:szCs w:val="15"/>
                <w:color w:val="auto"/>
              </w:rPr>
              <w:t>(3)</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575,000 warrants</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5"/>
                <w:szCs w:val="15"/>
                <w:color w:val="auto"/>
                <w:w w:val="99"/>
              </w:rPr>
              <w:t>(4)</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8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Class A ordinary shares underlying redeemable warrants included</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 the units</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575,000 shares</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$11.50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$6,612,500</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$722.00</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$35,362,500</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$3,859.00 </w:t>
            </w:r>
            <w:r>
              <w:rPr>
                <w:rFonts w:ascii="Times New Roman" w:cs="Times New Roman" w:eastAsia="Times New Roman" w:hAnsi="Times New Roman"/>
                <w:sz w:val="15"/>
                <w:szCs w:val="15"/>
                <w:color w:val="auto"/>
                <w:w w:val="99"/>
              </w:rPr>
              <w:t>(5)</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w:t>
      </w:r>
    </w:p>
    <w:p>
      <w:pPr>
        <w:spacing w:after="0" w:line="22" w:lineRule="exact"/>
        <w:rPr>
          <w:rFonts w:ascii="Times New Roman" w:cs="Times New Roman" w:eastAsia="Times New Roman" w:hAnsi="Times New Roman"/>
          <w:sz w:val="18"/>
          <w:szCs w:val="18"/>
          <w:color w:val="auto"/>
        </w:rPr>
      </w:pPr>
    </w:p>
    <w:p>
      <w:pPr>
        <w:ind w:left="424" w:right="240" w:hanging="424"/>
        <w:spacing w:after="0" w:line="250"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only the additional number of securities being registered. Does not include the securities that the Registrant previously registered on the Registration Statement on Form S-1 (File No. 333-252730).</w:t>
      </w:r>
    </w:p>
    <w:p>
      <w:pPr>
        <w:ind w:left="424" w:right="220" w:hanging="424"/>
        <w:spacing w:after="0" w:line="250"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there are also being registered an indeterminable number of additional securities as may be offered or issued to prevent dilution resulting from stock splits, stock dividends, or similar transactions.</w:t>
      </w: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pursuant to Rule 457(g).</w:t>
      </w:r>
    </w:p>
    <w:p>
      <w:pPr>
        <w:spacing w:after="0" w:line="9" w:lineRule="exact"/>
        <w:rPr>
          <w:rFonts w:ascii="Times New Roman" w:cs="Times New Roman" w:eastAsia="Times New Roman" w:hAnsi="Times New Roman"/>
          <w:sz w:val="18"/>
          <w:szCs w:val="18"/>
          <w:color w:val="auto"/>
        </w:rPr>
      </w:pPr>
    </w:p>
    <w:p>
      <w:pPr>
        <w:ind w:left="424" w:right="340" w:hanging="424"/>
        <w:spacing w:after="0" w:line="253"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previously registered securities having a proposed maximum aggregate offering price of $353,625,000 on its Registration Statement on Form S-1, as amended (File No. 333-252730), which was declared effective by the Securities and Exchange Commission on March 22, 2021. In accordance with Rule 462(b) under the Securities Act, an additional number of securities having a proposed maximum offering price of $35,362,500 is hereby registered, which includes securities issuable upon the exercise of the underwriters’ option to purchase additional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181610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This Registration Statement on Form S-1 is being filed with respect to the registration of 2,875,000 additional units of ArcLight Clean Transition Corp. II, a Cayman Islands exempted company (the “Registrant”), each consisting of one Class A ordinary share and one-fifth of one redeemable warrant, pursuant to Rule 462(b) under the Securities Act of 1933, as amended, and General Instruction V to Form S-1. Each whole warrant entitles the holder thereof to purchase one Class A ordinary share at a price of $11.50 per share, subject to adjustment, and only whole warrants are exercisable. This Registration Statement relates to the Registrant’s Registration Statement on Form S-1, as amended (File No. 333-252730) (the “Prior Registration Statement”), initially filed by the Registrant on February 4, 2021 and declared effective by the Securities and Exchange Commission (the “Commission”) on March 22, 2021. The required opinions of counsel and related consents and accountant’s consent are attached hereto and filed herewith. Pursuant to Rule 462(b), the contents of the Prior Registration Statement, including the exhibits thereto, are incorporated by reference into this Registration Statement.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Registrant hereby certifies to the Commission that (1) it has instructed its bank to pay the filing fee set forth on the cover page of this Registration Statement by a wire transfer of such amount to the Commission’s account at U.S. Bank as soon as practicable (but no later than the close of business as of March 23, 2021), (2) it will not revoke such instructions, (3) it has sufficient funds in the relevant account to cover the amount of such filing fee and (4) it will confirm receipt of such instructions by its bank during regular business hours no later than March 23, 2021.</w:t>
      </w:r>
    </w:p>
    <w:p>
      <w:pPr>
        <w:sectPr>
          <w:pgSz w:w="11900" w:h="16838" w:orient="portrait"/>
          <w:cols w:equalWidth="0" w:num="1">
            <w:col w:w="11000"/>
          </w:cols>
          <w:pgMar w:left="440" w:top="266" w:right="45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21" w:lineRule="exact"/>
        <w:rPr>
          <w:sz w:val="20"/>
          <w:szCs w:val="20"/>
          <w:color w:val="auto"/>
        </w:rPr>
      </w:pPr>
    </w:p>
    <w:p>
      <w:pPr>
        <w:ind w:firstLine="436"/>
        <w:spacing w:after="0" w:line="266" w:lineRule="auto"/>
        <w:tabs>
          <w:tab w:leader="none" w:pos="6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All exhibits filed with or incorporated by reference in the Prior Registration Statement on Form S-1 (SEC File No. 333-252730) are incorporated by reference into, and shall be deemed a part of, this Registration Statement, and the following additional exhibits are filed herewith, as part of this Registration Statement: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740" w:type="dxa"/>
            <w:vAlign w:val="bottom"/>
          </w:tcPr>
          <w:p>
            <w:pPr>
              <w:spacing w:after="0"/>
              <w:rPr>
                <w:sz w:val="23"/>
                <w:szCs w:val="23"/>
                <w:color w:val="auto"/>
              </w:rPr>
            </w:pPr>
          </w:p>
        </w:tc>
        <w:tc>
          <w:tcPr>
            <w:tcW w:w="24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Opinion of Kirkland &amp; Ellis LLP.</w:t>
              </w:r>
            </w:hyperlink>
          </w:p>
        </w:tc>
        <w:tc>
          <w:tcPr>
            <w:tcW w:w="2920" w:type="dxa"/>
            <w:vAlign w:val="bottom"/>
            <w:gridSpan w:val="5"/>
          </w:tcPr>
          <w:p>
            <w:pPr>
              <w:spacing w:after="0"/>
              <w:rPr>
                <w:sz w:val="23"/>
                <w:szCs w:val="23"/>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740" w:type="dxa"/>
            <w:vAlign w:val="bottom"/>
          </w:tcPr>
          <w:p>
            <w:pPr>
              <w:spacing w:after="0"/>
              <w:rPr>
                <w:sz w:val="24"/>
                <w:szCs w:val="24"/>
                <w:color w:val="auto"/>
              </w:rPr>
            </w:pPr>
          </w:p>
        </w:tc>
        <w:tc>
          <w:tcPr>
            <w:tcW w:w="53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Opinion of Maples and Calder, Cayman Islands Counsel to the Registrant.</w:t>
              </w:r>
            </w:hyperlink>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740" w:type="dxa"/>
            <w:vAlign w:val="bottom"/>
          </w:tcPr>
          <w:p>
            <w:pPr>
              <w:spacing w:after="0"/>
              <w:rPr>
                <w:sz w:val="24"/>
                <w:szCs w:val="24"/>
                <w:color w:val="auto"/>
              </w:rPr>
            </w:pPr>
          </w:p>
        </w:tc>
        <w:tc>
          <w:tcPr>
            <w:tcW w:w="1800" w:type="dxa"/>
            <w:vAlign w:val="bottom"/>
            <w:tcBorders>
              <w:bottom w:val="single" w:sz="8" w:color="0000EE"/>
            </w:tcBorders>
          </w:tcPr>
          <w:p>
            <w:pPr>
              <w:spacing w:after="0"/>
              <w:rPr>
                <w:rFonts w:ascii="Times New Roman" w:cs="Times New Roman" w:eastAsia="Times New Roman" w:hAnsi="Times New Roman"/>
                <w:sz w:val="18"/>
                <w:szCs w:val="18"/>
                <w:color w:val="0000EE"/>
                <w:w w:val="98"/>
              </w:rPr>
            </w:pPr>
            <w:hyperlink w:anchor="page18">
              <w:r>
                <w:rPr>
                  <w:rFonts w:ascii="Times New Roman" w:cs="Times New Roman" w:eastAsia="Times New Roman" w:hAnsi="Times New Roman"/>
                  <w:sz w:val="18"/>
                  <w:szCs w:val="18"/>
                  <w:color w:val="0000EE"/>
                  <w:w w:val="98"/>
                </w:rPr>
                <w:t>Consent of Marcum LLP</w:t>
              </w:r>
            </w:hyperlink>
          </w:p>
        </w:tc>
        <w:tc>
          <w:tcPr>
            <w:tcW w:w="3540" w:type="dxa"/>
            <w:vAlign w:val="bottom"/>
            <w:gridSpan w:val="6"/>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740" w:type="dxa"/>
            <w:vAlign w:val="bottom"/>
          </w:tcPr>
          <w:p>
            <w:pPr>
              <w:spacing w:after="0"/>
              <w:rPr>
                <w:sz w:val="24"/>
                <w:szCs w:val="24"/>
                <w:color w:val="auto"/>
              </w:rPr>
            </w:pPr>
          </w:p>
        </w:tc>
        <w:tc>
          <w:tcPr>
            <w:tcW w:w="5340" w:type="dxa"/>
            <w:vAlign w:val="bottom"/>
            <w:gridSpan w:val="7"/>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Consent of Kirkland &amp; Ellis LLP (included on Exhibit 5.1).</w:t>
              </w:r>
            </w:hyperlink>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740" w:type="dxa"/>
            <w:vAlign w:val="bottom"/>
          </w:tcPr>
          <w:p>
            <w:pPr>
              <w:spacing w:after="0"/>
              <w:rPr>
                <w:sz w:val="24"/>
                <w:szCs w:val="24"/>
                <w:color w:val="auto"/>
              </w:rPr>
            </w:pPr>
          </w:p>
        </w:tc>
        <w:tc>
          <w:tcPr>
            <w:tcW w:w="428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Consent of Maples and Calder (included on Exhibit 5.2).</w:t>
              </w:r>
            </w:hyperlink>
          </w:p>
        </w:tc>
        <w:tc>
          <w:tcPr>
            <w:tcW w:w="1060" w:type="dxa"/>
            <w:vAlign w:val="bottom"/>
            <w:gridSpan w:val="3"/>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ectPr>
          <w:pgSz w:w="11900" w:h="16838" w:orient="portrait"/>
          <w:cols w:equalWidth="0" w:num="1">
            <w:col w:w="10840"/>
          </w:cols>
          <w:pgMar w:left="440" w:top="266" w:right="6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city of Boston, Massachusetts, on the 22nd day of March 2021.</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Jake F. Erhard</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Jake F. Erhard</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80" w:type="dxa"/>
            <w:vAlign w:val="bottom"/>
          </w:tcPr>
          <w:p>
            <w:pPr>
              <w:spacing w:after="0"/>
              <w:rPr>
                <w:sz w:val="15"/>
                <w:szCs w:val="15"/>
                <w:color w:val="auto"/>
              </w:rPr>
            </w:pPr>
          </w:p>
        </w:tc>
        <w:tc>
          <w:tcPr>
            <w:tcW w:w="2060" w:type="dxa"/>
            <w:vAlign w:val="bottom"/>
            <w:gridSpan w:val="2"/>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20" w:type="dxa"/>
            <w:vAlign w:val="bottom"/>
          </w:tcPr>
          <w:p>
            <w:pPr>
              <w:spacing w:after="0"/>
              <w:rPr>
                <w:sz w:val="15"/>
                <w:szCs w:val="15"/>
                <w:color w:val="auto"/>
              </w:rPr>
            </w:pPr>
          </w:p>
        </w:tc>
        <w:tc>
          <w:tcPr>
            <w:tcW w:w="2540" w:type="dxa"/>
            <w:vAlign w:val="bottom"/>
            <w:gridSpan w:val="2"/>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1920" w:type="dxa"/>
            <w:vAlign w:val="bottom"/>
            <w:gridSpan w:val="3"/>
          </w:tcPr>
          <w:p>
            <w:pPr>
              <w:jc w:val="center"/>
              <w:ind w:left="69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7"/>
        </w:trPr>
        <w:tc>
          <w:tcPr>
            <w:tcW w:w="3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Daniel R. Revers</w:t>
            </w: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192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w w:val="99"/>
              </w:rPr>
              <w:t>March 22, 2021</w:t>
            </w:r>
          </w:p>
        </w:tc>
      </w:tr>
      <w:tr>
        <w:trPr>
          <w:trHeight w:val="228"/>
        </w:trPr>
        <w:tc>
          <w:tcPr>
            <w:tcW w:w="37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Daniel R. Revers</w:t>
            </w:r>
          </w:p>
        </w:tc>
        <w:tc>
          <w:tcPr>
            <w:tcW w:w="1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19"/>
        </w:trPr>
        <w:tc>
          <w:tcPr>
            <w:tcW w:w="37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/s/ Jake F. Erhard</w:t>
            </w: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192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w w:val="99"/>
              </w:rPr>
              <w:t>March 22, 2021</w:t>
            </w:r>
          </w:p>
        </w:tc>
      </w:tr>
      <w:tr>
        <w:trPr>
          <w:trHeight w:val="228"/>
        </w:trPr>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Jake F. Erhard</w:t>
            </w: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19"/>
        </w:trPr>
        <w:tc>
          <w:tcPr>
            <w:tcW w:w="3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Marco F. Gatti</w:t>
            </w: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92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w w:val="99"/>
              </w:rPr>
              <w:t>March 22, 2021</w:t>
            </w:r>
          </w:p>
        </w:tc>
      </w:tr>
      <w:tr>
        <w:trPr>
          <w:trHeight w:val="178"/>
        </w:trPr>
        <w:tc>
          <w:tcPr>
            <w:tcW w:w="3740" w:type="dxa"/>
            <w:vAlign w:val="bottom"/>
            <w:gridSpan w:val="3"/>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Marco F. Gatti</w:t>
            </w:r>
          </w:p>
        </w:tc>
        <w:tc>
          <w:tcPr>
            <w:tcW w:w="4160" w:type="dxa"/>
            <w:vAlign w:val="bottom"/>
            <w:gridSpan w:val="3"/>
          </w:tcPr>
          <w:p>
            <w:pPr>
              <w:jc w:val="center"/>
              <w:ind w:right="400"/>
              <w:spacing w:after="0" w:line="177" w:lineRule="exact"/>
              <w:rPr>
                <w:sz w:val="20"/>
                <w:szCs w:val="20"/>
                <w:color w:val="auto"/>
              </w:rPr>
            </w:pPr>
            <w:r>
              <w:rPr>
                <w:rFonts w:ascii="Times New Roman" w:cs="Times New Roman" w:eastAsia="Times New Roman" w:hAnsi="Times New Roman"/>
                <w:sz w:val="18"/>
                <w:szCs w:val="18"/>
                <w:color w:val="auto"/>
              </w:rPr>
              <w:t>(Principal Financial Officer and Principal</w:t>
            </w: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34"/>
        </w:trPr>
        <w:tc>
          <w:tcPr>
            <w:tcW w:w="1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1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24"/>
        </w:trPr>
        <w:tc>
          <w:tcPr>
            <w:tcW w:w="37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Arno Harris</w:t>
            </w: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w w:val="99"/>
              </w:rPr>
              <w:t>March 22, 2021</w:t>
            </w:r>
          </w:p>
        </w:tc>
      </w:tr>
      <w:tr>
        <w:trPr>
          <w:trHeight w:val="228"/>
        </w:trPr>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Arno Harris</w:t>
            </w:r>
          </w:p>
        </w:tc>
        <w:tc>
          <w:tcPr>
            <w:tcW w:w="1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19"/>
        </w:trPr>
        <w:tc>
          <w:tcPr>
            <w:tcW w:w="3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Steven Berkenfeld</w:t>
            </w: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w w:val="99"/>
              </w:rPr>
              <w:t>March 22, 2021</w:t>
            </w:r>
          </w:p>
        </w:tc>
      </w:tr>
      <w:tr>
        <w:trPr>
          <w:trHeight w:val="228"/>
        </w:trPr>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Steven Berkenfeld</w:t>
            </w:r>
          </w:p>
        </w:tc>
        <w:tc>
          <w:tcPr>
            <w:tcW w:w="1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19"/>
        </w:trPr>
        <w:tc>
          <w:tcPr>
            <w:tcW w:w="37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/s/ Ja-Chin Audrey Lee</w:t>
            </w: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w w:val="99"/>
              </w:rPr>
              <w:t>March 22, 2021</w:t>
            </w:r>
          </w:p>
        </w:tc>
      </w:tr>
      <w:tr>
        <w:trPr>
          <w:trHeight w:val="228"/>
        </w:trPr>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Ja-Chin Audrey Lee</w:t>
            </w:r>
          </w:p>
        </w:tc>
        <w:tc>
          <w:tcPr>
            <w:tcW w:w="1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19"/>
        </w:trPr>
        <w:tc>
          <w:tcPr>
            <w:tcW w:w="37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Brian Goncher</w:t>
            </w: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w w:val="99"/>
              </w:rPr>
              <w:t>March 22, 2021</w:t>
            </w:r>
          </w:p>
        </w:tc>
      </w:tr>
      <w:tr>
        <w:trPr>
          <w:trHeight w:val="228"/>
        </w:trPr>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Brian Goncher</w:t>
            </w:r>
          </w:p>
        </w:tc>
        <w:tc>
          <w:tcPr>
            <w:tcW w:w="1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173990</wp:posOffset>
            </wp:positionV>
            <wp:extent cx="2048510" cy="351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4851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601 Lexington Avenue</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United States</w:t>
      </w:r>
    </w:p>
    <w:p>
      <w:pPr>
        <w:spacing w:after="0" w:line="99" w:lineRule="exact"/>
        <w:rPr>
          <w:sz w:val="20"/>
          <w:szCs w:val="20"/>
          <w:color w:val="auto"/>
        </w:rPr>
      </w:pPr>
    </w:p>
    <w:tbl>
      <w:tblPr>
        <w:tblLayout w:type="fixed"/>
        <w:tblInd w:w="4940" w:type="dxa"/>
        <w:tblCellMar>
          <w:top w:w="0" w:type="dxa"/>
          <w:left w:w="0" w:type="dxa"/>
          <w:bottom w:w="0" w:type="dxa"/>
          <w:right w:w="0" w:type="dxa"/>
        </w:tblCellMar>
      </w:tblPr>
      <w:tr>
        <w:trPr>
          <w:trHeight w:val="216"/>
        </w:trPr>
        <w:tc>
          <w:tcPr>
            <w:tcW w:w="254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+1 212 446 4800</w:t>
            </w:r>
          </w:p>
        </w:tc>
        <w:tc>
          <w:tcPr>
            <w:tcW w:w="238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8"/>
              </w:rPr>
              <w:t>Facsimile:</w:t>
            </w:r>
          </w:p>
        </w:tc>
        <w:tc>
          <w:tcPr>
            <w:tcW w:w="0" w:type="dxa"/>
            <w:vAlign w:val="bottom"/>
          </w:tcPr>
          <w:p>
            <w:pPr>
              <w:spacing w:after="0"/>
              <w:rPr>
                <w:sz w:val="1"/>
                <w:szCs w:val="1"/>
                <w:color w:val="auto"/>
              </w:rPr>
            </w:pPr>
          </w:p>
        </w:tc>
      </w:tr>
      <w:tr>
        <w:trPr>
          <w:trHeight w:val="234"/>
        </w:trPr>
        <w:tc>
          <w:tcPr>
            <w:tcW w:w="2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www.kirkland.com</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+1 212 446 4900</w:t>
            </w:r>
          </w:p>
        </w:tc>
        <w:tc>
          <w:tcPr>
            <w:tcW w:w="0" w:type="dxa"/>
            <w:vAlign w:val="bottom"/>
          </w:tcPr>
          <w:p>
            <w:pPr>
              <w:spacing w:after="0"/>
              <w:rPr>
                <w:sz w:val="1"/>
                <w:szCs w:val="1"/>
                <w:color w:val="auto"/>
              </w:rPr>
            </w:pPr>
          </w:p>
        </w:tc>
      </w:tr>
      <w:tr>
        <w:trPr>
          <w:trHeight w:val="121"/>
        </w:trPr>
        <w:tc>
          <w:tcPr>
            <w:tcW w:w="2540" w:type="dxa"/>
            <w:vAlign w:val="bottom"/>
            <w:vMerge w:val="continue"/>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March 22, 2021</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ArcLight Clean Transition Corp.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Clarendon Street, 55th Floor Boston, MA 02116</w:t>
      </w:r>
    </w:p>
    <w:p>
      <w:pPr>
        <w:spacing w:after="0" w:line="252"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ArcLight Clean Transition Corp. II Registration Statement on Form S-1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We are issuing this opinion in our capacity as special United States counsel to ArcLight Clean Transition Corp. II, a Cayman Island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registration pursuant to Rule 462(b)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on a Registration Statement on Form S-1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March 22, 2021 (the “</w:t>
      </w:r>
      <w:r>
        <w:rPr>
          <w:rFonts w:ascii="Times New Roman" w:cs="Times New Roman" w:eastAsia="Times New Roman" w:hAnsi="Times New Roman"/>
          <w:sz w:val="18"/>
          <w:szCs w:val="18"/>
          <w:b w:val="1"/>
          <w:bCs w:val="1"/>
          <w:i w:val="1"/>
          <w:iCs w:val="1"/>
          <w:color w:val="auto"/>
        </w:rPr>
        <w:t>462(b)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of up to an additional 2,875,000 units of the Company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with each Unit consisting of one Class A ordinary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 value $0.0001 per share (the “</w:t>
      </w:r>
      <w:r>
        <w:rPr>
          <w:rFonts w:ascii="Times New Roman" w:cs="Times New Roman" w:eastAsia="Times New Roman" w:hAnsi="Times New Roman"/>
          <w:sz w:val="18"/>
          <w:szCs w:val="18"/>
          <w:b w:val="1"/>
          <w:bCs w:val="1"/>
          <w:i w:val="1"/>
          <w:iCs w:val="1"/>
          <w:color w:val="auto"/>
        </w:rPr>
        <w:t>Class A Ordinary Shares</w:t>
      </w:r>
      <w:r>
        <w:rPr>
          <w:rFonts w:ascii="Times New Roman" w:cs="Times New Roman" w:eastAsia="Times New Roman" w:hAnsi="Times New Roman"/>
          <w:sz w:val="18"/>
          <w:szCs w:val="18"/>
          <w:color w:val="auto"/>
        </w:rPr>
        <w:t>”), of the Company and one-fifth of one redeemable warrant of the Company to purchase one Class A Ordinary Share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680" w:firstLine="440"/>
        <w:spacing w:after="0" w:line="312" w:lineRule="auto"/>
        <w:rPr>
          <w:sz w:val="20"/>
          <w:szCs w:val="20"/>
          <w:color w:val="auto"/>
        </w:rPr>
      </w:pPr>
      <w:r>
        <w:rPr>
          <w:rFonts w:ascii="Times New Roman" w:cs="Times New Roman" w:eastAsia="Times New Roman" w:hAnsi="Times New Roman"/>
          <w:sz w:val="17"/>
          <w:szCs w:val="17"/>
          <w:color w:val="auto"/>
        </w:rPr>
        <w:t>The 462(b) Registration Statement relates to the Company’s Registration Statement on Form S-1, as amended (File No. 333-252730) (the “</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initially filed by the Company on February 4, 2021 and declared effective by the Commission on March 22, 2021.</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opinion is being furnished in accordance with the requirements of Item 601(b)(5) of Regulation S-K promulgated under the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rendering the opinions stated herein, we have examined and relied upon the following:</w:t>
      </w:r>
    </w:p>
    <w:p>
      <w:pPr>
        <w:spacing w:after="0" w:line="117" w:lineRule="exact"/>
        <w:rPr>
          <w:sz w:val="20"/>
          <w:szCs w:val="20"/>
          <w:color w:val="auto"/>
        </w:rPr>
      </w:pPr>
    </w:p>
    <w:p>
      <w:pPr>
        <w:ind w:left="680" w:hanging="244"/>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462(b) Registration Statement;</w:t>
      </w:r>
    </w:p>
    <w:p>
      <w:pPr>
        <w:spacing w:after="0" w:line="113" w:lineRule="exact"/>
        <w:rPr>
          <w:rFonts w:ascii="Times New Roman" w:cs="Times New Roman" w:eastAsia="Times New Roman" w:hAnsi="Times New Roman"/>
          <w:sz w:val="18"/>
          <w:szCs w:val="18"/>
          <w:color w:val="auto"/>
        </w:rPr>
      </w:pPr>
    </w:p>
    <w:p>
      <w:pPr>
        <w:ind w:right="100" w:firstLine="436"/>
        <w:spacing w:after="0" w:line="268" w:lineRule="auto"/>
        <w:tabs>
          <w:tab w:leader="none" w:pos="6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proposed to be entered into by and among the Company and Citigroup Global Markets Inc. and Barclays Capital Inc.,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relating to the sale by the Company to the Underwriters of the Units, filed as Exhibit 1.1 to the Registration Statement;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Beijing Boston Chicago Dallas Hong Kong Houston London Los Angeles Munich Palo Alto Paris San Francisco Shanghai Washington, D.C.</w:t>
      </w:r>
    </w:p>
    <w:p>
      <w:pPr>
        <w:sectPr>
          <w:pgSz w:w="11900" w:h="16838" w:orient="portrait"/>
          <w:cols w:equalWidth="0" w:num="1">
            <w:col w:w="11020"/>
          </w:cols>
          <w:pgMar w:left="44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2942590</wp:posOffset>
            </wp:positionH>
            <wp:positionV relativeFrom="page">
              <wp:posOffset>182880</wp:posOffset>
            </wp:positionV>
            <wp:extent cx="167132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671320" cy="188595"/>
                    </a:xfrm>
                    <a:prstGeom prst="rect">
                      <a:avLst/>
                    </a:prstGeom>
                    <a:noFill/>
                  </pic:spPr>
                </pic:pic>
              </a:graphicData>
            </a:graphic>
          </wp:anchor>
        </w:drawing>
        <w:t>Page 2</w:t>
      </w:r>
    </w:p>
    <w:p>
      <w:pPr>
        <w:spacing w:after="0" w:line="158" w:lineRule="exact"/>
        <w:rPr>
          <w:sz w:val="20"/>
          <w:szCs w:val="20"/>
          <w:color w:val="auto"/>
        </w:rPr>
      </w:pPr>
    </w:p>
    <w:p>
      <w:pPr>
        <w:ind w:left="700" w:hanging="264"/>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Unit Certificate, filed as Exhibit 4.1 to the Registration Statement;</w:t>
      </w:r>
    </w:p>
    <w:p>
      <w:pPr>
        <w:spacing w:after="0" w:line="11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Warrant Certificate, filed as Exhibit 4.3 to the Registration Statement; and</w:t>
      </w:r>
    </w:p>
    <w:p>
      <w:pPr>
        <w:spacing w:after="0" w:line="117" w:lineRule="exact"/>
        <w:rPr>
          <w:rFonts w:ascii="Times New Roman" w:cs="Times New Roman" w:eastAsia="Times New Roman" w:hAnsi="Times New Roman"/>
          <w:sz w:val="18"/>
          <w:szCs w:val="18"/>
          <w:color w:val="auto"/>
        </w:rPr>
      </w:pPr>
    </w:p>
    <w:p>
      <w:pPr>
        <w:ind w:firstLine="436"/>
        <w:spacing w:after="0" w:line="282" w:lineRule="auto"/>
        <w:tabs>
          <w:tab w:leader="none" w:pos="6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Warrant Agreement proposed to be entered into by and between the Company and Continental Stock Transfer &amp; Trust Company, as warrant agent (the “</w:t>
      </w:r>
      <w:r>
        <w:rPr>
          <w:rFonts w:ascii="Times New Roman" w:cs="Times New Roman" w:eastAsia="Times New Roman" w:hAnsi="Times New Roman"/>
          <w:sz w:val="18"/>
          <w:szCs w:val="18"/>
          <w:b w:val="1"/>
          <w:bCs w:val="1"/>
          <w:i w:val="1"/>
          <w:iCs w:val="1"/>
          <w:color w:val="auto"/>
        </w:rPr>
        <w:t>Warrant Agreement</w:t>
      </w:r>
      <w:r>
        <w:rPr>
          <w:rFonts w:ascii="Times New Roman" w:cs="Times New Roman" w:eastAsia="Times New Roman" w:hAnsi="Times New Roman"/>
          <w:sz w:val="18"/>
          <w:szCs w:val="18"/>
          <w:color w:val="auto"/>
        </w:rPr>
        <w:t>”), filed as Exhibit 4.4 to the Registration Statement.</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For purposes of this letter, we have examined such other documents, records, certificates, resolutions and other instruments deemed necessary as a basis for this opinion, and we have assumed the authenticity of all documents submitted to us as originals, the conformity to the originals of all documents submitted to us as copies and the authenticity of the originals of all documents submitted to us as copies. As to any facts material to the opinions expressed herein which we have not independently established or verified, we have relied upon statements and representations of officers and other representatives of the Company and others.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do not express any opinion with respect to the laws of any jurisdiction other than the laws of the State of New York.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upon the foregoing and subject to the qualifications and assumptions stated herein, we are of the opinion that:</w:t>
      </w:r>
    </w:p>
    <w:p>
      <w:pPr>
        <w:spacing w:after="0" w:line="117" w:lineRule="exact"/>
        <w:rPr>
          <w:sz w:val="20"/>
          <w:szCs w:val="20"/>
          <w:color w:val="auto"/>
        </w:rPr>
      </w:pPr>
    </w:p>
    <w:p>
      <w:pPr>
        <w:ind w:right="200" w:firstLine="436"/>
        <w:spacing w:after="0" w:line="266"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Units are delivered in accordance with the Underwriting Agreement upon payment of the agreed upon consideration therefor, the Units will constitute valid and binding obligations of the Company, enforceable against the Company in accordance with their terms under the laws of the State of New York.</w:t>
      </w:r>
    </w:p>
    <w:p>
      <w:pPr>
        <w:spacing w:after="0" w:line="67" w:lineRule="exact"/>
        <w:rPr>
          <w:rFonts w:ascii="Times New Roman" w:cs="Times New Roman" w:eastAsia="Times New Roman" w:hAnsi="Times New Roman"/>
          <w:sz w:val="18"/>
          <w:szCs w:val="18"/>
          <w:color w:val="auto"/>
        </w:rPr>
      </w:pPr>
    </w:p>
    <w:p>
      <w:pPr>
        <w:ind w:right="20" w:firstLine="436"/>
        <w:spacing w:after="0" w:line="266"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Units are delivered in accordance with the Underwriting Agreement upon payment of the agreed upon consideration therefor, the Warrants included in such Units will constitute valid and binding obligations of the Company, enforceable against the Company in accordance with their terms under the laws of the State of New York.</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in rendering the foregoing opinions we have assumed that:</w:t>
      </w:r>
    </w:p>
    <w:p>
      <w:pPr>
        <w:spacing w:after="0" w:line="117" w:lineRule="exact"/>
        <w:rPr>
          <w:sz w:val="20"/>
          <w:szCs w:val="20"/>
          <w:color w:val="auto"/>
        </w:rPr>
      </w:pPr>
    </w:p>
    <w:p>
      <w:pPr>
        <w:jc w:val="both"/>
        <w:ind w:right="300" w:firstLine="436"/>
        <w:spacing w:after="0" w:line="266"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is duly incorporated and is validly existing and in good standing, (ii) has requisite legal status and legal capacity under the laws of the jurisdiction of its organization and (iii) has complied and will comply with all aspects of the laws of the jurisdiction of its organization in connection with the transactions contemplated by, and the performance of its obligations under, the Warrant Agreement;</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corporate power and authority to execute, deliver and perform all its obligations under the Warrant Agreement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w:t>
      </w:r>
    </w:p>
    <w:p>
      <w:pPr>
        <w:sectPr>
          <w:pgSz w:w="11900" w:h="16838" w:orient="portrait"/>
          <w:cols w:equalWidth="0" w:num="1">
            <w:col w:w="11000"/>
          </w:cols>
          <w:pgMar w:left="440" w:top="783" w:right="45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2942590</wp:posOffset>
            </wp:positionH>
            <wp:positionV relativeFrom="page">
              <wp:posOffset>182880</wp:posOffset>
            </wp:positionV>
            <wp:extent cx="16713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671320" cy="188595"/>
                    </a:xfrm>
                    <a:prstGeom prst="rect">
                      <a:avLst/>
                    </a:prstGeom>
                    <a:noFill/>
                  </pic:spPr>
                </pic:pic>
              </a:graphicData>
            </a:graphic>
          </wp:anchor>
        </w:drawing>
        <w:t>Page 3</w:t>
      </w:r>
    </w:p>
    <w:p>
      <w:pPr>
        <w:spacing w:after="0" w:line="158" w:lineRule="exact"/>
        <w:rPr>
          <w:sz w:val="20"/>
          <w:szCs w:val="20"/>
          <w:color w:val="auto"/>
        </w:rPr>
      </w:pPr>
    </w:p>
    <w:p>
      <w:pPr>
        <w:ind w:left="4" w:right="60" w:firstLine="436"/>
        <w:spacing w:after="0" w:line="256" w:lineRule="auto"/>
        <w:tabs>
          <w:tab w:leader="none" w:pos="68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by the Company of the Warrant Agreement nor the performance by the Company of its obligations thereunder, including the issuance and sale of the Units: (i) conflicts or will conflict with the Amended and Restated Memorandum and Articles of Association of the Company, (ii) constitutes or will constitute a violation of, or a default under, any lease, indenture, instrument or other agreement to which the Company or its property is subject, (iii) contravenes or will contravene any order or decree of any governmental authority to which the Company or its property is subject or (iv) violates or will violate any law, rule or regulation to which the Company or its property is subject (except that we do not make the assumption set forth in this clause (iv) with respect to the laws of the State of New York); and</w:t>
      </w:r>
    </w:p>
    <w:p>
      <w:pPr>
        <w:spacing w:after="0" w:line="79" w:lineRule="exact"/>
        <w:rPr>
          <w:rFonts w:ascii="Times New Roman" w:cs="Times New Roman" w:eastAsia="Times New Roman" w:hAnsi="Times New Roman"/>
          <w:sz w:val="18"/>
          <w:szCs w:val="18"/>
          <w:color w:val="auto"/>
        </w:rPr>
      </w:pPr>
    </w:p>
    <w:p>
      <w:pPr>
        <w:ind w:left="4" w:right="540" w:firstLine="436"/>
        <w:spacing w:after="0" w:line="266" w:lineRule="auto"/>
        <w:tabs>
          <w:tab w:leader="none" w:pos="69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by the Company of the Warrant Agreement nor the performance by the Company of its obligations thereunder, including the issuance and sale of the Units, requires or will require the consent, approval, licensing or authorization of, or any filing, recording or registration with, any governmental authority under any law, rule or regulation of any jurisdiction.</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Our opinions expressed above are subject to the qualifications that we express no opinion as to the applicability of, compliance with, or effect of</w:t>
      </w:r>
    </w:p>
    <w:p>
      <w:pPr>
        <w:spacing w:after="0" w:line="27" w:lineRule="exact"/>
        <w:rPr>
          <w:sz w:val="20"/>
          <w:szCs w:val="20"/>
          <w:color w:val="auto"/>
        </w:rPr>
      </w:pPr>
    </w:p>
    <w:p>
      <w:pPr>
        <w:ind w:left="4" w:hanging="4"/>
        <w:spacing w:after="0" w:line="268" w:lineRule="auto"/>
        <w:tabs>
          <w:tab w:leader="none" w:pos="21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bankruptcy, insolvency, reorganization, fraudulent transfer, fraudulent conveyance, moratorium or other similar law or judicially developed doctrine in this area (such as substantive consolidation or equitable subordination) affecting the enforcement of creditors’ rights generally, (ii) general principles of equity (regardless of whether enforcement is considered in a proceeding in equity or at law), (iii) an implied covenant of good faith and fair dealing, (iv) public policy considerations which may limit the rights of parties to obtain certain remedies, (v) any requirement that a claim with respect to any security denominated in other than U.S. dollars (or a judgment denominated in other than U.S. dollars in respect of such claim) be converted into U.S. dollars at a rate of exchange prevailing on a date determined in accordance with applicable law, (vi) governmental authority to limit, delay or prohibit the making of payments outside of the United States or in a foreign currency or currency unit and (vii) any laws except the laws of the State of New York. We advise you that issues addressed by this letter may be governed in whole or in part by other laws, but we express no opinion as to whether any relevant difference exists between the laws upon which our opinions are based and any other laws which may actually govern.</w:t>
      </w:r>
    </w:p>
    <w:p>
      <w:pPr>
        <w:spacing w:after="0" w:line="177"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as Exhibit 5.1 to the Registration Statement. We also consent to the reference to our firm under the heading “Legal Matters” in the Registration Statement. In giving this consent, we do not thereby admit that we are in the category of persons whose consent is required under Section 7 of the Act or the rules and regulations of the Commission.</w:t>
      </w:r>
    </w:p>
    <w:p>
      <w:pPr>
        <w:sectPr>
          <w:pgSz w:w="11900" w:h="16838" w:orient="portrait"/>
          <w:cols w:equalWidth="0" w:num="1">
            <w:col w:w="10984"/>
          </w:cols>
          <w:pgMar w:left="436" w:top="783"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2942590</wp:posOffset>
            </wp:positionH>
            <wp:positionV relativeFrom="page">
              <wp:posOffset>182880</wp:posOffset>
            </wp:positionV>
            <wp:extent cx="167132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671320" cy="188595"/>
                    </a:xfrm>
                    <a:prstGeom prst="rect">
                      <a:avLst/>
                    </a:prstGeom>
                    <a:noFill/>
                  </pic:spPr>
                </pic:pic>
              </a:graphicData>
            </a:graphic>
          </wp:anchor>
        </w:drawing>
        <w:t>Page 4</w:t>
      </w:r>
    </w:p>
    <w:p>
      <w:pPr>
        <w:spacing w:after="0" w:line="158"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We do not find it necessary for the purposes of this opinion, and accordingly we do not purport to cover herein, the application of the securities or “Blue Sky” laws of the various states to the offering of the Units.</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This opinion is limited to the specific issues addressed herein, and no opinion may be inferred or implied beyond that expressly stated herein. We assume no obligation to revise or supplement this opinion should the present laws of the State of New York be changed by legislative action, judicial decision or otherwise.</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This opinion is furnished to you in connection with the filing of the Registration Statement and is not to be used, circulated, quoted or otherwise relied upon for any other purposes.</w:t>
      </w:r>
    </w:p>
    <w:p>
      <w:pPr>
        <w:spacing w:after="0" w:line="6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KIRKLAND &amp; ELLIS LLP</w:t>
      </w:r>
    </w:p>
    <w:p>
      <w:pPr>
        <w:sectPr>
          <w:pgSz w:w="11900" w:h="16838" w:orient="portrait"/>
          <w:cols w:equalWidth="0" w:num="1">
            <w:col w:w="10920"/>
          </w:cols>
          <w:pgMar w:left="440" w:top="783" w:right="5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831215" cy="7886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3121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
        <w:spacing w:after="0"/>
        <w:tabs>
          <w:tab w:leader="none" w:pos="724" w:val="left"/>
        </w:tabs>
        <w:rPr>
          <w:sz w:val="20"/>
          <w:szCs w:val="20"/>
          <w:color w:val="auto"/>
        </w:rPr>
      </w:pPr>
      <w:r>
        <w:rPr>
          <w:rFonts w:ascii="Times New Roman" w:cs="Times New Roman" w:eastAsia="Times New Roman" w:hAnsi="Times New Roman"/>
          <w:sz w:val="18"/>
          <w:szCs w:val="18"/>
          <w:color w:val="auto"/>
        </w:rPr>
        <w:t>Our ref</w:t>
      </w:r>
      <w:r>
        <w:rPr>
          <w:sz w:val="20"/>
          <w:szCs w:val="20"/>
          <w:color w:val="auto"/>
        </w:rPr>
        <w:tab/>
      </w:r>
      <w:r>
        <w:rPr>
          <w:rFonts w:ascii="Times New Roman" w:cs="Times New Roman" w:eastAsia="Times New Roman" w:hAnsi="Times New Roman"/>
          <w:sz w:val="17"/>
          <w:szCs w:val="17"/>
          <w:color w:val="auto"/>
        </w:rPr>
        <w:t>KZR/782340-000001/66001925v1</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ArcLight Clean Transition Corp. II</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PO Box 309, Ugland House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Grand Cayman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KY1-1104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Cayman Islands</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22 March 2021</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117" w:lineRule="exact"/>
        <w:rPr>
          <w:sz w:val="20"/>
          <w:szCs w:val="20"/>
          <w:color w:val="auto"/>
        </w:rPr>
      </w:pPr>
    </w:p>
    <w:p>
      <w:pPr>
        <w:ind w:left="4" w:right="60"/>
        <w:spacing w:after="0" w:line="262" w:lineRule="auto"/>
        <w:rPr>
          <w:sz w:val="20"/>
          <w:szCs w:val="20"/>
          <w:color w:val="auto"/>
        </w:rPr>
      </w:pPr>
      <w:r>
        <w:rPr>
          <w:rFonts w:ascii="Times New Roman" w:cs="Times New Roman" w:eastAsia="Times New Roman" w:hAnsi="Times New Roman"/>
          <w:sz w:val="18"/>
          <w:szCs w:val="18"/>
          <w:color w:val="auto"/>
        </w:rPr>
        <w:t>We have acted as counsel as to Cayman Islands law to ArcLight Clean Transition Corp. II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Company’s registration statement on Form S-1, including all amendments or supplements thereto, filed with the United States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United States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(including its exhibits,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for the purposes of, registering with the Commission under Rule 462(b) of the Act, the offering and sale to the public of an additional:</w:t>
      </w:r>
    </w:p>
    <w:p>
      <w:pPr>
        <w:spacing w:after="0" w:line="82" w:lineRule="exact"/>
        <w:rPr>
          <w:sz w:val="20"/>
          <w:szCs w:val="20"/>
          <w:color w:val="auto"/>
        </w:rPr>
      </w:pPr>
    </w:p>
    <w:p>
      <w:pPr>
        <w:jc w:val="both"/>
        <w:ind w:left="544" w:right="100" w:hanging="544"/>
        <w:spacing w:after="0" w:line="268" w:lineRule="auto"/>
        <w:tabs>
          <w:tab w:leader="none" w:pos="5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2,875,000 units (including 375,000 units, which the several underwriters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for whom Citigroup Global Markets Inc. and Barclays Capital Inc. are acting as representatives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will have a 45-day option to purchase from the Company to cover over-allotments, if any)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at an offering price of US$10 per Unit, each Unit consisting of:</w:t>
      </w:r>
    </w:p>
    <w:p>
      <w:pPr>
        <w:spacing w:after="0" w:line="76"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Class A ordinary share of a par value of US$0.0001 of the Company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and</w:t>
      </w:r>
    </w:p>
    <w:p>
      <w:pPr>
        <w:spacing w:after="0" w:line="134" w:lineRule="exact"/>
        <w:rPr>
          <w:rFonts w:ascii="Times New Roman" w:cs="Times New Roman" w:eastAsia="Times New Roman" w:hAnsi="Times New Roman"/>
          <w:sz w:val="18"/>
          <w:szCs w:val="18"/>
          <w:color w:val="auto"/>
        </w:rPr>
      </w:pPr>
    </w:p>
    <w:p>
      <w:pPr>
        <w:ind w:left="964" w:right="140" w:hanging="532"/>
        <w:spacing w:after="0" w:line="282"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one-fifth of one redeemable warrant, each whole warrant exercisable to purchase one Ordinary Share at a price of US$11.50 per Ordinary Share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Ordinary Shares and Warrants issued as part of the Units; and</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Ordinary Shares that may be issued upon exercise of the Warrants included in the Units.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opinion letter is given in accordance with the terms of the Legal Matters section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4843145" cy="5746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43145" cy="574675"/>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10" w:name="page11"/>
    <w:bookmarkEnd w:id="10"/>
    <w:p>
      <w:pPr>
        <w:ind w:left="544" w:hanging="544"/>
        <w:spacing w:after="0"/>
        <w:tabs>
          <w:tab w:leader="none" w:pos="54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Reviewed</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have reviewed originals, copies, drafts or conformed copies of the following documents:</w:t>
      </w:r>
    </w:p>
    <w:p>
      <w:pPr>
        <w:spacing w:after="0" w:line="131" w:lineRule="exact"/>
        <w:rPr>
          <w:sz w:val="20"/>
          <w:szCs w:val="20"/>
          <w:color w:val="auto"/>
        </w:rPr>
      </w:pPr>
    </w:p>
    <w:p>
      <w:pPr>
        <w:ind w:left="544" w:right="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The certificate of incorporation dated 13 January 2021 and the amended and restated memorandum and articles of association of the Company as registered or adopted on 22 March 2021 (the “</w:t>
      </w:r>
      <w:r>
        <w:rPr>
          <w:rFonts w:ascii="Times New Roman" w:cs="Times New Roman" w:eastAsia="Times New Roman" w:hAnsi="Times New Roman"/>
          <w:sz w:val="18"/>
          <w:szCs w:val="18"/>
          <w:b w:val="1"/>
          <w:bCs w:val="1"/>
          <w:color w:val="auto"/>
        </w:rPr>
        <w:t>Memorandum and Articles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The written resolutions of the board of directors of the Company dated 20 January 2021, 2 February 2021 and 12 March 2021 (the</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 the written resolutions of the pricing committee of the board of directors of the Company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dated 22 March</w:t>
      </w:r>
    </w:p>
    <w:p>
      <w:pPr>
        <w:spacing w:after="0" w:line="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2021 (the “</w:t>
      </w:r>
      <w:r>
        <w:rPr>
          <w:rFonts w:ascii="Times New Roman" w:cs="Times New Roman" w:eastAsia="Times New Roman" w:hAnsi="Times New Roman"/>
          <w:sz w:val="18"/>
          <w:szCs w:val="18"/>
          <w:b w:val="1"/>
          <w:bCs w:val="1"/>
          <w:color w:val="auto"/>
        </w:rPr>
        <w:t>Committee Resolutions</w:t>
      </w:r>
      <w:r>
        <w:rPr>
          <w:rFonts w:ascii="Times New Roman" w:cs="Times New Roman" w:eastAsia="Times New Roman" w:hAnsi="Times New Roman"/>
          <w:sz w:val="18"/>
          <w:szCs w:val="18"/>
          <w:color w:val="auto"/>
        </w:rPr>
        <w:t>”) and the corporate records of the Company maintained at its registered office in the Cayman Islands.</w:t>
      </w:r>
    </w:p>
    <w:p>
      <w:pPr>
        <w:spacing w:after="0" w:line="108"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A certificate of good standing with respect to the Company issued by the Registrar of Companies (the “</w:t>
      </w:r>
      <w:r>
        <w:rPr>
          <w:rFonts w:ascii="Times New Roman" w:cs="Times New Roman" w:eastAsia="Times New Roman" w:hAnsi="Times New Roman"/>
          <w:sz w:val="17"/>
          <w:szCs w:val="17"/>
          <w:b w:val="1"/>
          <w:bCs w:val="1"/>
          <w:color w:val="auto"/>
        </w:rPr>
        <w:t>Certificate of Good Standing</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A certificate from a director of the Company a copy of which is attached to this opinion letter (the “</w:t>
      </w:r>
      <w:r>
        <w:rPr>
          <w:rFonts w:ascii="Times New Roman" w:cs="Times New Roman" w:eastAsia="Times New Roman" w:hAnsi="Times New Roman"/>
          <w:sz w:val="17"/>
          <w:szCs w:val="17"/>
          <w:b w:val="1"/>
          <w:bCs w:val="1"/>
          <w:color w:val="auto"/>
        </w:rPr>
        <w:t>Director’s Certificate</w:t>
      </w:r>
      <w:r>
        <w:rPr>
          <w:rFonts w:ascii="Times New Roman" w:cs="Times New Roman" w:eastAsia="Times New Roman" w:hAnsi="Times New Roman"/>
          <w:sz w:val="17"/>
          <w:szCs w:val="17"/>
          <w:color w:val="auto"/>
        </w:rPr>
        <w:t>”).</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The Registration Statement.</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A draft of the form of the unit certificate representing the Units (the “</w:t>
      </w:r>
      <w:r>
        <w:rPr>
          <w:rFonts w:ascii="Times New Roman" w:cs="Times New Roman" w:eastAsia="Times New Roman" w:hAnsi="Times New Roman"/>
          <w:sz w:val="17"/>
          <w:szCs w:val="17"/>
          <w:b w:val="1"/>
          <w:bCs w:val="1"/>
          <w:color w:val="auto"/>
        </w:rPr>
        <w:t>Unit Certificate</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A draft of the form of the warrant agreement and the warrant certificate constituting the Warrants (the “</w:t>
      </w:r>
      <w:r>
        <w:rPr>
          <w:rFonts w:ascii="Times New Roman" w:cs="Times New Roman" w:eastAsia="Times New Roman" w:hAnsi="Times New Roman"/>
          <w:sz w:val="17"/>
          <w:szCs w:val="17"/>
          <w:b w:val="1"/>
          <w:bCs w:val="1"/>
          <w:color w:val="auto"/>
        </w:rPr>
        <w:t>Warrant Documents</w:t>
      </w:r>
      <w:r>
        <w:rPr>
          <w:rFonts w:ascii="Times New Roman" w:cs="Times New Roman" w:eastAsia="Times New Roman" w:hAnsi="Times New Roman"/>
          <w:sz w:val="17"/>
          <w:szCs w:val="17"/>
          <w:color w:val="auto"/>
        </w:rPr>
        <w:t>”).</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color w:val="auto"/>
        </w:rPr>
        <w:t>A draft of the underwriting agreement between the Company and the Representatives.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documents listed in paragraphs 1.6 to 1.8 inclusive above shall be referred to collectively herein as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544" w:hanging="544"/>
        <w:spacing w:after="0"/>
        <w:tabs>
          <w:tab w:leader="none" w:pos="54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ind w:left="4" w:right="140"/>
        <w:spacing w:after="0" w:line="261" w:lineRule="auto"/>
        <w:rPr>
          <w:sz w:val="20"/>
          <w:szCs w:val="20"/>
          <w:color w:val="auto"/>
        </w:rPr>
      </w:pPr>
      <w:r>
        <w:rPr>
          <w:rFonts w:ascii="Times New Roman" w:cs="Times New Roman" w:eastAsia="Times New Roman" w:hAnsi="Times New Roman"/>
          <w:sz w:val="18"/>
          <w:szCs w:val="18"/>
          <w:color w:val="auto"/>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 following opinions, we have relied (without further verification) upon the completeness and accuracy, as at the date of this opinion letter, of the Director’s Certificate and the Certificate of Good Standing. We have also relied upon the following assumptions, which we have not independently verified:</w:t>
      </w:r>
    </w:p>
    <w:p>
      <w:pPr>
        <w:spacing w:after="0" w:line="85" w:lineRule="exact"/>
        <w:rPr>
          <w:sz w:val="20"/>
          <w:szCs w:val="20"/>
          <w:color w:val="auto"/>
        </w:rPr>
      </w:pPr>
    </w:p>
    <w:p>
      <w:pPr>
        <w:ind w:left="544" w:right="6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Documents have been or will be authorised and duly executed and unconditionally delivered by or on behalf of all relevant parties in accordance with all relevant laws (other than, with respect to the Company, the laws of the Cayman Islands).</w:t>
      </w:r>
    </w:p>
    <w:p>
      <w:pPr>
        <w:spacing w:after="0" w:line="67" w:lineRule="exact"/>
        <w:rPr>
          <w:sz w:val="20"/>
          <w:szCs w:val="20"/>
          <w:color w:val="auto"/>
        </w:rPr>
      </w:pPr>
    </w:p>
    <w:p>
      <w:pPr>
        <w:ind w:left="544" w:right="1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Documents are, or will be, legal, valid, binding and enforceable against all relevant parties in accordance with their terms under the laws of the State of New York (the “</w:t>
      </w:r>
      <w:r>
        <w:rPr>
          <w:rFonts w:ascii="Times New Roman" w:cs="Times New Roman" w:eastAsia="Times New Roman" w:hAnsi="Times New Roman"/>
          <w:sz w:val="18"/>
          <w:szCs w:val="18"/>
          <w:b w:val="1"/>
          <w:bCs w:val="1"/>
          <w:color w:val="auto"/>
        </w:rPr>
        <w:t>Relevant Law</w:t>
      </w:r>
      <w:r>
        <w:rPr>
          <w:rFonts w:ascii="Times New Roman" w:cs="Times New Roman" w:eastAsia="Times New Roman" w:hAnsi="Times New Roman"/>
          <w:sz w:val="18"/>
          <w:szCs w:val="18"/>
          <w:color w:val="auto"/>
        </w:rPr>
        <w:t>”) and all other relevant laws (other than, with respect to the Company, the laws of the Cayman Islands).</w:t>
      </w:r>
    </w:p>
    <w:p>
      <w:pPr>
        <w:spacing w:after="0" w:line="81" w:lineRule="exact"/>
        <w:rPr>
          <w:sz w:val="20"/>
          <w:szCs w:val="20"/>
          <w:color w:val="auto"/>
        </w:rPr>
      </w:pPr>
    </w:p>
    <w:p>
      <w:pPr>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choice of the Relevant Law as the governing law of the Documents has been made in good faith and would be regarded as a valid and binding selection which will be upheld by the courts of the State of New York and any other relevant jurisdiction (other than the Cayman Islands) as a matter of the Relevant Law and all other relevant laws (other than the laws of the Cayman Islands).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66" w:right="439" w:bottom="1440" w:gutter="0" w:footer="0" w:header="0"/>
        </w:sectPr>
      </w:pPr>
    </w:p>
    <w:bookmarkStart w:id="11" w:name="page12"/>
    <w:bookmarkEnd w:id="11"/>
    <w:p>
      <w:pPr>
        <w:ind w:left="544" w:right="5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w:t>
      </w:r>
      <w:r>
        <w:rPr>
          <w:sz w:val="20"/>
          <w:szCs w:val="20"/>
          <w:color w:val="auto"/>
        </w:rPr>
        <w:tab/>
      </w:r>
      <w:r>
        <w:rPr>
          <w:rFonts w:ascii="Times New Roman" w:cs="Times New Roman" w:eastAsia="Times New Roman" w:hAnsi="Times New Roman"/>
          <w:sz w:val="18"/>
          <w:szCs w:val="18"/>
          <w:color w:val="auto"/>
        </w:rPr>
        <w:t>Copies of documents, conformed copies or drafts of documents provided to us are true and complete copies of, or in the final forms of, the originals.</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All signatures, initials and seals are genuine.</w:t>
      </w:r>
    </w:p>
    <w:p>
      <w:pPr>
        <w:spacing w:after="0" w:line="131" w:lineRule="exact"/>
        <w:rPr>
          <w:sz w:val="20"/>
          <w:szCs w:val="20"/>
          <w:color w:val="auto"/>
        </w:rPr>
      </w:pPr>
    </w:p>
    <w:p>
      <w:pPr>
        <w:ind w:left="544" w:right="1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The capacity, power, authority and legal right of all parties under all relevant laws and regulations (other than, with respect to the Company, the laws and regulations of the Cayman Islands) to enter into, execute, unconditionally deliver and perform their respective obligations under the Documents.</w:t>
      </w:r>
    </w:p>
    <w:p>
      <w:pPr>
        <w:spacing w:after="0" w:line="81" w:lineRule="exact"/>
        <w:rPr>
          <w:sz w:val="20"/>
          <w:szCs w:val="20"/>
          <w:color w:val="auto"/>
        </w:rPr>
      </w:pPr>
    </w:p>
    <w:p>
      <w:pPr>
        <w:ind w:left="544" w:right="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No invitation has been or will be made by or on behalf of the Company to the public in the Cayman Islands to subscribe for any of the Units, the Warrants or the Ordinary Shares.</w:t>
      </w:r>
    </w:p>
    <w:p>
      <w:pPr>
        <w:spacing w:after="0" w:line="67" w:lineRule="exact"/>
        <w:rPr>
          <w:sz w:val="20"/>
          <w:szCs w:val="20"/>
          <w:color w:val="auto"/>
        </w:rPr>
      </w:pPr>
    </w:p>
    <w:p>
      <w:pPr>
        <w:ind w:left="544" w:right="1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There is no contractual or other prohibition or restriction (other than as arising under Cayman Islands law) binding on the Company prohibiting or restricting it from entering into and performing its obligations under the Documents.</w:t>
      </w:r>
    </w:p>
    <w:p>
      <w:pPr>
        <w:spacing w:after="0" w:line="67" w:lineRule="exact"/>
        <w:rPr>
          <w:sz w:val="20"/>
          <w:szCs w:val="20"/>
          <w:color w:val="auto"/>
        </w:rPr>
      </w:pPr>
    </w:p>
    <w:p>
      <w:pPr>
        <w:ind w:left="544"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No monies paid to or for the account of any party under the Documents or any property received or disposed of by any party to the Documents in each case in connection with the Documents or the consummation of the transactions contemplated thereby represent or will represent proceeds of criminal conduct or criminal property or terrorist property (as defined in the Proceeds of Crime Act (As Revised) and the Terrorism Act (As Revised), respectively).</w:t>
      </w:r>
    </w:p>
    <w:p>
      <w:pPr>
        <w:spacing w:after="0" w:line="85" w:lineRule="exact"/>
        <w:rPr>
          <w:sz w:val="20"/>
          <w:szCs w:val="20"/>
          <w:color w:val="auto"/>
        </w:rPr>
      </w:pPr>
    </w:p>
    <w:p>
      <w:pPr>
        <w:ind w:left="544" w:right="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2.10</w:t>
        <w:tab/>
        <w:t>There is nothing under any law (other than the laws of the Cayman Islands) which would or might affect the opinions set out below. Specifically, we have made no independent investigation of the Relevant Law.</w:t>
      </w:r>
    </w:p>
    <w:p>
      <w:pPr>
        <w:spacing w:after="0" w:line="67" w:lineRule="exact"/>
        <w:rPr>
          <w:sz w:val="20"/>
          <w:szCs w:val="20"/>
          <w:color w:val="auto"/>
        </w:rPr>
      </w:pPr>
    </w:p>
    <w:p>
      <w:pPr>
        <w:ind w:left="544" w:right="1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2.11</w:t>
        <w:tab/>
        <w:t>The Company will receive money or money’s worth in consideration for the issue of the Ordinary Shares and none of the Ordinary Shares were or will be issued for less than par value.</w:t>
      </w:r>
    </w:p>
    <w:p>
      <w:pPr>
        <w:spacing w:after="0" w:line="162"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Save as aforesaid we have not been instructed to undertake and have not undertaken any further enquiry or due diligence in relation to the transaction the subject of this opinion letter.</w:t>
      </w:r>
    </w:p>
    <w:p>
      <w:pPr>
        <w:spacing w:after="0" w:line="185" w:lineRule="exact"/>
        <w:rPr>
          <w:sz w:val="20"/>
          <w:szCs w:val="20"/>
          <w:color w:val="auto"/>
        </w:rPr>
      </w:pPr>
    </w:p>
    <w:p>
      <w:pPr>
        <w:ind w:left="544" w:hanging="544"/>
        <w:spacing w:after="0"/>
        <w:tabs>
          <w:tab w:leader="none" w:pos="54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Opinions</w:t>
      </w:r>
    </w:p>
    <w:p>
      <w:pPr>
        <w:spacing w:after="0" w:line="121"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assumptions and the qualifications set out below, and having regard to such legal considerations as we deem relevant, we are of the opinion that:</w:t>
      </w:r>
    </w:p>
    <w:p>
      <w:pPr>
        <w:spacing w:after="0" w:line="67" w:lineRule="exact"/>
        <w:rPr>
          <w:sz w:val="20"/>
          <w:szCs w:val="20"/>
          <w:color w:val="auto"/>
        </w:rPr>
      </w:pPr>
    </w:p>
    <w:p>
      <w:pPr>
        <w:ind w:left="544" w:right="2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Company has been duly incorporated as an exempted company with limited liability and is validly existing and in good standing with the Registrar of Companies under the laws of the Cayman Islands.</w:t>
      </w:r>
    </w:p>
    <w:p>
      <w:pPr>
        <w:spacing w:after="0" w:line="67" w:lineRule="exact"/>
        <w:rPr>
          <w:sz w:val="20"/>
          <w:szCs w:val="20"/>
          <w:color w:val="auto"/>
        </w:rPr>
      </w:pPr>
    </w:p>
    <w:p>
      <w:pPr>
        <w:ind w:left="544" w:right="40"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Ordinary Shares to be offered and issued by the Company as contemplated by the Registration Statement (including the issuance of the Ordinary Shares upon the exercise of the Warrants in accordance with the Warrant Documents) have been duly authorised for issue, and when issued by the Company against payment in full of the consideration as set out in the Registration Statement (including the issuance of the Ordinary Shares upon the exercise of the Warrants in accordance with the Warrant Documents) and in accordance with the terms set out in the Registration Statement, such Ordinary Shares will be validly issued, fully paid and non-assessable. As a matter of Cayman Islands law, a share is only issued when it has been entered in the register of members (shareholders).</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12" w:name="page13"/>
    <w:bookmarkEnd w:id="12"/>
    <w:p>
      <w:pPr>
        <w:ind w:left="544" w:right="8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3.3</w:t>
      </w:r>
      <w:r>
        <w:rPr>
          <w:sz w:val="20"/>
          <w:szCs w:val="20"/>
          <w:color w:val="auto"/>
        </w:rPr>
        <w:tab/>
      </w:r>
      <w:r>
        <w:rPr>
          <w:rFonts w:ascii="Times New Roman" w:cs="Times New Roman" w:eastAsia="Times New Roman" w:hAnsi="Times New Roman"/>
          <w:sz w:val="18"/>
          <w:szCs w:val="18"/>
          <w:color w:val="auto"/>
        </w:rPr>
        <w:t>The execution, delivery and performance of the Unit Certificate and the Warrant Documents have been authorised by and on behalf of the Company and, once the Unit Certificate and the Warrant Documents have been executed and delivered by any director or officer of the Company, the Unit Certificate and the Warrant Documents will be duly executed and delivered on behalf of the Company and will constitute the legal, valid and binding obligations of the Company enforceable in accordance with their terms.</w:t>
      </w:r>
    </w:p>
    <w:p>
      <w:pPr>
        <w:spacing w:after="0" w:line="203" w:lineRule="exact"/>
        <w:rPr>
          <w:sz w:val="20"/>
          <w:szCs w:val="20"/>
          <w:color w:val="auto"/>
        </w:rPr>
      </w:pPr>
    </w:p>
    <w:p>
      <w:pPr>
        <w:ind w:left="544" w:hanging="544"/>
        <w:spacing w:after="0"/>
        <w:tabs>
          <w:tab w:leader="none" w:pos="54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Qualifications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opinions expressed above are subject to the following qualifications:</w:t>
      </w:r>
    </w:p>
    <w:p>
      <w:pPr>
        <w:spacing w:after="0" w:line="127" w:lineRule="exact"/>
        <w:rPr>
          <w:sz w:val="20"/>
          <w:szCs w:val="20"/>
          <w:color w:val="auto"/>
        </w:rPr>
      </w:pPr>
    </w:p>
    <w:p>
      <w:pPr>
        <w:jc w:val="both"/>
        <w:ind w:left="544" w:right="80" w:hanging="539"/>
        <w:spacing w:after="0" w:line="268" w:lineRule="auto"/>
        <w:tabs>
          <w:tab w:leader="none" w:pos="52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enforceable</w:t>
      </w:r>
      <w:r>
        <w:rPr>
          <w:rFonts w:ascii="Times New Roman" w:cs="Times New Roman" w:eastAsia="Times New Roman" w:hAnsi="Times New Roman"/>
          <w:sz w:val="18"/>
          <w:szCs w:val="18"/>
          <w:color w:val="auto"/>
        </w:rPr>
        <w:t>” as used above means that the obligations assumed by the Company under the Documents are of a type which the courts of the Cayman Islands will enforce. It does not mean that those obligations will necessarily be enforced in all circumstances in accordance with their terms. In particular:</w:t>
      </w:r>
    </w:p>
    <w:p>
      <w:pPr>
        <w:spacing w:after="0" w:line="80" w:lineRule="exact"/>
        <w:rPr>
          <w:sz w:val="20"/>
          <w:szCs w:val="20"/>
          <w:color w:val="auto"/>
        </w:rPr>
      </w:pPr>
    </w:p>
    <w:p>
      <w:pPr>
        <w:ind w:left="964" w:right="180" w:hanging="532"/>
        <w:spacing w:after="0" w:line="282" w:lineRule="auto"/>
        <w:tabs>
          <w:tab w:leader="none" w:pos="9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may be limited by bankruptcy, insolvency, liquidation, reorganisation, readjustment of debts or moratorium or other laws of general application relating to or affecting the rights of creditors;</w:t>
      </w:r>
    </w:p>
    <w:p>
      <w:pPr>
        <w:spacing w:after="0" w:line="67" w:lineRule="exact"/>
        <w:rPr>
          <w:rFonts w:ascii="Times New Roman" w:cs="Times New Roman" w:eastAsia="Times New Roman" w:hAnsi="Times New Roman"/>
          <w:sz w:val="18"/>
          <w:szCs w:val="18"/>
          <w:color w:val="auto"/>
        </w:rPr>
      </w:pPr>
    </w:p>
    <w:p>
      <w:pPr>
        <w:ind w:left="964" w:right="360" w:hanging="532"/>
        <w:spacing w:after="0" w:line="282" w:lineRule="auto"/>
        <w:tabs>
          <w:tab w:leader="none" w:pos="9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enforcement may be limited by general principles of equity. For example, equitable remedies such as specific performance may not be available,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where damages are considered to be an adequate remedy;</w:t>
      </w:r>
    </w:p>
    <w:p>
      <w:pPr>
        <w:spacing w:after="0" w:line="67"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obligations are to be performed in a jurisdiction outside the Cayman Islands, they may not be enforceable in the Cayman Islands to the extent that performance would be illegal under the laws of that jurisdiction; and</w:t>
      </w:r>
    </w:p>
    <w:p>
      <w:pPr>
        <w:spacing w:after="0" w:line="67" w:lineRule="exact"/>
        <w:rPr>
          <w:rFonts w:ascii="Times New Roman" w:cs="Times New Roman" w:eastAsia="Times New Roman" w:hAnsi="Times New Roman"/>
          <w:sz w:val="18"/>
          <w:szCs w:val="18"/>
          <w:color w:val="auto"/>
        </w:rPr>
      </w:pPr>
    </w:p>
    <w:p>
      <w:pPr>
        <w:ind w:left="964" w:right="320" w:hanging="532"/>
        <w:spacing w:after="0" w:line="282" w:lineRule="auto"/>
        <w:tabs>
          <w:tab w:leader="none" w:pos="9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claims may become barred under relevant statutes of limitation or may be or become subject to defences of set off, counterclaim, estoppel and similar defences.</w:t>
      </w:r>
    </w:p>
    <w:p>
      <w:pPr>
        <w:spacing w:after="0" w:line="67" w:lineRule="exact"/>
        <w:rPr>
          <w:sz w:val="20"/>
          <w:szCs w:val="20"/>
          <w:color w:val="auto"/>
        </w:rPr>
      </w:pPr>
    </w:p>
    <w:p>
      <w:pPr>
        <w:ind w:left="544" w:right="2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To maintain the Company in good standing with the Registrar of Companies under the laws of the Cayman Islands, annual filing fees must be paid and returns made to the Registrar of Companies within the time frame prescribed by law.</w:t>
      </w:r>
    </w:p>
    <w:p>
      <w:pPr>
        <w:spacing w:after="0" w:line="65" w:lineRule="exact"/>
        <w:rPr>
          <w:sz w:val="20"/>
          <w:szCs w:val="20"/>
          <w:color w:val="auto"/>
        </w:rPr>
      </w:pPr>
    </w:p>
    <w:p>
      <w:pPr>
        <w:ind w:left="544" w:hanging="539"/>
        <w:spacing w:after="0" w:line="255" w:lineRule="auto"/>
        <w:tabs>
          <w:tab w:leader="none" w:pos="524"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 xml:space="preserve">Under Cayman Islands law, the register of members (shareholders) is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title to shares and this register would not record a third party interest in such shares.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As far as we are aware, such applications are rarely made in the Cayman Islands and for the purposes of the opinion given in paragraph 3.2, there are no circumstances or matters of fact known to us on the date of this opinion letter which would properly form the basis for an application for an order for rectification of the register of members of the Company, but if such an application were made in respect of the Ordinary Shares, then the validity of such shares may be subject to re-examination by a Cayman Islands court.</w:t>
      </w:r>
    </w:p>
    <w:p>
      <w:pPr>
        <w:spacing w:after="0" w:line="92" w:lineRule="exact"/>
        <w:rPr>
          <w:sz w:val="20"/>
          <w:szCs w:val="20"/>
          <w:color w:val="auto"/>
        </w:rPr>
      </w:pPr>
    </w:p>
    <w:p>
      <w:pPr>
        <w:ind w:left="544" w:right="1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Except as specifically stated herein, we make no comment with respect to any representations and warranties which may be made by or with respect to the Company in any of the documents or instruments cited in this opinion letter or otherwise with respect to the commercial terms of the transactions the subject of this opinion letter.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3" w:name="page14"/>
    <w:bookmarkEnd w:id="13"/>
    <w:p>
      <w:pPr>
        <w:ind w:left="420" w:right="40" w:hanging="431"/>
        <w:spacing w:after="0" w:line="261" w:lineRule="auto"/>
        <w:tabs>
          <w:tab w:leader="none" w:pos="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4.5</w:t>
        <w:tab/>
        <w:t>In this opinion letter, the phrase “non-assessable” means, with respect to shares in the Company, that a shareholder shall not, solely by virtue of its status as a shareholder,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and to the references to our firm under the headings “Legal Matters”, “Risk Factors”, “Shareholders’ Suits” and “Enforcement of Civil Liabilities” in the prospectus included in the Registration Statement. In providing our consent, we do not thereby admit that we are in the category of persons whose consent is required under Section 7 of the Act or the Rules and Regulations of the Commission thereunder.</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opinion letter is addressed to you and may be relied upon by you, your counsel and purchasers of Units pursuant to the Registration Statement. This opinion letter is limited to the matters detailed herein and is not to be read as an opinion with respect to any other matter.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(Cayman)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(Cayman) LLP</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4" w:name="page15"/>
    <w:bookmarkEnd w:id="14"/>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ArcLight Clean Transition Corp. II</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PO Box 309, Ugland House</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Grand Cayman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KY1-1104</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Cayman Islands</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 March 2021</w:t>
      </w:r>
    </w:p>
    <w:p>
      <w:pPr>
        <w:spacing w:after="0" w:line="252"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To:</w:t>
        <w:tab/>
        <w:t>Maples and Calder (Cayman) LLP</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PO Box 309, Ugland House</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Grand Cayman</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KY1-1104</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Cayman Islands</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ArcLight Clean Transition Corp. II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spacing w:after="0" w:line="268" w:lineRule="auto"/>
        <w:rPr>
          <w:sz w:val="20"/>
          <w:szCs w:val="20"/>
          <w:color w:val="auto"/>
        </w:rPr>
      </w:pPr>
      <w:r>
        <w:rPr>
          <w:rFonts w:ascii="Times New Roman" w:cs="Times New Roman" w:eastAsia="Times New Roman" w:hAnsi="Times New Roman"/>
          <w:sz w:val="18"/>
          <w:szCs w:val="18"/>
          <w:color w:val="auto"/>
        </w:rPr>
        <w:t>I, the undersigned, being a director of the Company, am aware that you are being asked to provide an opinion letter (the “</w:t>
      </w:r>
      <w:r>
        <w:rPr>
          <w:rFonts w:ascii="Times New Roman" w:cs="Times New Roman" w:eastAsia="Times New Roman" w:hAnsi="Times New Roman"/>
          <w:sz w:val="18"/>
          <w:szCs w:val="18"/>
          <w:b w:val="1"/>
          <w:bCs w:val="1"/>
          <w:color w:val="auto"/>
        </w:rPr>
        <w:t>Opinion</w:t>
      </w:r>
      <w:r>
        <w:rPr>
          <w:rFonts w:ascii="Times New Roman" w:cs="Times New Roman" w:eastAsia="Times New Roman" w:hAnsi="Times New Roman"/>
          <w:sz w:val="18"/>
          <w:szCs w:val="18"/>
          <w:color w:val="auto"/>
        </w:rPr>
        <w:t>”) in relation to certain aspects of Cayman Islands law. Unless otherwise defined herein, capitalised terms used in this certificate have the respective meanings given to them in the Opinion. I hereby certify that:</w:t>
      </w:r>
    </w:p>
    <w:p>
      <w:pPr>
        <w:spacing w:after="0" w:line="80" w:lineRule="exact"/>
        <w:rPr>
          <w:sz w:val="20"/>
          <w:szCs w:val="20"/>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Memorandum and Articles remain in full force and effect and are unamended.</w:t>
      </w:r>
    </w:p>
    <w:p>
      <w:pPr>
        <w:spacing w:after="0" w:line="131" w:lineRule="exact"/>
        <w:rPr>
          <w:sz w:val="20"/>
          <w:szCs w:val="20"/>
          <w:color w:val="auto"/>
        </w:rPr>
      </w:pPr>
    </w:p>
    <w:p>
      <w:pPr>
        <w:ind w:left="424" w:right="240" w:hanging="424"/>
        <w:spacing w:after="0" w:line="282"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entered into any mortgages or charges over its property or assets other than those entered in the register of mortgages and charges of the Company.</w:t>
      </w:r>
    </w:p>
    <w:p>
      <w:pPr>
        <w:spacing w:after="0" w:line="67" w:lineRule="exact"/>
        <w:rPr>
          <w:sz w:val="20"/>
          <w:szCs w:val="20"/>
          <w:color w:val="auto"/>
        </w:rPr>
      </w:pPr>
    </w:p>
    <w:p>
      <w:pPr>
        <w:ind w:left="424" w:right="280" w:hanging="424"/>
        <w:spacing w:after="0" w:line="28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Resolutions were duly passed in the manner prescribed in the Memorandum and Articles (including, without limitation, with respect to the disclosure of interests (if any) by directors of the Company) and have not been amended, varied or revoked in any respect.</w:t>
      </w:r>
    </w:p>
    <w:p>
      <w:pPr>
        <w:spacing w:after="0" w:line="67" w:lineRule="exact"/>
        <w:rPr>
          <w:sz w:val="20"/>
          <w:szCs w:val="20"/>
          <w:color w:val="auto"/>
        </w:rPr>
      </w:pPr>
    </w:p>
    <w:p>
      <w:pPr>
        <w:ind w:left="424" w:right="440" w:hanging="424"/>
        <w:spacing w:after="0" w:line="282"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Resolutions were duly passed in the manner prescribed in the Memorandum and Articles (including, without limitation, with respect to the disclosure of interests (if any) by directors of the Company), and have not been amended, varied or revoked in any respect.</w:t>
      </w:r>
    </w:p>
    <w:p>
      <w:pPr>
        <w:spacing w:after="0" w:line="67" w:lineRule="exact"/>
        <w:rPr>
          <w:sz w:val="20"/>
          <w:szCs w:val="20"/>
          <w:color w:val="auto"/>
        </w:rPr>
      </w:pPr>
    </w:p>
    <w:p>
      <w:pPr>
        <w:ind w:left="424" w:right="240" w:hanging="424"/>
        <w:spacing w:after="0" w:line="261"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authorised share capital of the Company is US$55,500 divided into 500,000,000 Class A ordinary shares of a par value of US$0.0001 each, 50,000,000 Class B ordinary shares of a par value of US$0.0001 each and 5,000,000 preference shares of a par value of US$0.0001 each. The issued share capital of the Company is 7,906,250 Class B ordinary shares, which have been duly authorised and are validly issued as fully-paid and non-assessable.</w:t>
      </w:r>
    </w:p>
    <w:p>
      <w:pPr>
        <w:spacing w:after="0" w:line="81" w:lineRule="exact"/>
        <w:rPr>
          <w:sz w:val="20"/>
          <w:szCs w:val="20"/>
          <w:color w:val="auto"/>
        </w:rPr>
      </w:pPr>
    </w:p>
    <w:p>
      <w:pPr>
        <w:ind w:left="424" w:hanging="424"/>
        <w:spacing w:after="0"/>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Company (the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have not restricted the powers of the directors of the Company in any way.</w:t>
      </w:r>
    </w:p>
    <w:p>
      <w:pPr>
        <w:spacing w:after="0" w:line="135" w:lineRule="exact"/>
        <w:rPr>
          <w:sz w:val="20"/>
          <w:szCs w:val="20"/>
          <w:color w:val="auto"/>
        </w:rPr>
      </w:pPr>
    </w:p>
    <w:p>
      <w:pPr>
        <w:ind w:left="424" w:hanging="424"/>
        <w:spacing w:after="0"/>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at the date of the Resolutions were as follows: John F. Erhard and Daniel R. Revers. The directors of the Company</w:t>
      </w:r>
    </w:p>
    <w:p>
      <w:pPr>
        <w:spacing w:after="0" w:line="27" w:lineRule="exact"/>
        <w:rPr>
          <w:rFonts w:ascii="Times New Roman" w:cs="Times New Roman" w:eastAsia="Times New Roman" w:hAnsi="Times New Roman"/>
          <w:sz w:val="18"/>
          <w:szCs w:val="18"/>
          <w:color w:val="auto"/>
        </w:rPr>
      </w:pPr>
    </w:p>
    <w:p>
      <w:pPr>
        <w:ind w:left="424" w:right="5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date of this certificate are as follows: John F. Erhard, Daniel R. Revers, Arno Harris, Ja-Chin Audrey Lee, Brian Goncher and Steven Berkenfeld.</w:t>
      </w:r>
    </w:p>
    <w:p>
      <w:pPr>
        <w:spacing w:after="0" w:line="87" w:lineRule="exact"/>
        <w:rPr>
          <w:sz w:val="20"/>
          <w:szCs w:val="20"/>
          <w:color w:val="auto"/>
        </w:rPr>
      </w:pPr>
    </w:p>
    <w:p>
      <w:pPr>
        <w:ind w:left="424" w:right="520" w:hanging="424"/>
        <w:spacing w:after="0" w:line="282"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sole member of the Committee at the date of the Committee Resolutions and at the date of this certificate was and is as follows: John F. Erhard.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70" w:right="439" w:bottom="1440" w:gutter="0" w:footer="0" w:header="0"/>
        </w:sectPr>
      </w:pPr>
    </w:p>
    <w:bookmarkStart w:id="15" w:name="page16"/>
    <w:bookmarkEnd w:id="15"/>
    <w:p>
      <w:pPr>
        <w:ind w:left="424" w:right="20" w:hanging="424"/>
        <w:spacing w:after="0" w:line="261"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minute book and corporate records of the Company as maintained at its registered office in the Cayman Islands and made available to you are complete and accurate in all material respects, and all minutes and resolutions filed therein represent a complete and accurate record of all meetings of the Shareholders and directors (or any committee thereof) of the Company (duly convened in accordance with the Memorandum and Articles) and all resolutions passed at the meetings or passed by written resolution or consent, as the case may be.</w:t>
      </w:r>
    </w:p>
    <w:p>
      <w:pPr>
        <w:spacing w:after="0" w:line="85" w:lineRule="exact"/>
        <w:rPr>
          <w:sz w:val="20"/>
          <w:szCs w:val="20"/>
          <w:color w:val="auto"/>
        </w:rPr>
      </w:pPr>
    </w:p>
    <w:p>
      <w:pPr>
        <w:ind w:left="424" w:hanging="424"/>
        <w:spacing w:after="0" w:line="261"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at the time of, and immediately following the approval of the transactions contemplated by the Registration Statement, the Company was, or will be, able to pay its debts as they fell, or fall, due and has entered, or will enter, into the transactions contemplated by the Registration Statement for proper value and not with an intention to defraud or wilfully defeat an obligation owed to any creditor or with a view to giving a creditor a preference.</w:t>
      </w:r>
    </w:p>
    <w:p>
      <w:pPr>
        <w:spacing w:after="0" w:line="85" w:lineRule="exact"/>
        <w:rPr>
          <w:rFonts w:ascii="Times New Roman" w:cs="Times New Roman" w:eastAsia="Times New Roman" w:hAnsi="Times New Roman"/>
          <w:sz w:val="18"/>
          <w:szCs w:val="18"/>
          <w:color w:val="auto"/>
        </w:rPr>
      </w:pPr>
    </w:p>
    <w:p>
      <w:pPr>
        <w:jc w:val="both"/>
        <w:ind w:left="424" w:right="20" w:hanging="424"/>
        <w:spacing w:after="0" w:line="266"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of the Company considers the transactions contemplated by the Registration Statement to be of commercial benefit to the Company and has acted in good faith in the best interests of the Company, and for a proper purpose of the Company, in relation to the transactions which are the subject of the Opinion.</w:t>
      </w:r>
    </w:p>
    <w:p>
      <w:pPr>
        <w:spacing w:after="0" w:line="81" w:lineRule="exact"/>
        <w:rPr>
          <w:rFonts w:ascii="Times New Roman" w:cs="Times New Roman" w:eastAsia="Times New Roman" w:hAnsi="Times New Roman"/>
          <w:sz w:val="18"/>
          <w:szCs w:val="18"/>
          <w:color w:val="auto"/>
        </w:rPr>
      </w:pPr>
    </w:p>
    <w:p>
      <w:pPr>
        <w:ind w:left="424" w:right="240" w:hanging="424"/>
        <w:spacing w:after="0" w:line="289" w:lineRule="auto"/>
        <w:tabs>
          <w:tab w:leader="none" w:pos="42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best of my knowledge and belief, having made due inquiry, the Company is not the subject of legal, arbitral, administrative or other proceedings in any jurisdiction. Nor have the directors or Shareholders taken any steps to have the Company struck off or placed in liquidation, nor have any steps been taken to wind up the Company. Nor has any receiver been appointed over any of the Company’s property or assets.</w:t>
      </w:r>
    </w:p>
    <w:p>
      <w:pPr>
        <w:spacing w:after="0" w:line="63" w:lineRule="exact"/>
        <w:rPr>
          <w:rFonts w:ascii="Times New Roman" w:cs="Times New Roman" w:eastAsia="Times New Roman" w:hAnsi="Times New Roman"/>
          <w:sz w:val="17"/>
          <w:szCs w:val="17"/>
          <w:color w:val="auto"/>
        </w:rPr>
      </w:pPr>
    </w:p>
    <w:p>
      <w:pPr>
        <w:ind w:left="424" w:right="40" w:hanging="424"/>
        <w:spacing w:after="0" w:line="282"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my knowledge and belief, having made due inquiry, there are no circumstances or matters of fact existing which may properly form the basis for an application for an order for rectification of the register of members of the Company.</w:t>
      </w:r>
    </w:p>
    <w:p>
      <w:pPr>
        <w:spacing w:after="0" w:line="67" w:lineRule="exact"/>
        <w:rPr>
          <w:rFonts w:ascii="Times New Roman" w:cs="Times New Roman" w:eastAsia="Times New Roman" w:hAnsi="Times New Roman"/>
          <w:sz w:val="18"/>
          <w:szCs w:val="18"/>
          <w:color w:val="auto"/>
        </w:rPr>
      </w:pPr>
    </w:p>
    <w:p>
      <w:pPr>
        <w:ind w:left="424" w:right="180" w:hanging="424"/>
        <w:spacing w:after="0" w:line="282"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been, or will be, authorised and duly executed and delivered by or on behalf of all relevant parties in accordance with all relevant laws.</w:t>
      </w:r>
    </w:p>
    <w:p>
      <w:pPr>
        <w:spacing w:after="0" w:line="67" w:lineRule="exact"/>
        <w:rPr>
          <w:rFonts w:ascii="Times New Roman" w:cs="Times New Roman" w:eastAsia="Times New Roman" w:hAnsi="Times New Roman"/>
          <w:sz w:val="18"/>
          <w:szCs w:val="18"/>
          <w:color w:val="auto"/>
        </w:rPr>
      </w:pPr>
    </w:p>
    <w:p>
      <w:pPr>
        <w:ind w:left="424" w:right="460" w:hanging="424"/>
        <w:spacing w:after="0" w:line="282"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invitation has been made or will be made by or on behalf of the Company to the public in the Cayman Islands to subscribe for any of the Ordinary Shares.</w:t>
      </w:r>
    </w:p>
    <w:p>
      <w:pPr>
        <w:spacing w:after="0" w:line="67" w:lineRule="exact"/>
        <w:rPr>
          <w:rFonts w:ascii="Times New Roman" w:cs="Times New Roman" w:eastAsia="Times New Roman" w:hAnsi="Times New Roman"/>
          <w:sz w:val="18"/>
          <w:szCs w:val="18"/>
          <w:color w:val="auto"/>
        </w:rPr>
      </w:pPr>
    </w:p>
    <w:p>
      <w:pPr>
        <w:ind w:left="424" w:right="100" w:hanging="424"/>
        <w:spacing w:after="0" w:line="282"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to be issued pursuant to the Registration Statement have been, or will be, duly registered, and will continue to be registered, in the Company’s register of members (shareholders).</w:t>
      </w:r>
    </w:p>
    <w:p>
      <w:pPr>
        <w:spacing w:after="0" w:line="67" w:lineRule="exact"/>
        <w:rPr>
          <w:rFonts w:ascii="Times New Roman" w:cs="Times New Roman" w:eastAsia="Times New Roman" w:hAnsi="Times New Roman"/>
          <w:sz w:val="18"/>
          <w:szCs w:val="18"/>
          <w:color w:val="auto"/>
        </w:rPr>
      </w:pPr>
    </w:p>
    <w:p>
      <w:pPr>
        <w:ind w:left="424" w:right="420" w:hanging="424"/>
        <w:spacing w:after="0" w:line="282"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central bank, monetary authority or other sovereign entity of any state and is not a subsidiary, direct or indirect, of any sovereign entity or state.</w:t>
      </w:r>
    </w:p>
    <w:p>
      <w:pPr>
        <w:spacing w:after="0" w:line="67"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contractual or other prohibition or restriction (other than as arising under Cayman Islands law) binding on the Company prohibiting or restricting it from entering into and performing its obligations under the Documents.</w:t>
      </w:r>
    </w:p>
    <w:p>
      <w:pPr>
        <w:spacing w:after="0" w:line="16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70" w:right="479" w:bottom="1440" w:gutter="0" w:footer="0" w:header="0"/>
        </w:sectPr>
      </w:pPr>
    </w:p>
    <w:bookmarkStart w:id="16" w:name="page17"/>
    <w:bookmarkEnd w:id="16"/>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confirm that you may continue to rely on this certificate as being true and correct on the day that you issue the Opinion unless I shall have previously notified you in writing personally to the contrary.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F. Erhard</w:t>
            </w:r>
          </w:p>
        </w:tc>
      </w:tr>
      <w:tr>
        <w:trPr>
          <w:trHeight w:val="205"/>
        </w:trPr>
        <w:tc>
          <w:tcPr>
            <w:tcW w:w="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John F. Erhard</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40"/>
          </w:cols>
          <w:pgMar w:left="440" w:top="270" w:right="61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of ArcLight Clean Transition Corp. II on Form S-1 pursuant to Rule 462(b) under Securities Act of 1933, as amended, of our report dated February 4, 2021, which includes an explanatory paragraph as to the Company’s ability to continue as a going concern, with respect to our audit of the financial statements of ArcLight Clean Transition Corp. II as of January 20, 2021 and for the period from January 13, 2021 (inception) through January 20, 2021 appearing in the Registration Statement on Form S-1, as filed (File No. 333-252730) of ArcLight Clean Transition Corp. II.</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22, 2021</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lowerLetter"/>
      <w:start w:val="1"/>
    </w:lvl>
  </w:abstractNum>
  <w:abstractNum w:abstractNumId="2">
    <w:nsid w:val="109CF92E"/>
    <w:multiLevelType w:val="hybridMultilevel"/>
    <w:lvl w:ilvl="0">
      <w:lvlJc w:val="left"/>
      <w:lvlText w:val="(%1)"/>
      <w:numFmt w:val="lowerLetter"/>
      <w:start w:val="1"/>
    </w:lvl>
  </w:abstractNum>
  <w:abstractNum w:abstractNumId="3">
    <w:nsid w:val="DED7263"/>
    <w:multiLevelType w:val="hybridMultilevel"/>
    <w:lvl w:ilvl="0">
      <w:lvlJc w:val="left"/>
      <w:lvlText w:val="(%1)"/>
      <w:numFmt w:val="lowerLetter"/>
      <w:start w:val="4"/>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lowerLetter"/>
      <w:start w:val="1"/>
    </w:lvl>
  </w:abstractNum>
  <w:abstractNum w:abstractNumId="6">
    <w:nsid w:val="41A7C4C9"/>
    <w:multiLevelType w:val="hybridMultilevel"/>
    <w:lvl w:ilvl="0">
      <w:lvlJc w:val="left"/>
      <w:lvlText w:val="(%1)"/>
      <w:numFmt w:val="lowerLetter"/>
      <w:start w:val="3"/>
    </w:lvl>
  </w:abstractNum>
  <w:abstractNum w:abstractNumId="7">
    <w:nsid w:val="6B68079A"/>
    <w:multiLevelType w:val="hybridMultilevel"/>
    <w:lvl w:ilvl="0">
      <w:lvlJc w:val="left"/>
      <w:lvlText w:val="(%1)"/>
      <w:numFmt w:val="lowerRoman"/>
      <w:start w:val="1"/>
    </w:lvl>
  </w:abstractNum>
  <w:abstractNum w:abstractNumId="8">
    <w:nsid w:val="4E6AFB66"/>
    <w:multiLevelType w:val="hybridMultilevel"/>
    <w:lvl w:ilvl="0">
      <w:lvlJc w:val="left"/>
      <w:lvlText w:val="(%1)"/>
      <w:numFmt w:val="lowerLetter"/>
      <w:start w:val="1"/>
    </w:lvl>
    <w:lvl w:ilvl="1">
      <w:lvlJc w:val="left"/>
      <w:lvlText w:val="(%2)"/>
      <w:numFmt w:val="lowerRoman"/>
      <w:start w:val="1"/>
    </w:lvl>
  </w:abstractNum>
  <w:abstractNum w:abstractNumId="9">
    <w:nsid w:val="25E45D32"/>
    <w:multiLevelType w:val="hybridMultilevel"/>
    <w:lvl w:ilvl="0">
      <w:lvlJc w:val="left"/>
      <w:lvlText w:val="1"/>
      <w:numFmt w:val="bullet"/>
      <w:start w:val="1"/>
    </w:lvl>
  </w:abstractNum>
  <w:abstractNum w:abstractNumId="10">
    <w:nsid w:val="519B500D"/>
    <w:multiLevelType w:val="hybridMultilevel"/>
    <w:lvl w:ilvl="0">
      <w:lvlJc w:val="left"/>
      <w:lvlText w:val="2"/>
      <w:numFmt w:val="bullet"/>
      <w:start w:val="1"/>
    </w:lvl>
  </w:abstractNum>
  <w:abstractNum w:abstractNumId="11">
    <w:nsid w:val="431BD7B7"/>
    <w:multiLevelType w:val="hybridMultilevel"/>
    <w:lvl w:ilvl="0">
      <w:lvlJc w:val="left"/>
      <w:lvlText w:val="3"/>
      <w:numFmt w:val="bullet"/>
      <w:start w:val="1"/>
    </w:lvl>
  </w:abstractNum>
  <w:abstractNum w:abstractNumId="12">
    <w:nsid w:val="3F2DBA31"/>
    <w:multiLevelType w:val="hybridMultilevel"/>
    <w:lvl w:ilvl="0">
      <w:lvlJc w:val="left"/>
      <w:lvlText w:val="4"/>
      <w:numFmt w:val="bullet"/>
      <w:start w:val="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bullet"/>
      <w:start w:val="1"/>
    </w:lvl>
  </w:abstractNum>
  <w:abstractNum w:abstractNumId="15">
    <w:nsid w:val="62BBD95A"/>
    <w:multiLevelType w:val="hybridMultilevel"/>
    <w:lvl w:ilvl="0">
      <w:lvlJc w:val="left"/>
      <w:lvlText w:val="2"/>
      <w:numFmt w:val="bullet"/>
      <w:start w:val="1"/>
    </w:lvl>
  </w:abstractNum>
  <w:abstractNum w:abstractNumId="16">
    <w:nsid w:val="436C6125"/>
    <w:multiLevelType w:val="hybridMultilevel"/>
    <w:lvl w:ilvl="0">
      <w:lvlJc w:val="left"/>
      <w:lvlText w:val="3"/>
      <w:numFmt w:val="bullet"/>
      <w:start w:val="1"/>
    </w:lvl>
  </w:abstractNum>
  <w:abstractNum w:abstractNumId="17">
    <w:nsid w:val="628C895D"/>
    <w:multiLevelType w:val="hybridMultilevel"/>
    <w:lvl w:ilvl="0">
      <w:lvlJc w:val="left"/>
      <w:lvlText w:val="4"/>
      <w:numFmt w:val="bullet"/>
      <w:start w:val="1"/>
    </w:lvl>
  </w:abstractNum>
  <w:abstractNum w:abstractNumId="18">
    <w:nsid w:val="333AB105"/>
    <w:multiLevelType w:val="hybridMultilevel"/>
    <w:lvl w:ilvl="0">
      <w:lvlJc w:val="left"/>
      <w:lvlText w:val="5"/>
      <w:numFmt w:val="bullet"/>
      <w:start w:val="1"/>
    </w:lvl>
  </w:abstractNum>
  <w:abstractNum w:abstractNumId="19">
    <w:nsid w:val="721DA317"/>
    <w:multiLevelType w:val="hybridMultilevel"/>
    <w:lvl w:ilvl="0">
      <w:lvlJc w:val="left"/>
      <w:lvlText w:val="6"/>
      <w:numFmt w:val="bullet"/>
      <w:start w:val="1"/>
    </w:lvl>
  </w:abstractNum>
  <w:abstractNum w:abstractNumId="20">
    <w:nsid w:val="2443A858"/>
    <w:multiLevelType w:val="hybridMultilevel"/>
    <w:lvl w:ilvl="0">
      <w:lvlJc w:val="left"/>
      <w:lvlText w:val="7"/>
      <w:numFmt w:val="bullet"/>
      <w:start w:val="1"/>
    </w:lvl>
  </w:abstractNum>
  <w:abstractNum w:abstractNumId="21">
    <w:nsid w:val="2D1D5AE9"/>
    <w:multiLevelType w:val="hybridMultilevel"/>
    <w:lvl w:ilvl="0">
      <w:lvlJc w:val="left"/>
      <w:lvlText w:val="8"/>
      <w:numFmt w:val="bullet"/>
      <w:start w:val="1"/>
    </w:lvl>
  </w:abstractNum>
  <w:abstractNum w:abstractNumId="22">
    <w:nsid w:val="6763845E"/>
    <w:multiLevelType w:val="hybridMultilevel"/>
    <w:lvl w:ilvl="0">
      <w:lvlJc w:val="left"/>
      <w:lvlText w:val="9"/>
      <w:numFmt w:val="bullet"/>
      <w:start w:val="1"/>
    </w:lvl>
  </w:abstractNum>
  <w:abstractNum w:abstractNumId="23">
    <w:nsid w:val="75A2A8D4"/>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2021-03-22T20:51:21Z</dcterms:created>
  <dcterms:modified xsi:type="dcterms:W3CDTF">2021-03-22T20:51:21Z</dcterms:modified>
</cp:coreProperties>
</file>