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Arial" w:cs="Arial" w:eastAsia="Arial" w:hAnsi="Arial"/>
          <w:sz w:val="25"/>
          <w:szCs w:val="25"/>
          <w:b w:val="1"/>
          <w:bCs w:val="1"/>
          <w:color w:val="auto"/>
        </w:rPr>
        <w:t>UNITED STATES</w:t>
      </w:r>
    </w:p>
    <w:p>
      <w:pPr>
        <w:spacing w:after="0" w:line="64" w:lineRule="exact"/>
        <w:rPr>
          <w:sz w:val="24"/>
          <w:szCs w:val="24"/>
          <w:color w:val="auto"/>
        </w:rPr>
      </w:pPr>
    </w:p>
    <w:p>
      <w:pPr>
        <w:jc w:val="center"/>
        <w:ind w:right="-5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8"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112" w:lineRule="exact"/>
        <w:rPr>
          <w:sz w:val="24"/>
          <w:szCs w:val="24"/>
          <w:color w:val="auto"/>
        </w:rPr>
      </w:pPr>
    </w:p>
    <w:p>
      <w:pPr>
        <w:jc w:val="center"/>
        <w:ind w:right="-519"/>
        <w:spacing w:after="0"/>
        <w:rPr>
          <w:sz w:val="20"/>
          <w:szCs w:val="20"/>
          <w:color w:val="auto"/>
        </w:rPr>
      </w:pPr>
      <w:r>
        <w:rPr>
          <w:rFonts w:ascii="Arial" w:cs="Arial" w:eastAsia="Arial" w:hAnsi="Arial"/>
          <w:sz w:val="25"/>
          <w:szCs w:val="25"/>
          <w:b w:val="1"/>
          <w:bCs w:val="1"/>
          <w:color w:val="auto"/>
        </w:rPr>
        <w:t>FORM 8-K</w:t>
      </w:r>
    </w:p>
    <w:p>
      <w:pPr>
        <w:spacing w:after="0" w:line="41"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36"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77"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October 30, 2023</w:t>
      </w:r>
    </w:p>
    <w:p>
      <w:pPr>
        <w:spacing w:after="0" w:line="306"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36" w:lineRule="exact"/>
        <w:rPr>
          <w:sz w:val="24"/>
          <w:szCs w:val="24"/>
          <w:color w:val="auto"/>
        </w:rPr>
      </w:pPr>
    </w:p>
    <w:p>
      <w:pPr>
        <w:jc w:val="center"/>
        <w:ind w:right="-519"/>
        <w:spacing w:after="0"/>
        <w:rPr>
          <w:sz w:val="20"/>
          <w:szCs w:val="20"/>
          <w:color w:val="auto"/>
        </w:rPr>
      </w:pPr>
      <w:r>
        <w:rPr>
          <w:rFonts w:ascii="Arial" w:cs="Arial" w:eastAsia="Arial" w:hAnsi="Arial"/>
          <w:sz w:val="29"/>
          <w:szCs w:val="29"/>
          <w:b w:val="1"/>
          <w:bCs w:val="1"/>
          <w:color w:val="auto"/>
        </w:rPr>
        <w:t>OPAL Fuels Inc.</w:t>
      </w:r>
    </w:p>
    <w:p>
      <w:pPr>
        <w:spacing w:after="0" w:line="89" w:lineRule="exact"/>
        <w:rPr>
          <w:sz w:val="24"/>
          <w:szCs w:val="24"/>
          <w:color w:val="auto"/>
        </w:rPr>
      </w:pPr>
    </w:p>
    <w:p>
      <w:pPr>
        <w:jc w:val="center"/>
        <w:ind w:right="-519"/>
        <w:spacing w:after="0"/>
        <w:rPr>
          <w:sz w:val="20"/>
          <w:szCs w:val="20"/>
          <w:color w:val="auto"/>
        </w:rPr>
      </w:pPr>
      <w:r>
        <w:rPr>
          <w:rFonts w:ascii="Arial" w:cs="Arial" w:eastAsia="Arial" w:hAnsi="Arial"/>
          <w:sz w:val="18"/>
          <w:szCs w:val="18"/>
          <w:color w:val="auto"/>
        </w:rPr>
        <w:t>(Exact name of registrant as specified in its charter)</w:t>
      </w:r>
    </w:p>
    <w:p>
      <w:pPr>
        <w:spacing w:after="0" w:line="46"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306" w:lineRule="exact"/>
        <w:rPr>
          <w:sz w:val="24"/>
          <w:szCs w:val="24"/>
          <w:color w:val="auto"/>
        </w:rPr>
      </w:pPr>
    </w:p>
    <w:tbl>
      <w:tblPr>
        <w:tblLayout w:type="fixed"/>
        <w:tblInd w:w="800" w:type="dxa"/>
        <w:tblCellMar>
          <w:top w:w="0" w:type="dxa"/>
          <w:left w:w="0" w:type="dxa"/>
          <w:bottom w:w="0" w:type="dxa"/>
          <w:right w:w="0" w:type="dxa"/>
        </w:tblCellMar>
      </w:tblPr>
      <w:tr>
        <w:trPr>
          <w:trHeight w:val="233"/>
        </w:trPr>
        <w:tc>
          <w:tcPr>
            <w:tcW w:w="3740" w:type="dxa"/>
            <w:vAlign w:val="bottom"/>
          </w:tcPr>
          <w:p>
            <w:pPr>
              <w:jc w:val="center"/>
              <w:ind w:right="490"/>
              <w:spacing w:after="0"/>
              <w:rPr>
                <w:sz w:val="20"/>
                <w:szCs w:val="20"/>
                <w:color w:val="auto"/>
              </w:rPr>
            </w:pPr>
            <w:r>
              <w:rPr>
                <w:rFonts w:ascii="Arial" w:cs="Arial" w:eastAsia="Arial" w:hAnsi="Arial"/>
                <w:sz w:val="18"/>
                <w:szCs w:val="18"/>
                <w:b w:val="1"/>
                <w:bCs w:val="1"/>
                <w:color w:val="auto"/>
                <w:w w:val="91"/>
              </w:rPr>
              <w:t>Delaware</w:t>
            </w:r>
          </w:p>
        </w:tc>
        <w:tc>
          <w:tcPr>
            <w:tcW w:w="3080" w:type="dxa"/>
            <w:vAlign w:val="bottom"/>
          </w:tcPr>
          <w:p>
            <w:pPr>
              <w:jc w:val="right"/>
              <w:ind w:right="1030"/>
              <w:spacing w:after="0"/>
              <w:rPr>
                <w:sz w:val="20"/>
                <w:szCs w:val="20"/>
                <w:color w:val="auto"/>
              </w:rPr>
            </w:pPr>
            <w:r>
              <w:rPr>
                <w:rFonts w:ascii="Arial" w:cs="Arial" w:eastAsia="Arial" w:hAnsi="Arial"/>
                <w:sz w:val="18"/>
                <w:szCs w:val="18"/>
                <w:b w:val="1"/>
                <w:bCs w:val="1"/>
                <w:color w:val="auto"/>
              </w:rPr>
              <w:t>001-40272</w:t>
            </w:r>
          </w:p>
        </w:tc>
        <w:tc>
          <w:tcPr>
            <w:tcW w:w="2980" w:type="dxa"/>
            <w:vAlign w:val="bottom"/>
          </w:tcPr>
          <w:p>
            <w:pPr>
              <w:jc w:val="right"/>
              <w:ind w:right="710"/>
              <w:spacing w:after="0"/>
              <w:rPr>
                <w:sz w:val="20"/>
                <w:szCs w:val="20"/>
                <w:color w:val="auto"/>
              </w:rPr>
            </w:pPr>
            <w:r>
              <w:rPr>
                <w:rFonts w:ascii="Arial" w:cs="Arial" w:eastAsia="Arial" w:hAnsi="Arial"/>
                <w:sz w:val="18"/>
                <w:szCs w:val="18"/>
                <w:b w:val="1"/>
                <w:bCs w:val="1"/>
                <w:color w:val="auto"/>
              </w:rPr>
              <w:t>98-1578357</w:t>
            </w:r>
          </w:p>
        </w:tc>
      </w:tr>
      <w:tr>
        <w:trPr>
          <w:trHeight w:val="216"/>
        </w:trPr>
        <w:tc>
          <w:tcPr>
            <w:tcW w:w="3740" w:type="dxa"/>
            <w:vAlign w:val="bottom"/>
          </w:tcPr>
          <w:p>
            <w:pPr>
              <w:jc w:val="center"/>
              <w:ind w:right="490"/>
              <w:spacing w:after="0"/>
              <w:rPr>
                <w:sz w:val="20"/>
                <w:szCs w:val="20"/>
                <w:color w:val="auto"/>
              </w:rPr>
            </w:pPr>
            <w:r>
              <w:rPr>
                <w:rFonts w:ascii="Arial" w:cs="Arial" w:eastAsia="Arial" w:hAnsi="Arial"/>
                <w:sz w:val="18"/>
                <w:szCs w:val="18"/>
                <w:color w:val="auto"/>
                <w:w w:val="92"/>
              </w:rPr>
              <w:t>(State or other jurisdiction of</w:t>
            </w:r>
          </w:p>
        </w:tc>
        <w:tc>
          <w:tcPr>
            <w:tcW w:w="3080" w:type="dxa"/>
            <w:vAlign w:val="bottom"/>
          </w:tcPr>
          <w:p>
            <w:pPr>
              <w:jc w:val="center"/>
              <w:spacing w:after="0"/>
              <w:rPr>
                <w:sz w:val="20"/>
                <w:szCs w:val="20"/>
                <w:color w:val="auto"/>
              </w:rPr>
            </w:pPr>
            <w:r>
              <w:rPr>
                <w:rFonts w:ascii="Arial" w:cs="Arial" w:eastAsia="Arial" w:hAnsi="Arial"/>
                <w:sz w:val="18"/>
                <w:szCs w:val="18"/>
                <w:color w:val="auto"/>
                <w:w w:val="93"/>
              </w:rPr>
              <w:t>(Commission File Number)</w:t>
            </w:r>
          </w:p>
        </w:tc>
        <w:tc>
          <w:tcPr>
            <w:tcW w:w="2980" w:type="dxa"/>
            <w:vAlign w:val="bottom"/>
          </w:tcPr>
          <w:p>
            <w:pPr>
              <w:jc w:val="center"/>
              <w:ind w:left="41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740" w:type="dxa"/>
            <w:vAlign w:val="bottom"/>
          </w:tcPr>
          <w:p>
            <w:pPr>
              <w:jc w:val="center"/>
              <w:ind w:right="490"/>
              <w:spacing w:after="0"/>
              <w:rPr>
                <w:sz w:val="20"/>
                <w:szCs w:val="20"/>
                <w:color w:val="auto"/>
              </w:rPr>
            </w:pPr>
            <w:r>
              <w:rPr>
                <w:rFonts w:ascii="Arial" w:cs="Arial" w:eastAsia="Arial" w:hAnsi="Arial"/>
                <w:sz w:val="18"/>
                <w:szCs w:val="18"/>
                <w:color w:val="auto"/>
                <w:w w:val="94"/>
              </w:rPr>
              <w:t>incorporation)</w:t>
            </w:r>
          </w:p>
        </w:tc>
        <w:tc>
          <w:tcPr>
            <w:tcW w:w="308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252"/>
        </w:trPr>
        <w:tc>
          <w:tcPr>
            <w:tcW w:w="3740" w:type="dxa"/>
            <w:vAlign w:val="bottom"/>
          </w:tcPr>
          <w:p>
            <w:pPr>
              <w:jc w:val="center"/>
              <w:ind w:right="490"/>
              <w:spacing w:after="0"/>
              <w:rPr>
                <w:sz w:val="20"/>
                <w:szCs w:val="20"/>
                <w:color w:val="auto"/>
              </w:rPr>
            </w:pPr>
            <w:r>
              <w:rPr>
                <w:rFonts w:ascii="Arial" w:cs="Arial" w:eastAsia="Arial" w:hAnsi="Arial"/>
                <w:sz w:val="18"/>
                <w:szCs w:val="18"/>
                <w:b w:val="1"/>
                <w:bCs w:val="1"/>
                <w:color w:val="auto"/>
                <w:w w:val="90"/>
              </w:rPr>
              <w:t>One North Lexington Avenue</w:t>
            </w:r>
            <w:r>
              <w:rPr>
                <w:rFonts w:ascii="Arial" w:cs="Arial" w:eastAsia="Arial" w:hAnsi="Arial"/>
                <w:sz w:val="18"/>
                <w:szCs w:val="18"/>
                <w:b w:val="1"/>
                <w:bCs w:val="1"/>
                <w:color w:val="3051F2"/>
                <w:w w:val="90"/>
              </w:rPr>
              <w:t>,</w:t>
            </w:r>
            <w:r>
              <w:rPr>
                <w:rFonts w:ascii="Arial" w:cs="Arial" w:eastAsia="Arial" w:hAnsi="Arial"/>
                <w:sz w:val="18"/>
                <w:szCs w:val="18"/>
                <w:b w:val="1"/>
                <w:bCs w:val="1"/>
                <w:color w:val="auto"/>
                <w:w w:val="90"/>
              </w:rPr>
              <w:t xml:space="preserve"> Suite 1450</w:t>
            </w:r>
          </w:p>
        </w:tc>
        <w:tc>
          <w:tcPr>
            <w:tcW w:w="3080" w:type="dxa"/>
            <w:vAlign w:val="bottom"/>
          </w:tcPr>
          <w:p>
            <w:pPr>
              <w:spacing w:after="0"/>
              <w:rPr>
                <w:sz w:val="21"/>
                <w:szCs w:val="21"/>
                <w:color w:val="auto"/>
              </w:rPr>
            </w:pPr>
          </w:p>
        </w:tc>
        <w:tc>
          <w:tcPr>
            <w:tcW w:w="2980" w:type="dxa"/>
            <w:vAlign w:val="bottom"/>
          </w:tcPr>
          <w:p>
            <w:pPr>
              <w:spacing w:after="0"/>
              <w:rPr>
                <w:sz w:val="21"/>
                <w:szCs w:val="21"/>
                <w:color w:val="auto"/>
              </w:rPr>
            </w:pPr>
          </w:p>
        </w:tc>
      </w:tr>
      <w:tr>
        <w:trPr>
          <w:trHeight w:val="234"/>
        </w:trPr>
        <w:tc>
          <w:tcPr>
            <w:tcW w:w="3740" w:type="dxa"/>
            <w:vAlign w:val="bottom"/>
          </w:tcPr>
          <w:p>
            <w:pPr>
              <w:jc w:val="center"/>
              <w:ind w:right="490"/>
              <w:spacing w:after="0"/>
              <w:rPr>
                <w:sz w:val="20"/>
                <w:szCs w:val="20"/>
                <w:color w:val="auto"/>
              </w:rPr>
            </w:pPr>
            <w:r>
              <w:rPr>
                <w:rFonts w:ascii="Arial" w:cs="Arial" w:eastAsia="Arial" w:hAnsi="Arial"/>
                <w:sz w:val="18"/>
                <w:szCs w:val="18"/>
                <w:b w:val="1"/>
                <w:bCs w:val="1"/>
                <w:color w:val="auto"/>
                <w:w w:val="92"/>
              </w:rPr>
              <w:t>White Plains, New York</w:t>
            </w:r>
          </w:p>
        </w:tc>
        <w:tc>
          <w:tcPr>
            <w:tcW w:w="3080" w:type="dxa"/>
            <w:vAlign w:val="bottom"/>
          </w:tcPr>
          <w:p>
            <w:pPr>
              <w:spacing w:after="0"/>
              <w:rPr>
                <w:sz w:val="20"/>
                <w:szCs w:val="20"/>
                <w:color w:val="auto"/>
              </w:rPr>
            </w:pPr>
          </w:p>
        </w:tc>
        <w:tc>
          <w:tcPr>
            <w:tcW w:w="2980" w:type="dxa"/>
            <w:vAlign w:val="bottom"/>
          </w:tcPr>
          <w:p>
            <w:pPr>
              <w:jc w:val="right"/>
              <w:ind w:right="930"/>
              <w:spacing w:after="0"/>
              <w:rPr>
                <w:sz w:val="20"/>
                <w:szCs w:val="20"/>
                <w:color w:val="auto"/>
              </w:rPr>
            </w:pPr>
            <w:r>
              <w:rPr>
                <w:rFonts w:ascii="Arial" w:cs="Arial" w:eastAsia="Arial" w:hAnsi="Arial"/>
                <w:sz w:val="18"/>
                <w:szCs w:val="18"/>
                <w:b w:val="1"/>
                <w:bCs w:val="1"/>
                <w:color w:val="auto"/>
              </w:rPr>
              <w:t>10601</w:t>
            </w:r>
          </w:p>
        </w:tc>
      </w:tr>
      <w:tr>
        <w:trPr>
          <w:trHeight w:val="284"/>
        </w:trPr>
        <w:tc>
          <w:tcPr>
            <w:tcW w:w="3740" w:type="dxa"/>
            <w:vAlign w:val="bottom"/>
          </w:tcPr>
          <w:p>
            <w:pPr>
              <w:jc w:val="center"/>
              <w:ind w:right="490"/>
              <w:spacing w:after="0"/>
              <w:rPr>
                <w:sz w:val="20"/>
                <w:szCs w:val="20"/>
                <w:color w:val="auto"/>
              </w:rPr>
            </w:pPr>
            <w:r>
              <w:rPr>
                <w:rFonts w:ascii="Arial" w:cs="Arial" w:eastAsia="Arial" w:hAnsi="Arial"/>
                <w:sz w:val="18"/>
                <w:szCs w:val="18"/>
                <w:color w:val="auto"/>
                <w:w w:val="92"/>
              </w:rPr>
              <w:t>(Address of principal executive offices)</w:t>
            </w:r>
          </w:p>
        </w:tc>
        <w:tc>
          <w:tcPr>
            <w:tcW w:w="3080" w:type="dxa"/>
            <w:vAlign w:val="bottom"/>
          </w:tcPr>
          <w:p>
            <w:pPr>
              <w:spacing w:after="0"/>
              <w:rPr>
                <w:sz w:val="24"/>
                <w:szCs w:val="24"/>
                <w:color w:val="auto"/>
              </w:rPr>
            </w:pPr>
          </w:p>
        </w:tc>
        <w:tc>
          <w:tcPr>
            <w:tcW w:w="2980" w:type="dxa"/>
            <w:vAlign w:val="bottom"/>
          </w:tcPr>
          <w:p>
            <w:pPr>
              <w:jc w:val="center"/>
              <w:ind w:left="410"/>
              <w:spacing w:after="0"/>
              <w:rPr>
                <w:sz w:val="20"/>
                <w:szCs w:val="20"/>
                <w:color w:val="auto"/>
              </w:rPr>
            </w:pPr>
            <w:r>
              <w:rPr>
                <w:rFonts w:ascii="Arial" w:cs="Arial" w:eastAsia="Arial" w:hAnsi="Arial"/>
                <w:sz w:val="18"/>
                <w:szCs w:val="18"/>
                <w:color w:val="auto"/>
                <w:w w:val="94"/>
              </w:rPr>
              <w:t>(Zip Code)</w:t>
            </w:r>
          </w:p>
        </w:tc>
      </w:tr>
    </w:tbl>
    <w:p>
      <w:pPr>
        <w:spacing w:after="0" w:line="292"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(914) 705-4000</w:t>
      </w:r>
    </w:p>
    <w:p>
      <w:pPr>
        <w:spacing w:after="0" w:line="320"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Not Applicable</w:t>
      </w:r>
    </w:p>
    <w:p>
      <w:pPr>
        <w:spacing w:after="0" w:line="81" w:lineRule="exact"/>
        <w:rPr>
          <w:sz w:val="24"/>
          <w:szCs w:val="24"/>
          <w:color w:val="auto"/>
        </w:rPr>
      </w:pPr>
    </w:p>
    <w:p>
      <w:pPr>
        <w:jc w:val="center"/>
        <w:ind w:right="-5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48"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202"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51"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93"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4440" w:type="dxa"/>
            <w:vAlign w:val="bottom"/>
            <w:gridSpan w:val="3"/>
          </w:tcPr>
          <w:p>
            <w:pPr>
              <w:spacing w:after="0"/>
              <w:rPr>
                <w:sz w:val="20"/>
                <w:szCs w:val="20"/>
                <w:color w:val="auto"/>
              </w:rPr>
            </w:pPr>
            <w:r>
              <w:rPr>
                <w:rFonts w:ascii="Arial" w:cs="Arial" w:eastAsia="Arial" w:hAnsi="Arial"/>
                <w:sz w:val="18"/>
                <w:szCs w:val="18"/>
                <w:color w:val="auto"/>
                <w:w w:val="96"/>
              </w:rPr>
              <w:t>Securities registered pursuant to Section 12(b) of the Act:</w:t>
            </w:r>
          </w:p>
        </w:tc>
        <w:tc>
          <w:tcPr>
            <w:tcW w:w="2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243"/>
        </w:trPr>
        <w:tc>
          <w:tcPr>
            <w:tcW w:w="1660" w:type="dxa"/>
            <w:vAlign w:val="bottom"/>
          </w:tcPr>
          <w:p>
            <w:pPr>
              <w:spacing w:after="0"/>
              <w:rPr>
                <w:sz w:val="21"/>
                <w:szCs w:val="21"/>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420" w:type="dxa"/>
            <w:vAlign w:val="bottom"/>
          </w:tcPr>
          <w:p>
            <w:pPr>
              <w:spacing w:after="0"/>
              <w:rPr>
                <w:sz w:val="21"/>
                <w:szCs w:val="21"/>
                <w:color w:val="auto"/>
              </w:rPr>
            </w:pPr>
          </w:p>
        </w:tc>
        <w:tc>
          <w:tcPr>
            <w:tcW w:w="2200" w:type="dxa"/>
            <w:vAlign w:val="bottom"/>
          </w:tcPr>
          <w:p>
            <w:pPr>
              <w:ind w:left="280"/>
              <w:spacing w:after="0"/>
              <w:rPr>
                <w:sz w:val="20"/>
                <w:szCs w:val="20"/>
                <w:color w:val="auto"/>
              </w:rPr>
            </w:pPr>
            <w:r>
              <w:rPr>
                <w:rFonts w:ascii="Arial" w:cs="Arial" w:eastAsia="Arial" w:hAnsi="Arial"/>
                <w:sz w:val="18"/>
                <w:szCs w:val="18"/>
                <w:b w:val="1"/>
                <w:bCs w:val="1"/>
                <w:color w:val="auto"/>
              </w:rPr>
              <w:t>Trading Symbol(s)</w:t>
            </w:r>
          </w:p>
        </w:tc>
        <w:tc>
          <w:tcPr>
            <w:tcW w:w="580" w:type="dxa"/>
            <w:vAlign w:val="bottom"/>
          </w:tcPr>
          <w:p>
            <w:pPr>
              <w:spacing w:after="0"/>
              <w:rPr>
                <w:sz w:val="21"/>
                <w:szCs w:val="21"/>
                <w:color w:val="auto"/>
              </w:rPr>
            </w:pPr>
          </w:p>
        </w:tc>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90"/>
        </w:trPr>
        <w:tc>
          <w:tcPr>
            <w:tcW w:w="4440" w:type="dxa"/>
            <w:vAlign w:val="bottom"/>
            <w:gridSpan w:val="3"/>
          </w:tcPr>
          <w:p>
            <w:pPr>
              <w:jc w:val="center"/>
              <w:ind w:left="130"/>
              <w:spacing w:after="0"/>
              <w:rPr>
                <w:sz w:val="20"/>
                <w:szCs w:val="20"/>
                <w:color w:val="auto"/>
              </w:rPr>
            </w:pPr>
            <w:r>
              <w:rPr>
                <w:rFonts w:ascii="Arial" w:cs="Arial" w:eastAsia="Arial" w:hAnsi="Arial"/>
                <w:sz w:val="18"/>
                <w:szCs w:val="18"/>
                <w:color w:val="auto"/>
                <w:w w:val="89"/>
              </w:rPr>
              <w:t>Class A common stock, par value $.0001 per share</w:t>
            </w:r>
          </w:p>
        </w:tc>
        <w:tc>
          <w:tcPr>
            <w:tcW w:w="2200" w:type="dxa"/>
            <w:vAlign w:val="bottom"/>
          </w:tcPr>
          <w:p>
            <w:pPr>
              <w:ind w:left="980"/>
              <w:spacing w:after="0"/>
              <w:rPr>
                <w:sz w:val="20"/>
                <w:szCs w:val="20"/>
                <w:color w:val="auto"/>
              </w:rPr>
            </w:pPr>
            <w:r>
              <w:rPr>
                <w:rFonts w:ascii="Arial" w:cs="Arial" w:eastAsia="Arial" w:hAnsi="Arial"/>
                <w:sz w:val="18"/>
                <w:szCs w:val="18"/>
                <w:color w:val="auto"/>
              </w:rPr>
              <w:t>OPAL</w:t>
            </w:r>
          </w:p>
        </w:tc>
        <w:tc>
          <w:tcPr>
            <w:tcW w:w="58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21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 w:lineRule="exact"/>
        <w:rPr>
          <w:sz w:val="24"/>
          <w:szCs w:val="24"/>
          <w:color w:val="auto"/>
        </w:rPr>
      </w:pPr>
    </w:p>
    <w:p>
      <w:pPr>
        <w:spacing w:after="0" w:line="207" w:lineRule="exact"/>
        <w:tabs>
          <w:tab w:leader="none" w:pos="21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730885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1251" w:right="859" w:bottom="1440" w:gutter="0" w:footer="0" w:header="0"/>
        </w:sectPr>
      </w:pPr>
    </w:p>
    <w:bookmarkStart w:id="1" w:name="page2"/>
    <w:bookmarkEnd w:id="1"/>
    <w:p>
      <w:pPr>
        <w:spacing w:after="0" w:line="238"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809625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39"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Item 7.01. Regulation FD Disclosure</w:t>
      </w:r>
    </w:p>
    <w:p>
      <w:pPr>
        <w:spacing w:after="0" w:line="262" w:lineRule="exact"/>
        <w:rPr>
          <w:sz w:val="20"/>
          <w:szCs w:val="20"/>
          <w:color w:val="auto"/>
        </w:rPr>
      </w:pPr>
    </w:p>
    <w:p>
      <w:pPr>
        <w:jc w:val="both"/>
        <w:ind w:firstLine="594"/>
        <w:spacing w:after="0" w:line="261" w:lineRule="auto"/>
        <w:rPr>
          <w:sz w:val="20"/>
          <w:szCs w:val="20"/>
          <w:color w:val="auto"/>
        </w:rPr>
      </w:pPr>
      <w:r>
        <w:rPr>
          <w:rFonts w:ascii="Arial" w:cs="Arial" w:eastAsia="Arial" w:hAnsi="Arial"/>
          <w:sz w:val="18"/>
          <w:szCs w:val="18"/>
          <w:color w:val="auto"/>
        </w:rPr>
        <w:t xml:space="preserve">On October 30, 2023, OPAL Fuels Inc. (the </w:t>
      </w:r>
      <w:r>
        <w:rPr>
          <w:rFonts w:ascii="Arial" w:cs="Arial" w:eastAsia="Arial" w:hAnsi="Arial"/>
          <w:sz w:val="21"/>
          <w:szCs w:val="21"/>
          <w:color w:val="auto"/>
          <w:highlight w:val="white"/>
        </w:rPr>
        <w:t>“</w:t>
      </w:r>
      <w:r>
        <w:rPr>
          <w:rFonts w:ascii="Arial" w:cs="Arial" w:eastAsia="Arial" w:hAnsi="Arial"/>
          <w:sz w:val="18"/>
          <w:szCs w:val="18"/>
          <w:color w:val="auto"/>
        </w:rPr>
        <w:t>Company”) issued a press release announcing that it will report its earnings results for the three and nine months ended September 30, 2023 after the market closes on Monday, November 13, 2023 and that it will host an earnings conference call on Tuesday, November 14, 2023, at 11:00 AM EDT. A copy of the press release is attached hereto as Exhibit 99.1.</w:t>
      </w:r>
    </w:p>
    <w:p>
      <w:pPr>
        <w:spacing w:after="0" w:line="212" w:lineRule="exact"/>
        <w:rPr>
          <w:sz w:val="20"/>
          <w:szCs w:val="20"/>
          <w:color w:val="auto"/>
        </w:rPr>
      </w:pPr>
    </w:p>
    <w:p>
      <w:pPr>
        <w:jc w:val="both"/>
        <w:ind w:firstLine="594"/>
        <w:spacing w:after="0" w:line="257" w:lineRule="auto"/>
        <w:rPr>
          <w:sz w:val="20"/>
          <w:szCs w:val="20"/>
          <w:color w:val="auto"/>
        </w:rPr>
      </w:pPr>
      <w:r>
        <w:rPr>
          <w:rFonts w:ascii="Arial" w:cs="Arial" w:eastAsia="Arial" w:hAnsi="Arial"/>
          <w:sz w:val="18"/>
          <w:szCs w:val="18"/>
          <w:color w:val="auto"/>
        </w:rPr>
        <w:t>The information disclosed under this Item 7.01, including the exhibit, is being ”furnished” and shall not be deemed “filed” for purposes of Section 18 of the Securities Exchange Act of 1934, as amended (the ”Exchange Act”), or otherwise subject to the liabilities of such section, nor shall it be deemed incorporated by reference in any filing under the Securities Act of 1933, as amended, or the Exchange Act, except as expressly set forth by specific reference in such a filing. By filing this Current Report on Form 8-K and furnishing this information, the Company makes no statement or admission as to the materiality of any information in this Item 7.01 or the exhibit attached hereto.</w:t>
      </w:r>
    </w:p>
    <w:p>
      <w:pPr>
        <w:spacing w:after="0" w:line="215" w:lineRule="exact"/>
        <w:rPr>
          <w:sz w:val="20"/>
          <w:szCs w:val="20"/>
          <w:color w:val="auto"/>
        </w:rPr>
      </w:pPr>
    </w:p>
    <w:p>
      <w:pPr>
        <w:jc w:val="both"/>
        <w:ind w:firstLine="594"/>
        <w:spacing w:after="0" w:line="259" w:lineRule="auto"/>
        <w:rPr>
          <w:sz w:val="20"/>
          <w:szCs w:val="20"/>
          <w:color w:val="auto"/>
        </w:rPr>
      </w:pPr>
      <w:r>
        <w:rPr>
          <w:rFonts w:ascii="Arial" w:cs="Arial" w:eastAsia="Arial" w:hAnsi="Arial"/>
          <w:sz w:val="18"/>
          <w:szCs w:val="18"/>
          <w:color w:val="auto"/>
        </w:rPr>
        <w:t>This Current Report on Form 8-K, including the exhibit, contains forward-looking statements within the meaning of the federal securities laws. These forward looking statements are based on current expectations and are not guarantees of future performance. Further, the forward-looking statements are subject to the limitations listed in Exhibit 99.1 and in the other SEC reports of the Company, including that actual events or results may differ materially from those in the forward-looking statements.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2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Exhibit Number</w:t>
            </w:r>
          </w:p>
        </w:tc>
        <w:tc>
          <w:tcPr>
            <w:tcW w:w="20" w:type="dxa"/>
            <w:vAlign w:val="bottom"/>
            <w:tcBorders>
              <w:bottom w:val="single" w:sz="8" w:color="CCEEFF"/>
            </w:tcBorders>
            <w:shd w:val="clear" w:color="auto" w:fill="CCEEFF"/>
          </w:tcPr>
          <w:p>
            <w:pPr>
              <w:spacing w:after="0"/>
              <w:rPr>
                <w:sz w:val="24"/>
                <w:szCs w:val="24"/>
                <w:color w:val="auto"/>
              </w:rPr>
            </w:pPr>
          </w:p>
        </w:tc>
        <w:tc>
          <w:tcPr>
            <w:tcW w:w="8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Description</w:t>
            </w:r>
          </w:p>
        </w:tc>
        <w:tc>
          <w:tcPr>
            <w:tcW w:w="320" w:type="dxa"/>
            <w:vAlign w:val="bottom"/>
          </w:tcPr>
          <w:p>
            <w:pPr>
              <w:spacing w:after="0"/>
              <w:rPr>
                <w:sz w:val="24"/>
                <w:szCs w:val="24"/>
                <w:color w:val="auto"/>
              </w:rPr>
            </w:pPr>
          </w:p>
        </w:tc>
      </w:tr>
      <w:tr>
        <w:trPr>
          <w:trHeight w:val="250"/>
        </w:trPr>
        <w:tc>
          <w:tcPr>
            <w:tcW w:w="22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780" w:type="dxa"/>
            <w:vAlign w:val="bottom"/>
            <w:tcBorders>
              <w:top w:val="single" w:sz="8" w:color="auto"/>
            </w:tcBorders>
          </w:tcPr>
          <w:p>
            <w:pPr>
              <w:spacing w:after="0"/>
              <w:rPr>
                <w:sz w:val="21"/>
                <w:szCs w:val="21"/>
                <w:color w:val="auto"/>
              </w:rPr>
            </w:pPr>
          </w:p>
        </w:tc>
        <w:tc>
          <w:tcPr>
            <w:tcW w:w="380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r>
      <w:tr>
        <w:trPr>
          <w:trHeight w:val="202"/>
        </w:trPr>
        <w:tc>
          <w:tcPr>
            <w:tcW w:w="22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99.1</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0000FF"/>
              </w:rPr>
              <w:t>Press release, issued by OPAL Fuels Inc., dated October 30, 2023.</w:t>
            </w:r>
          </w:p>
        </w:tc>
        <w:tc>
          <w:tcPr>
            <w:tcW w:w="320" w:type="dxa"/>
            <w:vAlign w:val="bottom"/>
          </w:tcPr>
          <w:p>
            <w:pPr>
              <w:spacing w:after="0"/>
              <w:rPr>
                <w:sz w:val="17"/>
                <w:szCs w:val="17"/>
                <w:color w:val="auto"/>
              </w:rPr>
            </w:pPr>
          </w:p>
        </w:tc>
      </w:tr>
      <w:tr>
        <w:trPr>
          <w:trHeight w:val="61"/>
        </w:trPr>
        <w:tc>
          <w:tcPr>
            <w:tcW w:w="22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780" w:type="dxa"/>
            <w:vAlign w:val="bottom"/>
            <w:tcBorders>
              <w:top w:val="single" w:sz="8" w:color="0000FF"/>
            </w:tcBorders>
            <w:shd w:val="clear" w:color="auto" w:fill="CCEEFF"/>
          </w:tcPr>
          <w:p>
            <w:pPr>
              <w:spacing w:after="0"/>
              <w:rPr>
                <w:sz w:val="5"/>
                <w:szCs w:val="5"/>
                <w:color w:val="auto"/>
              </w:rPr>
            </w:pPr>
          </w:p>
        </w:tc>
        <w:tc>
          <w:tcPr>
            <w:tcW w:w="3800" w:type="dxa"/>
            <w:vAlign w:val="bottom"/>
            <w:tcBorders>
              <w:top w:val="single" w:sz="8" w:color="CCEEFF"/>
            </w:tcBorders>
            <w:shd w:val="clear" w:color="auto" w:fill="CCEEFF"/>
          </w:tcPr>
          <w:p>
            <w:pPr>
              <w:spacing w:after="0"/>
              <w:rPr>
                <w:sz w:val="5"/>
                <w:szCs w:val="5"/>
                <w:color w:val="auto"/>
              </w:rPr>
            </w:pPr>
          </w:p>
        </w:tc>
        <w:tc>
          <w:tcPr>
            <w:tcW w:w="320" w:type="dxa"/>
            <w:vAlign w:val="bottom"/>
          </w:tcPr>
          <w:p>
            <w:pPr>
              <w:spacing w:after="0"/>
              <w:rPr>
                <w:sz w:val="5"/>
                <w:szCs w:val="5"/>
                <w:color w:val="auto"/>
              </w:rPr>
            </w:pPr>
          </w:p>
        </w:tc>
      </w:tr>
      <w:tr>
        <w:trPr>
          <w:trHeight w:val="243"/>
        </w:trPr>
        <w:tc>
          <w:tcPr>
            <w:tcW w:w="2240" w:type="dxa"/>
            <w:vAlign w:val="bottom"/>
          </w:tcPr>
          <w:p>
            <w:pPr>
              <w:ind w:left="2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auto"/>
              </w:rPr>
              <w:t>Cover Page Interactive Data File.</w:t>
            </w:r>
          </w:p>
        </w:tc>
      </w:tr>
      <w:tr>
        <w:trPr>
          <w:trHeight w:val="1330"/>
        </w:trPr>
        <w:tc>
          <w:tcPr>
            <w:tcW w:w="2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78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color w:val="auto"/>
        </w:rPr>
        <w:t>Date: October 31, 2023</w:t>
      </w:r>
    </w:p>
    <w:p>
      <w:pPr>
        <w:spacing w:after="0" w:line="61" w:lineRule="exact"/>
        <w:rPr>
          <w:sz w:val="20"/>
          <w:szCs w:val="20"/>
          <w:color w:val="auto"/>
        </w:rPr>
      </w:pPr>
    </w:p>
    <w:p>
      <w:pPr>
        <w:ind w:left="5820"/>
        <w:spacing w:after="0"/>
        <w:rPr>
          <w:sz w:val="20"/>
          <w:szCs w:val="20"/>
          <w:color w:val="auto"/>
        </w:rPr>
      </w:pPr>
      <w:r>
        <w:rPr>
          <w:rFonts w:ascii="Arial" w:cs="Arial" w:eastAsia="Arial" w:hAnsi="Arial"/>
          <w:sz w:val="20"/>
          <w:szCs w:val="20"/>
          <w:b w:val="1"/>
          <w:bCs w:val="1"/>
          <w:color w:val="auto"/>
        </w:rPr>
        <w:t>OPAL Fuels Inc.</w:t>
      </w:r>
    </w:p>
    <w:p>
      <w:pPr>
        <w:spacing w:after="0" w:line="332" w:lineRule="exact"/>
        <w:rPr>
          <w:sz w:val="20"/>
          <w:szCs w:val="20"/>
          <w:color w:val="auto"/>
        </w:rPr>
      </w:pPr>
    </w:p>
    <w:tbl>
      <w:tblPr>
        <w:tblLayout w:type="fixed"/>
        <w:tblInd w:w="58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/s/ John Coghlin</w:t>
            </w:r>
          </w:p>
        </w:tc>
        <w:tc>
          <w:tcPr>
            <w:tcW w:w="0" w:type="dxa"/>
            <w:vAlign w:val="bottom"/>
          </w:tcPr>
          <w:p>
            <w:pPr>
              <w:spacing w:after="0"/>
              <w:rPr>
                <w:sz w:val="1"/>
                <w:szCs w:val="1"/>
                <w:color w:val="auto"/>
              </w:rPr>
            </w:pPr>
          </w:p>
        </w:tc>
      </w:tr>
      <w:tr>
        <w:trPr>
          <w:trHeight w:val="40"/>
        </w:trPr>
        <w:tc>
          <w:tcPr>
            <w:tcW w:w="7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40" w:type="dxa"/>
            <w:vAlign w:val="bottom"/>
            <w:vMerge w:val="continue"/>
          </w:tcPr>
          <w:p>
            <w:pPr>
              <w:spacing w:after="0"/>
              <w:rPr>
                <w:sz w:val="20"/>
                <w:szCs w:val="20"/>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John Coghlin</w:t>
            </w:r>
          </w:p>
        </w:tc>
        <w:tc>
          <w:tcPr>
            <w:tcW w:w="0" w:type="dxa"/>
            <w:vAlign w:val="bottom"/>
          </w:tcPr>
          <w:p>
            <w:pPr>
              <w:spacing w:after="0"/>
              <w:rPr>
                <w:sz w:val="1"/>
                <w:szCs w:val="1"/>
                <w:color w:val="auto"/>
              </w:rPr>
            </w:pPr>
          </w:p>
        </w:tc>
      </w:tr>
      <w:tr>
        <w:trPr>
          <w:trHeight w:val="283"/>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680" w:type="dxa"/>
            <w:vAlign w:val="bottom"/>
          </w:tcPr>
          <w:p>
            <w:pPr>
              <w:ind w:left="40"/>
              <w:spacing w:after="0"/>
              <w:rPr>
                <w:sz w:val="20"/>
                <w:szCs w:val="20"/>
                <w:color w:val="auto"/>
              </w:rPr>
            </w:pPr>
            <w:r>
              <w:rPr>
                <w:rFonts w:ascii="Arial" w:cs="Arial" w:eastAsia="Arial" w:hAnsi="Arial"/>
                <w:sz w:val="18"/>
                <w:szCs w:val="18"/>
                <w:color w:val="auto"/>
              </w:rPr>
              <w:t>General Counsel</w:t>
            </w:r>
          </w:p>
        </w:tc>
        <w:tc>
          <w:tcPr>
            <w:tcW w:w="0" w:type="dxa"/>
            <w:vAlign w:val="bottom"/>
          </w:tcPr>
          <w:p>
            <w:pPr>
              <w:spacing w:after="0"/>
              <w:rPr>
                <w:sz w:val="1"/>
                <w:szCs w:val="1"/>
                <w:color w:val="auto"/>
              </w:rPr>
            </w:pPr>
          </w:p>
        </w:tc>
      </w:tr>
    </w:tbl>
    <w:p>
      <w:pPr>
        <w:sectPr>
          <w:pgSz w:w="11900" w:h="16838" w:orient="portrait"/>
          <w:cols w:equalWidth="0" w:num="1">
            <w:col w:w="11240"/>
          </w:cols>
          <w:pgMar w:left="320" w:top="1336"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1808480" cy="4718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80848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900"/>
        <w:spacing w:after="0"/>
        <w:rPr>
          <w:sz w:val="20"/>
          <w:szCs w:val="20"/>
          <w:color w:val="auto"/>
        </w:rPr>
      </w:pPr>
      <w:r>
        <w:rPr>
          <w:rFonts w:ascii="Arial" w:cs="Arial" w:eastAsia="Arial" w:hAnsi="Arial"/>
          <w:sz w:val="29"/>
          <w:szCs w:val="29"/>
          <w:b w:val="1"/>
          <w:bCs w:val="1"/>
          <w:color w:val="auto"/>
        </w:rPr>
        <w:t>OPAL Fuels Announces Third Quarter 2023</w:t>
      </w:r>
    </w:p>
    <w:p>
      <w:pPr>
        <w:ind w:left="2940"/>
        <w:spacing w:after="0"/>
        <w:rPr>
          <w:sz w:val="20"/>
          <w:szCs w:val="20"/>
          <w:color w:val="auto"/>
        </w:rPr>
      </w:pPr>
      <w:r>
        <w:rPr>
          <w:rFonts w:ascii="Arial" w:cs="Arial" w:eastAsia="Arial" w:hAnsi="Arial"/>
          <w:sz w:val="29"/>
          <w:szCs w:val="29"/>
          <w:b w:val="1"/>
          <w:bCs w:val="1"/>
          <w:color w:val="auto"/>
        </w:rPr>
        <w:t>Earnings Release Date and Conference Call</w:t>
      </w:r>
    </w:p>
    <w:p>
      <w:pPr>
        <w:spacing w:after="0" w:line="185"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 xml:space="preserve">WHITE PLAINS, N.Y. – (October 30, 2023) – </w:t>
      </w:r>
      <w:r>
        <w:rPr>
          <w:rFonts w:ascii="Arial" w:cs="Arial" w:eastAsia="Arial" w:hAnsi="Arial"/>
          <w:sz w:val="22"/>
          <w:szCs w:val="22"/>
          <w:u w:val="single" w:color="auto"/>
          <w:color w:val="0563C1"/>
        </w:rPr>
        <w:t>OPAL Fuels Inc.</w:t>
      </w:r>
      <w:r>
        <w:rPr>
          <w:rFonts w:ascii="Arial" w:cs="Arial" w:eastAsia="Arial" w:hAnsi="Arial"/>
          <w:sz w:val="22"/>
          <w:szCs w:val="22"/>
          <w:color w:val="auto"/>
        </w:rPr>
        <w:t xml:space="preserve"> (Nasdaq: OPAL), a vertically integrated producer and distributor of renewable natural gas (RNG) and renewable electricity, announced that it will release its earnings results for the third quarter ended September 30, 2023, after market close on Monday, November 13, 2023. A conference call will take place on Tuesday, November 14, 2023, at 11:00 a.m. Eastern Time.</w:t>
      </w:r>
    </w:p>
    <w:p>
      <w:pPr>
        <w:spacing w:after="0" w:line="188"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 xml:space="preserve">A listen-only connection to the investor presentation will be accessible at </w:t>
      </w:r>
      <w:r>
        <w:rPr>
          <w:rFonts w:ascii="Arial" w:cs="Arial" w:eastAsia="Arial" w:hAnsi="Arial"/>
          <w:sz w:val="22"/>
          <w:szCs w:val="22"/>
          <w:u w:val="single" w:color="auto"/>
          <w:color w:val="0563C1"/>
        </w:rPr>
        <w:t>https://edge.media-server.com/mmc/p/hj3yrjwj</w:t>
      </w:r>
      <w:r>
        <w:rPr>
          <w:rFonts w:ascii="Arial" w:cs="Arial" w:eastAsia="Arial" w:hAnsi="Arial"/>
          <w:sz w:val="22"/>
          <w:szCs w:val="22"/>
          <w:color w:val="auto"/>
        </w:rPr>
        <w:t xml:space="preserve">. Investors can also listen to a webcast of the presentation on the company’s Investor Relations website at </w:t>
      </w:r>
      <w:r>
        <w:rPr>
          <w:rFonts w:ascii="Arial" w:cs="Arial" w:eastAsia="Arial" w:hAnsi="Arial"/>
          <w:sz w:val="22"/>
          <w:szCs w:val="22"/>
          <w:u w:val="single" w:color="auto"/>
          <w:color w:val="0563C1"/>
        </w:rPr>
        <w:t>https://investors.opalfuels.com/news-events/events-presentations</w:t>
      </w:r>
      <w:r>
        <w:rPr>
          <w:rFonts w:ascii="Arial" w:cs="Arial" w:eastAsia="Arial" w:hAnsi="Arial"/>
          <w:sz w:val="22"/>
          <w:szCs w:val="22"/>
          <w:color w:val="000000"/>
        </w:rPr>
        <w:t>.</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OPAL Fuels Inc.</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u w:val="single" w:color="auto"/>
          <w:color w:val="0563C1"/>
        </w:rPr>
        <w:t>OPAL Fuels Inc.</w:t>
      </w:r>
      <w:r>
        <w:rPr>
          <w:rFonts w:ascii="Arial" w:cs="Arial" w:eastAsia="Arial" w:hAnsi="Arial"/>
          <w:sz w:val="19"/>
          <w:szCs w:val="19"/>
          <w:color w:val="0563C1"/>
        </w:rPr>
        <w:t xml:space="preserve"> </w:t>
      </w:r>
      <w:r>
        <w:rPr>
          <w:rFonts w:ascii="Arial" w:cs="Arial" w:eastAsia="Arial" w:hAnsi="Arial"/>
          <w:sz w:val="19"/>
          <w:szCs w:val="19"/>
          <w:color w:val="000000"/>
        </w:rPr>
        <w:t>(Nasdaq: OPAL)</w:t>
      </w:r>
      <w:r>
        <w:rPr>
          <w:rFonts w:ascii="Arial" w:cs="Arial" w:eastAsia="Arial" w:hAnsi="Arial"/>
          <w:sz w:val="19"/>
          <w:szCs w:val="19"/>
          <w:color w:val="0563C1"/>
        </w:rPr>
        <w:t xml:space="preserve"> </w:t>
      </w:r>
      <w:r>
        <w:rPr>
          <w:rFonts w:ascii="Arial" w:cs="Arial" w:eastAsia="Arial" w:hAnsi="Arial"/>
          <w:sz w:val="19"/>
          <w:szCs w:val="19"/>
          <w:color w:val="212121"/>
        </w:rPr>
        <w:t>is a leading vertically integrated producer and distributor of renewable natural gas (RNG) and</w:t>
      </w:r>
    </w:p>
    <w:p>
      <w:pPr>
        <w:spacing w:after="0" w:line="61"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212121"/>
        </w:rPr>
        <w:t xml:space="preserve">renewable electricity. RNG is a proven low-carbon energy source that is rapidly decarbonizing multiple sectors including the transportation and utility industries. OPAL Fuels delivers complete renewable solutions to customers and production partners. With a portfolio of 25 operating renewable energy </w:t>
      </w:r>
      <w:r>
        <w:rPr>
          <w:rFonts w:ascii="Arial" w:cs="Arial" w:eastAsia="Arial" w:hAnsi="Arial"/>
          <w:sz w:val="19"/>
          <w:szCs w:val="19"/>
          <w:color w:val="000000"/>
        </w:rPr>
        <w:t>projects and many more projects in construction and late-stage development,</w:t>
      </w:r>
      <w:r>
        <w:rPr>
          <w:rFonts w:ascii="Arial" w:cs="Arial" w:eastAsia="Arial" w:hAnsi="Arial"/>
          <w:sz w:val="19"/>
          <w:szCs w:val="19"/>
          <w:color w:val="212121"/>
        </w:rPr>
        <w:t xml:space="preserve"> </w:t>
      </w:r>
      <w:r>
        <w:rPr>
          <w:rFonts w:ascii="Arial" w:cs="Arial" w:eastAsia="Arial" w:hAnsi="Arial"/>
          <w:sz w:val="19"/>
          <w:szCs w:val="19"/>
          <w:color w:val="000000"/>
        </w:rPr>
        <w:t>OPAL Fuels is positioned t</w:t>
      </w:r>
      <w:r>
        <w:rPr>
          <w:rFonts w:ascii="Arial" w:cs="Arial" w:eastAsia="Arial" w:hAnsi="Arial"/>
          <w:sz w:val="19"/>
          <w:szCs w:val="19"/>
          <w:color w:val="212121"/>
        </w:rPr>
        <w:t>o advance the clean energy transition in support of renewable energy for transportation, utilities, EV</w:t>
      </w:r>
      <w:r>
        <w:rPr>
          <w:rFonts w:ascii="Arial" w:cs="Arial" w:eastAsia="Arial" w:hAnsi="Arial"/>
          <w:sz w:val="19"/>
          <w:szCs w:val="19"/>
          <w:color w:val="000000"/>
        </w:rPr>
        <w:t xml:space="preserve"> </w:t>
      </w:r>
      <w:r>
        <w:rPr>
          <w:rFonts w:ascii="Arial" w:cs="Arial" w:eastAsia="Arial" w:hAnsi="Arial"/>
          <w:sz w:val="19"/>
          <w:szCs w:val="19"/>
          <w:color w:val="212121"/>
        </w:rPr>
        <w:t xml:space="preserve">charging infrastructure, and hydrogen fuel solutions. To learn more about OPAL Fuels and how it is leading the effort to capture North America’s harmful methane emissions and decarbonize the economy, please visit </w:t>
      </w:r>
      <w:r>
        <w:rPr>
          <w:rFonts w:ascii="Arial" w:cs="Arial" w:eastAsia="Arial" w:hAnsi="Arial"/>
          <w:sz w:val="19"/>
          <w:szCs w:val="19"/>
          <w:u w:val="single" w:color="auto"/>
          <w:color w:val="0078D4"/>
        </w:rPr>
        <w:t>www.opalfuels.com</w:t>
      </w:r>
      <w:r>
        <w:rPr>
          <w:rFonts w:ascii="Arial" w:cs="Arial" w:eastAsia="Arial" w:hAnsi="Arial"/>
          <w:sz w:val="19"/>
          <w:szCs w:val="19"/>
          <w:color w:val="212121"/>
        </w:rPr>
        <w:t>.</w:t>
      </w:r>
    </w:p>
    <w:p>
      <w:pPr>
        <w:jc w:val="center"/>
        <w:spacing w:after="0"/>
        <w:rPr>
          <w:sz w:val="20"/>
          <w:szCs w:val="20"/>
          <w:color w:val="auto"/>
        </w:rPr>
      </w:pPr>
      <w:r>
        <w:rPr>
          <w:rFonts w:ascii="Arial" w:cs="Arial" w:eastAsia="Arial" w:hAnsi="Arial"/>
          <w:sz w:val="22"/>
          <w:szCs w:val="22"/>
          <w:b w:val="1"/>
          <w:bCs w:val="1"/>
          <w:color w:val="auto"/>
          <w:highlight w:val="white"/>
        </w:rPr>
        <w:t># # #</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highlight w:val="white"/>
        </w:rPr>
        <w:t>Forward-Looking Statements</w:t>
      </w:r>
    </w:p>
    <w:p>
      <w:pPr>
        <w:spacing w:after="0" w:line="1"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highlight w:val="white"/>
        </w:rPr>
        <w:t>Certain statements in this communication may be considered forward-looking statements within the meaning of the “safe harbor” provisions of the United States Private Securities Litigation Reform Act of 1995. Forward-looking statements are statements that are not historical facts and generally relate to future events or OPAL Fuels’ (the “Company”) future financial or other performance metrics. In some cases, you can identify forward-looking statements by terminology such as “believe,” “may,” “will,” “potentially,” “estimate,” “continue,” “anticipate,” “intend,” “could,” “would,” “project,” “target,” “plan,” “expect,” or the negatives of these terms or variations of them or similar terminology. Such forward-looking statements are subject to risks and uncertainties, which could cause actual results to differ materially from those expressed or implied by such forward-looking statements. New risks and uncertainties may emerge from time to time, and it is not possible to predict all risks and uncertainties. These forward-looking statements are based upon estimates and assumptions that, while considered reasonable by the Company and its management, as the case may be, are inherently uncertain and subject to material change. Factors that may cause actual results to differ materially from current expectations include various factors beyond management’s control, including but not limited to</w:t>
      </w: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40" w:right="339" w:bottom="1440" w:gutter="0" w:footer="0" w:header="0"/>
        </w:sectPr>
      </w:pPr>
    </w:p>
    <w:bookmarkStart w:id="5" w:name="page6"/>
    <w:bookmarkEnd w:id="5"/>
    <w:p>
      <w:pPr>
        <w:jc w:val="both"/>
        <w:spacing w:after="0" w:line="251" w:lineRule="auto"/>
        <w:rPr>
          <w:sz w:val="20"/>
          <w:szCs w:val="20"/>
          <w:color w:val="auto"/>
        </w:rPr>
      </w:pPr>
      <w:r>
        <w:rPr>
          <w:rFonts w:ascii="Arial" w:cs="Arial" w:eastAsia="Arial" w:hAnsi="Arial"/>
          <w:sz w:val="21"/>
          <w:szCs w:val="21"/>
          <w:color w:val="auto"/>
          <w:highlight w:val="white"/>
        </w:rPr>
        <w:t>general economic conditions and other risks, uncertainties and factors set forth in the sections entitled “Risk Factors” and “Cautionary Statement Regarding Forward-Looking Statements” in Quarterly Report on Form 10-Q filed on May 15, 2023 with the Securities and Exchange Commission, and other filings with the Securities and Exchange Commission. 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communication, which speak only as of the date they are made and are qualified in their entirety by reference to the cautionary statements herein. The Company expressly disclaims any obligations or undertaking to release publicly any updates or revisions to any forward-looking statements contained herein to reflect any change in the Company’s expectations with respect thereto or any change in events, conditions, or circumstances on which any statement is based.</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highlight w:val="white"/>
        </w:rPr>
        <w:t>Disclaimer</w:t>
      </w:r>
    </w:p>
    <w:p>
      <w:pPr>
        <w:spacing w:after="0" w:line="14"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This communication is for informational purposes only and is neither an offer to purchase, nor a solicitation of an offer to sell, subscribe for or buy, any securities, nor shall there be any sale, issuance or transfer or securities in any jurisdiction in contravention of applicable law. No offer of securities shall be made except by means of a prospectus meeting the requirements of Section 10 of the Securities Act of 1933, as amended.</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Investors</w:t>
      </w:r>
    </w:p>
    <w:p>
      <w:pPr>
        <w:spacing w:after="0" w:line="204" w:lineRule="auto"/>
        <w:rPr>
          <w:sz w:val="20"/>
          <w:szCs w:val="20"/>
          <w:color w:val="auto"/>
        </w:rPr>
      </w:pPr>
      <w:r>
        <w:rPr>
          <w:rFonts w:ascii="Arial" w:cs="Arial" w:eastAsia="Arial" w:hAnsi="Arial"/>
          <w:sz w:val="22"/>
          <w:szCs w:val="22"/>
          <w:color w:val="auto"/>
        </w:rPr>
        <w:t>Todd Firestone</w:t>
      </w:r>
    </w:p>
    <w:p>
      <w:pPr>
        <w:spacing w:after="0" w:line="205" w:lineRule="auto"/>
        <w:rPr>
          <w:sz w:val="20"/>
          <w:szCs w:val="20"/>
          <w:color w:val="auto"/>
        </w:rPr>
      </w:pPr>
      <w:r>
        <w:rPr>
          <w:rFonts w:ascii="Arial" w:cs="Arial" w:eastAsia="Arial" w:hAnsi="Arial"/>
          <w:sz w:val="22"/>
          <w:szCs w:val="22"/>
          <w:color w:val="auto"/>
        </w:rPr>
        <w:t>Vice President Investor Relations and Corporate Development</w:t>
      </w:r>
    </w:p>
    <w:p>
      <w:pPr>
        <w:spacing w:after="0" w:line="205" w:lineRule="auto"/>
        <w:rPr>
          <w:sz w:val="20"/>
          <w:szCs w:val="20"/>
          <w:color w:val="auto"/>
        </w:rPr>
      </w:pPr>
      <w:r>
        <w:rPr>
          <w:rFonts w:ascii="Arial" w:cs="Arial" w:eastAsia="Arial" w:hAnsi="Arial"/>
          <w:sz w:val="22"/>
          <w:szCs w:val="22"/>
          <w:color w:val="auto"/>
        </w:rPr>
        <w:t>914-705-4001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563C1"/>
        </w:rPr>
        <w:t>investors@opalfuels.com</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Media</w:t>
      </w:r>
    </w:p>
    <w:p>
      <w:pPr>
        <w:spacing w:after="0" w:line="204" w:lineRule="auto"/>
        <w:rPr>
          <w:sz w:val="20"/>
          <w:szCs w:val="20"/>
          <w:color w:val="auto"/>
        </w:rPr>
      </w:pPr>
      <w:r>
        <w:rPr>
          <w:rFonts w:ascii="Arial" w:cs="Arial" w:eastAsia="Arial" w:hAnsi="Arial"/>
          <w:sz w:val="22"/>
          <w:szCs w:val="22"/>
          <w:color w:val="auto"/>
        </w:rPr>
        <w:t>Jason Stewart</w:t>
      </w:r>
    </w:p>
    <w:p>
      <w:pPr>
        <w:spacing w:after="0" w:line="205" w:lineRule="auto"/>
        <w:rPr>
          <w:sz w:val="20"/>
          <w:szCs w:val="20"/>
          <w:color w:val="auto"/>
        </w:rPr>
      </w:pPr>
      <w:r>
        <w:rPr>
          <w:rFonts w:ascii="Arial" w:cs="Arial" w:eastAsia="Arial" w:hAnsi="Arial"/>
          <w:sz w:val="22"/>
          <w:szCs w:val="22"/>
          <w:color w:val="auto"/>
        </w:rPr>
        <w:t>Senior Director Public Relations and Marketing</w:t>
      </w:r>
    </w:p>
    <w:p>
      <w:pPr>
        <w:spacing w:after="0" w:line="205" w:lineRule="auto"/>
        <w:rPr>
          <w:sz w:val="20"/>
          <w:szCs w:val="20"/>
          <w:color w:val="auto"/>
        </w:rPr>
      </w:pPr>
      <w:r>
        <w:rPr>
          <w:rFonts w:ascii="Arial" w:cs="Arial" w:eastAsia="Arial" w:hAnsi="Arial"/>
          <w:sz w:val="22"/>
          <w:szCs w:val="22"/>
          <w:color w:val="auto"/>
        </w:rPr>
        <w:t>914-421-5336</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563C1"/>
        </w:rPr>
        <w:t>jstewart@opalfuels.com</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auto"/>
        </w:rPr>
        <w:t>ICR, Inc.</w:t>
      </w:r>
    </w:p>
    <w:p>
      <w:pPr>
        <w:spacing w:after="0"/>
        <w:rPr>
          <w:sz w:val="20"/>
          <w:szCs w:val="20"/>
          <w:color w:val="auto"/>
        </w:rPr>
      </w:pPr>
      <w:r>
        <w:rPr>
          <w:rFonts w:ascii="Arial" w:cs="Arial" w:eastAsia="Arial" w:hAnsi="Arial"/>
          <w:sz w:val="22"/>
          <w:szCs w:val="22"/>
          <w:u w:val="single" w:color="auto"/>
          <w:color w:val="0563C1"/>
        </w:rPr>
        <w:t>OPALFuelsPR@icrinc.com</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sectPr>
      <w:pgSz w:w="11900" w:h="16838" w:orient="portrait"/>
      <w:cols w:equalWidth="0" w:num="1">
        <w:col w:w="11240"/>
      </w:cols>
      <w:pgMar w:left="320" w:top="14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2023-10-31T07:57:25Z</dcterms:created>
  <dcterms:modified xsi:type="dcterms:W3CDTF">2023-10-31T07:57:25Z</dcterms:modified>
</cp:coreProperties>
</file>