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160" w:type="dxa"/>
            <w:vAlign w:val="bottom"/>
          </w:tcPr>
          <w:p>
            <w:pPr>
              <w:jc w:val="center"/>
              <w:ind w:right="2199"/>
              <w:spacing w:after="0"/>
              <w:rPr>
                <w:sz w:val="20"/>
                <w:szCs w:val="20"/>
                <w:color w:val="auto"/>
              </w:rPr>
            </w:pPr>
            <w:r>
              <w:rPr>
                <w:rFonts w:ascii="Arial" w:cs="Arial" w:eastAsia="Arial" w:hAnsi="Arial"/>
                <w:sz w:val="18"/>
                <w:szCs w:val="18"/>
                <w:b w:val="1"/>
                <w:bCs w:val="1"/>
                <w:color w:val="auto"/>
                <w:w w:val="90"/>
              </w:rPr>
              <w:t>Cayman Islands</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001-40272</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98-1578357</w:t>
            </w:r>
          </w:p>
        </w:tc>
      </w:tr>
      <w:tr>
        <w:trPr>
          <w:trHeight w:val="148"/>
        </w:trPr>
        <w:tc>
          <w:tcPr>
            <w:tcW w:w="4160" w:type="dxa"/>
            <w:vAlign w:val="bottom"/>
          </w:tcPr>
          <w:p>
            <w:pPr>
              <w:jc w:val="center"/>
              <w:ind w:right="21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160" w:type="dxa"/>
            <w:vAlign w:val="bottom"/>
          </w:tcPr>
          <w:p>
            <w:pPr>
              <w:jc w:val="center"/>
              <w:ind w:right="2199"/>
              <w:spacing w:after="0"/>
              <w:rPr>
                <w:sz w:val="20"/>
                <w:szCs w:val="20"/>
                <w:color w:val="auto"/>
              </w:rPr>
            </w:pPr>
            <w:r>
              <w:rPr>
                <w:rFonts w:ascii="Arial" w:cs="Arial" w:eastAsia="Arial" w:hAnsi="Arial"/>
                <w:sz w:val="14"/>
                <w:szCs w:val="14"/>
                <w:b w:val="1"/>
                <w:bCs w:val="1"/>
                <w:color w:val="auto"/>
                <w:w w:val="94"/>
              </w:rPr>
              <w:t>incorporation or organization)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160" w:type="dxa"/>
            <w:vAlign w:val="bottom"/>
          </w:tcPr>
          <w:p>
            <w:pPr>
              <w:jc w:val="center"/>
              <w:ind w:left="1299"/>
              <w:spacing w:after="0"/>
              <w:rPr>
                <w:sz w:val="20"/>
                <w:szCs w:val="20"/>
                <w:color w:val="auto"/>
              </w:rPr>
            </w:pPr>
            <w:r>
              <w:rPr>
                <w:rFonts w:ascii="Arial" w:cs="Arial" w:eastAsia="Arial" w:hAnsi="Arial"/>
                <w:sz w:val="18"/>
                <w:szCs w:val="18"/>
                <w:b w:val="1"/>
                <w:bCs w:val="1"/>
                <w:color w:val="auto"/>
                <w:w w:val="91"/>
              </w:rPr>
              <w:t>200 Clarendon Street, 55</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160" w:type="dxa"/>
            <w:vAlign w:val="bottom"/>
          </w:tcPr>
          <w:p>
            <w:pPr>
              <w:jc w:val="center"/>
              <w:ind w:left="1279"/>
              <w:spacing w:after="0"/>
              <w:rPr>
                <w:sz w:val="20"/>
                <w:szCs w:val="20"/>
                <w:color w:val="auto"/>
              </w:rPr>
            </w:pPr>
            <w:r>
              <w:rPr>
                <w:rFonts w:ascii="Arial" w:cs="Arial" w:eastAsia="Arial" w:hAnsi="Arial"/>
                <w:sz w:val="18"/>
                <w:szCs w:val="18"/>
                <w:b w:val="1"/>
                <w:bCs w:val="1"/>
                <w:color w:val="auto"/>
                <w:w w:val="91"/>
              </w:rPr>
              <w:t>Boston, MA</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02116</w:t>
            </w:r>
          </w:p>
        </w:tc>
      </w:tr>
      <w:tr>
        <w:trPr>
          <w:trHeight w:val="186"/>
        </w:trPr>
        <w:tc>
          <w:tcPr>
            <w:tcW w:w="4160" w:type="dxa"/>
            <w:vAlign w:val="bottom"/>
          </w:tcPr>
          <w:p>
            <w:pPr>
              <w:jc w:val="center"/>
              <w:ind w:left="1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(617) 531-6300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Share, $0.0001 par value, and one-fifth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 each whole warrant exercisable for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7"/>
              </w:rPr>
              <w:t>$11.50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9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May 20, 2021, 27,627,174 Class A ordinary shares, par value $0.0001, and 6,810,326 Class B ordinary shares, par value $0.0001,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0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0" w:type="dxa"/>
            <w:vAlign w:val="bottom"/>
            <w:gridSpan w:val="22"/>
            <w:vMerge w:val="restart"/>
          </w:tcPr>
          <w:p>
            <w:pPr>
              <w:ind w:left="36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56"/>
        </w:trPr>
        <w:tc>
          <w:tcPr>
            <w:tcW w:w="10400" w:type="dxa"/>
            <w:vAlign w:val="bottom"/>
            <w:gridSpan w:val="22"/>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w:t>
              </w:r>
            </w:hyperlink>
          </w:p>
        </w:tc>
        <w:tc>
          <w:tcPr>
            <w:tcW w:w="7920" w:type="dxa"/>
            <w:vAlign w:val="bottom"/>
            <w:gridSpan w:val="1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Balance Sheet as of March 31, 2021 (unaudited)</w:t>
              </w:r>
            </w:hyperlink>
          </w:p>
        </w:tc>
        <w:tc>
          <w:tcPr>
            <w:tcW w:w="510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Unaudited Condensed Statement of Operations for the period from January 13, 2021 (inception) through March 31, 2021</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Statement of Changes in Shareholders’ Equity for the period from January 13, 2021 (inception) through</w:t>
              </w:r>
            </w:hyperlink>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March 31, 2021</w:t>
              </w:r>
            </w:hyperlink>
          </w:p>
        </w:tc>
        <w:tc>
          <w:tcPr>
            <w:tcW w:w="8280" w:type="dxa"/>
            <w:vAlign w:val="bottom"/>
            <w:gridSpan w:val="1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7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Statement of Cash Flows for the period from January 13, 2021 (inception) through March 31, 2021</w:t>
              </w:r>
            </w:hyperlink>
          </w:p>
        </w:tc>
        <w:tc>
          <w:tcPr>
            <w:tcW w:w="6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44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29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Controls and Procedures</w:t>
              </w:r>
            </w:hyperlink>
          </w:p>
        </w:tc>
        <w:tc>
          <w:tcPr>
            <w:tcW w:w="2560" w:type="dxa"/>
            <w:vAlign w:val="bottom"/>
            <w:tcBorders>
              <w:top w:val="single" w:sz="8" w:color="0000EE"/>
            </w:tcBorders>
            <w:gridSpan w:val="6"/>
          </w:tcPr>
          <w:p>
            <w:pPr>
              <w:spacing w:after="0"/>
              <w:rPr>
                <w:sz w:val="17"/>
                <w:szCs w:val="17"/>
                <w:color w:val="auto"/>
              </w:rPr>
            </w:pPr>
          </w:p>
        </w:tc>
        <w:tc>
          <w:tcPr>
            <w:tcW w:w="508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400" w:type="dxa"/>
            <w:vAlign w:val="bottom"/>
            <w:gridSpan w:val="22"/>
          </w:tcPr>
          <w:p>
            <w:pPr>
              <w:ind w:left="360"/>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9440" w:type="dxa"/>
            <w:vAlign w:val="bottom"/>
            <w:gridSpan w:val="2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Risk Factors</w:t>
              </w:r>
            </w:hyperlink>
          </w:p>
        </w:tc>
        <w:tc>
          <w:tcPr>
            <w:tcW w:w="420" w:type="dxa"/>
            <w:vAlign w:val="bottom"/>
            <w:tcBorders>
              <w:top w:val="single" w:sz="8" w:color="0000EE"/>
            </w:tcBorders>
            <w:gridSpan w:val="3"/>
          </w:tcPr>
          <w:p>
            <w:pPr>
              <w:spacing w:after="0"/>
              <w:rPr>
                <w:sz w:val="17"/>
                <w:szCs w:val="17"/>
                <w:color w:val="auto"/>
              </w:rPr>
            </w:pPr>
          </w:p>
        </w:tc>
        <w:tc>
          <w:tcPr>
            <w:tcW w:w="810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63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 from Registered Securities</w:t>
              </w:r>
            </w:hyperlink>
          </w:p>
        </w:tc>
        <w:tc>
          <w:tcPr>
            <w:tcW w:w="312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Defaults Upon Senior Securities</w:t>
              </w:r>
            </w:hyperlink>
          </w:p>
        </w:tc>
        <w:tc>
          <w:tcPr>
            <w:tcW w:w="710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7660" w:type="dxa"/>
            <w:vAlign w:val="bottom"/>
            <w:gridSpan w:val="1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44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8120" w:type="dxa"/>
            <w:vAlign w:val="bottom"/>
            <w:gridSpan w:val="1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SIGNATURES</w:t>
        </w:r>
      </w:hyperlink>
    </w:p>
    <w:p>
      <w:pPr>
        <w:sectPr>
          <w:pgSz w:w="11900" w:h="16838" w:orient="portrait"/>
          <w:cols w:equalWidth="0" w:num="1">
            <w:col w:w="11080"/>
          </w:cols>
          <w:pgMar w:left="320" w:top="459"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rPr>
              <w:t>ARCLIGHT CLEAN TRANSITION CORP. II</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UNAUDITED CONDENSED BALANCE SHEET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MARCH 31, 2021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2,797,895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1,409,464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4,207,359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311,163,203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315,370,562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1,694,343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93,534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Accrued expenses-related party</w:t>
            </w:r>
          </w:p>
        </w:tc>
        <w:tc>
          <w:tcPr>
            <w:tcW w:w="10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1,797,877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Deferred underwriting commissions</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10,890,707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14,724,600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27,413,184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Class A ordinary shares; 28,295,737 shares subject to possible redemption at $10.00 per share</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282,957,370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Preference shares, $0.0001 par value; 5,000,000 shares authorized; none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Class A ordinary shares, $0.0001 par value; 500,000,000 shares authorized; 2,820,568 shares issued and outstanding (excluding</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28,295,737 shares subject to possible redemption)</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Class B ordinary shares, $0.0001 par value; 50,000,000 shares authorized; 7,779,076 shares issued and outstanding</w:t>
            </w:r>
          </w:p>
        </w:tc>
        <w:tc>
          <w:tcPr>
            <w:tcW w:w="10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5,318,731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(319,783)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315,370,562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4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1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760" w:type="dxa"/>
            <w:vAlign w:val="bottom"/>
          </w:tcPr>
          <w:p>
            <w:pPr>
              <w:jc w:val="center"/>
              <w:ind w:right="150"/>
              <w:spacing w:after="0"/>
              <w:rPr>
                <w:sz w:val="20"/>
                <w:szCs w:val="20"/>
                <w:color w:val="auto"/>
              </w:rPr>
            </w:pPr>
            <w:r>
              <w:rPr>
                <w:rFonts w:ascii="Arial" w:cs="Arial" w:eastAsia="Arial" w:hAnsi="Arial"/>
                <w:sz w:val="18"/>
                <w:szCs w:val="18"/>
                <w:b w:val="1"/>
                <w:bCs w:val="1"/>
                <w:color w:val="auto"/>
              </w:rPr>
              <w:t>ARCLIGHT CLEAN TRANSITION CORP. II</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UNAUDITED CONDENSED STATEMENT OF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76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FOR THE PERIOD FROM JANUARY 13, 2021 (INCEPTION) THROUGH MARCH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128,476</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271,160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(191,307)</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(319,783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Weighted average shares outstanding of Redeemable Class A ordinary shares subject to redemption,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6"/>
              </w:rPr>
              <w:t>28,282,899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Non-Redeemable Class A and Class B ordinary shares,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7,243,737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ordinary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00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4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JANUARY 13, 2021 (INCEPTION) THROUGH MARCH 31,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460" w:type="dxa"/>
            <w:vAlign w:val="bottom"/>
          </w:tcPr>
          <w:p>
            <w:pPr>
              <w:spacing w:after="0"/>
              <w:rPr>
                <w:sz w:val="12"/>
                <w:szCs w:val="12"/>
                <w:color w:val="auto"/>
              </w:rPr>
            </w:pPr>
          </w:p>
        </w:tc>
        <w:tc>
          <w:tcPr>
            <w:tcW w:w="1200" w:type="dxa"/>
            <w:vAlign w:val="bottom"/>
            <w:tcBorders>
              <w:bottom w:val="single" w:sz="8" w:color="auto"/>
            </w:tcBorders>
            <w:gridSpan w:val="2"/>
          </w:tcPr>
          <w:p>
            <w:pPr>
              <w:ind w:left="660"/>
              <w:spacing w:after="0" w:line="142" w:lineRule="exact"/>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bottom w:val="single" w:sz="8" w:color="auto"/>
            </w:tcBorders>
            <w:gridSpan w:val="2"/>
          </w:tcPr>
          <w:p>
            <w:pPr>
              <w:ind w:left="560"/>
              <w:spacing w:after="0" w:line="142" w:lineRule="exact"/>
              <w:rPr>
                <w:sz w:val="20"/>
                <w:szCs w:val="20"/>
                <w:color w:val="auto"/>
              </w:rPr>
            </w:pPr>
            <w:r>
              <w:rPr>
                <w:rFonts w:ascii="Arial" w:cs="Arial" w:eastAsia="Arial" w:hAnsi="Arial"/>
                <w:sz w:val="14"/>
                <w:szCs w:val="14"/>
                <w:b w:val="1"/>
                <w:bCs w:val="1"/>
                <w:color w:val="auto"/>
                <w:w w:val="93"/>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2"/>
                <w:szCs w:val="12"/>
                <w:color w:val="auto"/>
              </w:rPr>
            </w:pPr>
          </w:p>
        </w:tc>
        <w:tc>
          <w:tcPr>
            <w:tcW w:w="9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460" w:type="dxa"/>
            <w:vAlign w:val="bottom"/>
          </w:tcPr>
          <w:p>
            <w:pPr>
              <w:spacing w:after="0"/>
              <w:rPr>
                <w:sz w:val="12"/>
                <w:szCs w:val="12"/>
                <w:color w:val="auto"/>
              </w:rPr>
            </w:pPr>
          </w:p>
        </w:tc>
        <w:tc>
          <w:tcPr>
            <w:tcW w:w="120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280" w:type="dxa"/>
            <w:vAlign w:val="bottom"/>
          </w:tcPr>
          <w:p>
            <w:pPr>
              <w:spacing w:after="0"/>
              <w:rPr>
                <w:sz w:val="12"/>
                <w:szCs w:val="12"/>
                <w:color w:val="auto"/>
              </w:rPr>
            </w:pPr>
          </w:p>
        </w:tc>
        <w:tc>
          <w:tcPr>
            <w:tcW w:w="10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13, 2021 (inception)</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Issuance of Class B ordinary shares to</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Sponsor</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7,906,250</w:t>
            </w:r>
          </w:p>
        </w:tc>
        <w:tc>
          <w:tcPr>
            <w:tcW w:w="1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24,209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units in initial public offering, less</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public warrants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31,116,305</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3,112</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3"/>
              </w:rPr>
              <w:t>305,211,708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305,214,820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Offering costs</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(17,138,390)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(17,138,390)</w:t>
            </w: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private placement warrants to</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Sponsor less fair value of private warrants</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175,731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175,731</w:t>
            </w: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Forfeiture of Class B ordinary shares from</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Sponsor</w:t>
            </w:r>
          </w:p>
        </w:tc>
        <w:tc>
          <w:tcPr>
            <w:tcW w:w="12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(127,174)</w:t>
            </w:r>
          </w:p>
        </w:tc>
        <w:tc>
          <w:tcPr>
            <w:tcW w:w="1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Shares subject to possible redemption</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(28,295,737)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(2,830)</w:t>
            </w: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(282,954,540)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(282,957,370)</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(319,783)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(319,783)</w:t>
            </w:r>
          </w:p>
        </w:tc>
      </w:tr>
      <w:tr>
        <w:trPr>
          <w:trHeight w:val="27"/>
        </w:trPr>
        <w:tc>
          <w:tcPr>
            <w:tcW w:w="34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2021 (unaudited)</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2,820,568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282</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4"/>
              </w:rPr>
              <w:t>7,779,076</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778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5,318,731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(319,783)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5,000,008</w:t>
            </w:r>
          </w:p>
        </w:tc>
      </w:tr>
      <w:tr>
        <w:trPr>
          <w:trHeight w:val="20"/>
        </w:trPr>
        <w:tc>
          <w:tcPr>
            <w:tcW w:w="3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99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rPr>
              <w:t>ARCLIGHT CLEAN TRANSITION CORP. II</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20" w:type="dxa"/>
            <w:vAlign w:val="bottom"/>
          </w:tcPr>
          <w:p>
            <w:pPr>
              <w:jc w:val="center"/>
              <w:spacing w:after="0"/>
              <w:rPr>
                <w:sz w:val="20"/>
                <w:szCs w:val="20"/>
                <w:color w:val="auto"/>
              </w:rPr>
            </w:pPr>
            <w:r>
              <w:rPr>
                <w:rFonts w:ascii="Arial" w:cs="Arial" w:eastAsia="Arial" w:hAnsi="Arial"/>
                <w:sz w:val="18"/>
                <w:szCs w:val="18"/>
                <w:b w:val="1"/>
                <w:bCs w:val="1"/>
                <w:color w:val="auto"/>
                <w:w w:val="99"/>
              </w:rPr>
              <w:t>UNAUDITED CONDENSED STATEMENT OF CASH FLOWS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FOR THE PERIOD FROM JANUARY 13, 2021 (INCEPTION) THROUGH MARCH 31, 2021</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(319,783)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 paid by related party in exchange for issuance of Class B ordinary shares</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 paid by related party under promissory note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derivative warrant liabilities</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(271,160)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Financing costs - warrant liabilities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Net gain on investments held in Trust Account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(1,409,464)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1,442,343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23,534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expenses-related party</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Cash deposited in Trust Account</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(311,163,050)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(311,163,050)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note payable to related party</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Repayment of note payable to related party</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(171,742)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311,163,050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Arial" w:cs="Arial" w:eastAsia="Arial" w:hAnsi="Arial"/>
                <w:sz w:val="18"/>
                <w:szCs w:val="18"/>
                <w:color w:val="auto"/>
              </w:rPr>
              <w:t>Proceeds received from private placement</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9,223,261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(6,243,461)</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313,971,208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2,797,895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60" w:type="dxa"/>
            <w:vAlign w:val="bottom"/>
            <w:gridSpan w:val="2"/>
          </w:tcPr>
          <w:p>
            <w:pPr>
              <w:spacing w:after="0"/>
              <w:rPr>
                <w:sz w:val="20"/>
                <w:szCs w:val="20"/>
                <w:color w:val="auto"/>
              </w:rPr>
            </w:pPr>
            <w:r>
              <w:rPr>
                <w:rFonts w:ascii="Arial" w:cs="Arial" w:eastAsia="Arial" w:hAnsi="Arial"/>
                <w:sz w:val="18"/>
                <w:szCs w:val="18"/>
                <w:b w:val="1"/>
                <w:bCs w:val="1"/>
                <w:color w:val="auto"/>
              </w:rPr>
              <w:t>Cash - beginning of the period</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ending of the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2,797,895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 costs included in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Offering costs included in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 costs paid by related party under promissory note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144,842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Deferred underwriting commissions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10,890,707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Initial value of Class A ordinary shares subject to possible redemption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282,777,640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tcPr>
          <w:p>
            <w:pPr>
              <w:ind w:left="360"/>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179,730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Forfeiture of Class B ordinary shares from Sponsor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4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Business Operations and Basis of Presentation</w:t>
      </w:r>
    </w:p>
    <w:p>
      <w:pPr>
        <w:spacing w:after="0" w:line="121" w:lineRule="exact"/>
        <w:rPr>
          <w:sz w:val="20"/>
          <w:szCs w:val="20"/>
          <w:color w:val="auto"/>
        </w:rPr>
      </w:pPr>
    </w:p>
    <w:p>
      <w:pPr>
        <w:ind w:left="120" w:right="660" w:firstLine="440"/>
        <w:spacing w:after="0" w:line="311" w:lineRule="auto"/>
        <w:rPr>
          <w:sz w:val="20"/>
          <w:szCs w:val="20"/>
          <w:color w:val="auto"/>
        </w:rPr>
      </w:pPr>
      <w:r>
        <w:rPr>
          <w:rFonts w:ascii="Arial" w:cs="Arial" w:eastAsia="Arial" w:hAnsi="Arial"/>
          <w:sz w:val="16"/>
          <w:szCs w:val="16"/>
          <w:color w:val="auto"/>
        </w:rPr>
        <w:t>ArcLight Clean Transition Corp. II (the “Company”) is a blank check company incorporated as a Cayman Islands exempted company on January 13, 2021. The Company was incorporated for the purpose of effecting a merger, share exchange, asset acquisition, share purchase, reorganization or similar business combination with one or more businesses that the Company has not yet identified (“Business Combination”).</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As of March 31, 2021, the Company had not yet commenced operations. All activity for the period from January 13, 2021 (inception) through March 31, 2021 relates to the Company’s formation and the initial public offering (the “Initial Public Offering”), which is described below, and, since the closing of the Initial Public Offering, a search for a business combination candidate. The Company will not generate any operating revenues until after the completion of its initial Business Combination, at the earliest. The Company will generate non-operating income in the form of interest income from the proceeds derived from the Initial Public Offering. The Company has selected December 31 as its fiscal year end.</w:t>
      </w:r>
    </w:p>
    <w:p>
      <w:pPr>
        <w:spacing w:after="0" w:line="176"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Company’s sponsor is ArcLight CTC Holdings II, L.P., a Delaware limited partnership (“Sponsor”). The registration statement for the Company’s Initial Public Offering was declared effective on March 22, 2021. On March 25, 2021, the Company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(see Note 3), and incurring offering costs of approximately $17.6 million, of which approximately</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$10.9 million was for deferred underwriting commissions (see Note 6).</w:t>
      </w:r>
    </w:p>
    <w:p>
      <w:pPr>
        <w:spacing w:after="0" w:line="21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9,223,261 warrants (each, a “Private Placement Warrant” and collectively, the “Private Placement Warrants”), at a price of $1.00 per Private Placement Warrant with the Sponsor, generating gross proceeds of approximately $9.2 million (see Note 4).</w:t>
      </w:r>
    </w:p>
    <w:p>
      <w:pPr>
        <w:spacing w:after="0" w:line="18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its Initial Public Offering and the sale of Private Placement Warrants, although substantially all of the net proceeds are intended to be applied generally toward consummating a Business Combination. The Company’s initial Business Combination must be with one or more operating businesses or assets with a fair market value equal to at least 80% of the net assets held in the Trust Account (excluding the deferred underwriting commissions and taxes payable on the interest earned on the Trust Account) at the time the Company signs a definitive agreement in connection with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will provide its holders of the Public Shares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($10.00 per share, plus any pro rata interest earned on the funds held in the Trust Account and not previously released to the Company to pay its tax obligations). The per-share amount to be distributed to Public Shareholders who redeem their Public Shares will not be reduced by</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deferred underwriting commissions the Company will pay to the underwriters (as discussed in Note 6). These Public Shares were recorded at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redemption value and classified as temporary equity, in accordance with Accounting Standards Codification (“ASC”) Topic 480 “Distinguishing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Liabilities from Equity.” In such case, the Company will proceed with a Business Combination if the Company has net tangible assets of at least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$5,000,001 upon such consummation of a Business Combination and a majority of the shares voted are voted in favor of the Business Combination. If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 vote is not required by law and the Company does not decide to hold a shareholder vote for business or other legal reasons, the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 pursuant to the amended and restated memorandum and articles of association which will be adopted by the Company upon the consummation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Initial Public Offering (the “Amended and Restated Memorandum and Articles of Association”), conduct the redemptions pursuant to the tender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 rules of the U.S. Securities and Exchange Commission (the “SEC”), and file tender offer documents with the SEC prior to completing a Business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Combination. If, however, a shareholder approval of the transactions is required by law, or the Company decides to obtain shareholder approval for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or legal reasons, the Company will offer to redeem shares in conjunction with a proxy solicitation pursuant to the proxy rules and not pursuant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the tender offer rules. Additionally, each Public Shareholder may elect to redeem their Public Shares irrespective of whether they vote for or against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proposed transaction. If the Company seeks shareholder approval in connection with a Business Combination, the holders of the Founder Shares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prior to this Initial Public Offering (the “Initial Shareholders”) agreed to vote their Founder Shares (as defined in Note 5) and any Public Shares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purchased during or after the Initial Public Offering in favor of a Business Combination. In addition, the Initial Shareholders agreed to waive their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 rights with respect to their Founder Shares and Public Shares in connection with the completion of a Business Combination. In addition,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agreed not to enter into a definitive agreement regarding an initial Business Combination without the prior consent of the Sponsor.</w:t>
      </w:r>
    </w:p>
    <w:p>
      <w:pPr>
        <w:spacing w:after="0" w:line="222"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Initial Public Offering, without the prior consent of the Company.</w:t>
      </w:r>
    </w:p>
    <w:p>
      <w:pPr>
        <w:spacing w:after="0" w:line="188"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Company’s Sponsor, executive officers and directors agreed not to propose an amendment to the Company’s Amended and Restated Memorandum and Articles of Association that would affect the substance or timing of the Company’s obligation to provide for the redemption of its Public Shares in connection with a Business Combination or to redeem 100% of its Public Shares if the Company does not complete a Business Combination, unless the Company provides the Public Shareholders with the opportunity to redeem their Class A ordinary shares in conjunction with any such amendment.</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Initial Public Offering, or March 25, 2023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18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In connection with the redemption of 100% of the Company’s outstanding Public Shares for a portion of the funds held in the Trust Account, each holder will receive a full pro rata portion of the amount then in the Trust Account, plus any pro rata interest earned on the funds held in the Trust Account and not previously released to the Company to pay the Company’s taxes payable (less up to $100,000 of interest to pay dissolution expenses).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should acquire Public Shares in or after the Initial Public Offering, they will be entitled to liquidating distributions from the Trust Account with respect to such Public Shares if the Company fails to complete a Business Combination within the Combination Period. The underwriters agreed to waive their rights to their deferred underwriting commission (see Note 6) held in the Trust Account in the event the Company does not complete a Business Combination within 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agreed that it will be liable to the Company if and to the extent any claims by a third party for services rendered or products sold to the Company, or a prospective target business with which the Company has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vendors, service providers (except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As of March 31, 2021, the Company had approximately $2.8 million in its operating bank account and a working capital of approximately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$2.4 million.</w:t>
      </w:r>
    </w:p>
    <w:p>
      <w:pPr>
        <w:spacing w:after="0" w:line="211" w:lineRule="exact"/>
        <w:rPr>
          <w:sz w:val="20"/>
          <w:szCs w:val="20"/>
          <w:color w:val="auto"/>
        </w:rPr>
      </w:pPr>
    </w:p>
    <w:p>
      <w:pPr>
        <w:ind w:left="120" w:right="60" w:firstLine="991"/>
        <w:spacing w:after="0" w:line="273" w:lineRule="auto"/>
        <w:rPr>
          <w:sz w:val="20"/>
          <w:szCs w:val="20"/>
          <w:color w:val="auto"/>
        </w:rPr>
      </w:pPr>
      <w:r>
        <w:rPr>
          <w:rFonts w:ascii="Arial" w:cs="Arial" w:eastAsia="Arial" w:hAnsi="Arial"/>
          <w:sz w:val="17"/>
          <w:szCs w:val="17"/>
          <w:color w:val="auto"/>
        </w:rPr>
        <w:t>The Company’s liquidity needs up to March 31, 2021 had been satisfied through a payment of $25,000 from the Sponsor to cover certain expenses on behalf of the Company in exchange for the issuance of the Founder Shares (as defined below), the loan under the Note from the Sponsor of approximately $172,000 (see Note 5) to the Company, and the net proceeds from the consummation of the Private Placement not held in the Trust Account. The Note from the Sponsor was repaid in full on March 26, 2021. In addition, in order to finance transaction costs in connection with a Business Combination, the Company’s officers, directors and Initial Shareholders may, but are not obligated to, provide the Company Working Capital Loans (see Note 5). To date, there were no amounts outstanding under any Working Capital Loans.</w:t>
      </w:r>
    </w:p>
    <w:p>
      <w:pPr>
        <w:spacing w:after="0" w:line="178" w:lineRule="exact"/>
        <w:rPr>
          <w:sz w:val="20"/>
          <w:szCs w:val="20"/>
          <w:color w:val="auto"/>
        </w:rPr>
      </w:pPr>
    </w:p>
    <w:p>
      <w:pPr>
        <w:ind w:left="120" w:right="140" w:firstLine="991"/>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61" w:lineRule="exact"/>
        <w:rPr>
          <w:sz w:val="20"/>
          <w:szCs w:val="20"/>
          <w:color w:val="auto"/>
        </w:rPr>
      </w:pPr>
    </w:p>
    <w:p>
      <w:pPr>
        <w:ind w:left="120" w:right="340" w:firstLine="991"/>
        <w:spacing w:after="0" w:line="263" w:lineRule="auto"/>
        <w:rPr>
          <w:sz w:val="20"/>
          <w:szCs w:val="20"/>
          <w:color w:val="auto"/>
        </w:rPr>
      </w:pPr>
      <w:r>
        <w:rPr>
          <w:rFonts w:ascii="Arial" w:cs="Arial" w:eastAsia="Arial" w:hAnsi="Arial"/>
          <w:sz w:val="18"/>
          <w:szCs w:val="18"/>
          <w:color w:val="auto"/>
        </w:rPr>
        <w:t>Management continues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180" w:firstLine="991"/>
        <w:spacing w:after="0" w:line="296" w:lineRule="auto"/>
        <w:rPr>
          <w:sz w:val="20"/>
          <w:szCs w:val="20"/>
          <w:color w:val="auto"/>
        </w:rPr>
      </w:pPr>
      <w:r>
        <w:rPr>
          <w:rFonts w:ascii="Arial" w:cs="Arial" w:eastAsia="Arial" w:hAnsi="Arial"/>
          <w:sz w:val="16"/>
          <w:szCs w:val="16"/>
          <w:color w:val="auto"/>
        </w:rPr>
        <w:t>The accompanying unaudited condensed financial statements of the Company have been prepared in accordance with accounting principles generally accepted in the United States (“U.S. GAAP”) for interim financial information and Article 8 of Regulation S-X. Accordingly, they do not include all of the information and footnotes required by U.S. GAAP. In the opinion of management, all adjustments (consisting of normal accruals) considered for a fair presentation have been included. Operating results for the period from January 13, 2021 (Inception) through March 31, 2021 are not necessarily indicative of the results that may be expected for the period from January 13, 2021 (inception) through December 31, 2021.</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shareholder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ind w:left="120" w:right="20" w:firstLine="991"/>
        <w:spacing w:after="0" w:line="28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w:t>
      </w:r>
    </w:p>
    <w:p>
      <w:pPr>
        <w:spacing w:after="0" w:line="1" w:lineRule="exact"/>
        <w:rPr>
          <w:sz w:val="20"/>
          <w:szCs w:val="20"/>
          <w:color w:val="auto"/>
        </w:rPr>
      </w:pPr>
    </w:p>
    <w:p>
      <w:pPr>
        <w:ind w:left="120" w:right="160"/>
        <w:spacing w:after="0" w:line="302" w:lineRule="auto"/>
        <w:rPr>
          <w:sz w:val="20"/>
          <w:szCs w:val="20"/>
          <w:color w:val="auto"/>
        </w:rPr>
      </w:pPr>
      <w:r>
        <w:rPr>
          <w:rFonts w:ascii="Arial" w:cs="Arial" w:eastAsia="Arial" w:hAnsi="Arial"/>
          <w:sz w:val="16"/>
          <w:szCs w:val="16"/>
          <w:color w:val="auto"/>
        </w:rPr>
        <w:t>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55" w:lineRule="exact"/>
        <w:rPr>
          <w:sz w:val="20"/>
          <w:szCs w:val="20"/>
          <w:color w:val="auto"/>
        </w:rPr>
      </w:pPr>
    </w:p>
    <w:p>
      <w:pPr>
        <w:ind w:left="120" w:right="360" w:firstLine="991"/>
        <w:spacing w:after="0" w:line="263" w:lineRule="auto"/>
        <w:rPr>
          <w:sz w:val="20"/>
          <w:szCs w:val="20"/>
          <w:color w:val="auto"/>
        </w:rPr>
      </w:pPr>
      <w:r>
        <w:rPr>
          <w:rFonts w:ascii="Arial" w:cs="Arial" w:eastAsia="Arial" w:hAnsi="Arial"/>
          <w:sz w:val="18"/>
          <w:szCs w:val="18"/>
          <w:color w:val="auto"/>
        </w:rPr>
        <w:t>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120" w:firstLine="991"/>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 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Accordingly, the actual results could differ significantly from those estimates.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Company considers all short-term investments with an original maturity of three months or less when purchased to be cash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equivalents.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Investments Held in Trust Account</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Company’s portfolio of investments is comprised solely of U.S. government securities, within the meaning set forth in Section 2(a)</w:t>
      </w:r>
    </w:p>
    <w:p>
      <w:pPr>
        <w:spacing w:after="0" w:line="46" w:lineRule="exact"/>
        <w:rPr>
          <w:sz w:val="20"/>
          <w:szCs w:val="20"/>
          <w:color w:val="auto"/>
        </w:rPr>
      </w:pPr>
    </w:p>
    <w:p>
      <w:pPr>
        <w:ind w:left="120" w:right="260" w:hanging="4"/>
        <w:spacing w:after="0" w:line="292" w:lineRule="auto"/>
        <w:tabs>
          <w:tab w:leader="none" w:pos="465" w:val="left"/>
        </w:tabs>
        <w:numPr>
          <w:ilvl w:val="0"/>
          <w:numId w:val="3"/>
        </w:numPr>
        <w:rPr>
          <w:rFonts w:ascii="Arial" w:cs="Arial" w:eastAsia="Arial" w:hAnsi="Arial"/>
          <w:sz w:val="16"/>
          <w:szCs w:val="16"/>
          <w:color w:val="auto"/>
        </w:rPr>
      </w:pPr>
      <w:r>
        <w:rPr>
          <w:rFonts w:ascii="Arial" w:cs="Arial" w:eastAsia="Arial" w:hAnsi="Arial"/>
          <w:sz w:val="16"/>
          <w:szCs w:val="16"/>
          <w:color w:val="auto"/>
        </w:rPr>
        <w:t>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securities is included in net gain on investments, dividends and interest held in Trust Account in the accompanying unaudited condensed statement of operations. The estimated fair values of investments held in the Trust Account are determined using available market information.</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140" w:firstLine="991"/>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 $250,000, and investments held in Trust Account. At March 31, 2021, the Company has not experienced losses on these accounts and management believes the Company is not exposed to significant risks on such accounts.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left="120" w:right="460" w:firstLine="991"/>
        <w:spacing w:after="0" w:line="263"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184" w:lineRule="exact"/>
        <w:rPr>
          <w:sz w:val="20"/>
          <w:szCs w:val="20"/>
          <w:color w:val="auto"/>
        </w:rPr>
      </w:pPr>
    </w:p>
    <w:p>
      <w:pPr>
        <w:ind w:left="120" w:right="940" w:firstLine="991"/>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200" w:firstLine="991"/>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firstLine="991"/>
        <w:spacing w:after="0" w:line="279" w:lineRule="auto"/>
        <w:rPr>
          <w:sz w:val="20"/>
          <w:szCs w:val="20"/>
          <w:color w:val="auto"/>
        </w:rPr>
      </w:pPr>
      <w:r>
        <w:rPr>
          <w:rFonts w:ascii="Arial" w:cs="Arial" w:eastAsia="Arial" w:hAnsi="Arial"/>
          <w:sz w:val="17"/>
          <w:szCs w:val="17"/>
          <w:color w:val="auto"/>
        </w:rPr>
        <w:t>As of March 31, 2021, the carrying values of cash, accounts payable and accrued expenses approximate their fair values due to the short-term nature of the instruments. The Company’s portfolio of investments held in the Trust Account is comprised of investments in U.S. Treasury securities with an original maturity of 185 days or less or investments in money market funds that invest in U.S. government securities, or a combination thereof. The fair value for trading securities is determined using quoted market prices in active markets.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share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Company issued an aggregate of 6,223,261 ordinary shares warrants associated with Units issued to investors in our Initial Public Offering and the underwriters’ exercise of their overallotment option and we issued 9,223,261 Private Placement Warrants. All of our outstanding warrants are recognized as derivative liabilities in accordance with ASC 815-40.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17"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Offering costs consisted of legal, accounting, underwriting and other costs incurred that were directly related to the Initial Public Offering. Offering costs are allocated to the separable financial instruments issued in the Initial Public Offering based on a relative fair value basis, compared to total proceeds received. Offering costs associated with warrant liabilities are expensed as incurred, presented as non-operating expenses in the statement of operations. Offering costs associated with the Class A ordinary shares were charged to shareholders’ equity upon the completion of the Initial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40" w:firstLine="991"/>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March 31, 2021, 28,295,737 Class A ordinary shares subject to possible redemption are presented as temporary equity, outside of the shareholders’ equity section of the Company’s balance sheet.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Company complies with the accounting and reporting requirements of ASC Topic 740, “Income Taxes,”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Company’s management determined that the Cayman Islands is the Company’s only major tax jurisdiction. The Company recognizes accrued interest and penalties related to unrecognized tax benefits as income tax expense. There were no unrecognized tax benefits and no amounts accrued for interest and penalties as of March 31, 2021. The Company is currently not aware of any issues under review that could result in significant payments, accruals or material deviation from its position.</w:t>
      </w:r>
    </w:p>
    <w:p>
      <w:pPr>
        <w:spacing w:after="0" w:line="178"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There is currently no taxation imposed on income by the Government of the Cayman Islands. In accordance with Cayman federal income tax regulations, income taxes are not levied on the Company. Consequently, income taxes are not reflected in the Company’s financial statement. The Company’s management does not expect that the total amount of unrecognized tax benefits will materially change over the next twelve months.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The Company complies with accounting and disclosure requirements of FASB ASC Topic 260, “Earnings Per Share.” Net loss per share is computed by dividing net loss by the weighted average number of shares of ordinary shares outstanding during the period excluding ordinary shares subject to forfeiture. An aggregate of 28,295,737 shares of Class A ordinary shares subject to possible redemption at March 31, 2021 has been excluded from the calculation of basic loss per share ordinary share, since such shares, if redeemed, only participate in their pro rata share of the trust earnings. The Company has not considered the effect of the warrants sold in the Initial Public Offering (including the consummation of the Over-Allotment Units) and Private Placement to purchase an aggregate of 15,446,522 shares of the Company’s ordinary shares in the calculation of diluted loss per share, since the exercise of the warrants are contingent upon the occurrence of future events and the inclusion of such warrants would be anti-dilutive.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firstLine="991"/>
        <w:spacing w:after="0" w:line="301" w:lineRule="auto"/>
        <w:rPr>
          <w:sz w:val="20"/>
          <w:szCs w:val="20"/>
          <w:color w:val="auto"/>
        </w:rPr>
      </w:pPr>
      <w:r>
        <w:rPr>
          <w:rFonts w:ascii="Arial" w:cs="Arial" w:eastAsia="Arial" w:hAnsi="Arial"/>
          <w:sz w:val="16"/>
          <w:szCs w:val="16"/>
          <w:color w:val="auto"/>
        </w:rPr>
        <w:t>The Company’s statement of operations includes a presentation of income (loss) per share for Redeemable Class A ordinary shares in a manner similar to the two-class method of income (loss) per share. Net income per ordinary share, basic and diluted, for Redeemable Class A Ordinary Shares is calculated by dividing the proportionate share of income or loss on marketable securities held by the Trust Account, net of applicable franchise and income taxes, by the weighted average number of Ordinary shares subject to possible redemption outstanding since original issuance.</w:t>
      </w:r>
    </w:p>
    <w:p>
      <w:pPr>
        <w:spacing w:after="0" w:line="157" w:lineRule="exact"/>
        <w:rPr>
          <w:sz w:val="20"/>
          <w:szCs w:val="20"/>
          <w:color w:val="auto"/>
        </w:rPr>
      </w:pPr>
    </w:p>
    <w:p>
      <w:pPr>
        <w:ind w:left="120" w:right="360" w:firstLine="991"/>
        <w:spacing w:after="0" w:line="263" w:lineRule="auto"/>
        <w:rPr>
          <w:sz w:val="20"/>
          <w:szCs w:val="20"/>
          <w:color w:val="auto"/>
        </w:rPr>
      </w:pPr>
      <w:r>
        <w:rPr>
          <w:rFonts w:ascii="Arial" w:cs="Arial" w:eastAsia="Arial" w:hAnsi="Arial"/>
          <w:sz w:val="18"/>
          <w:szCs w:val="18"/>
          <w:color w:val="auto"/>
        </w:rPr>
        <w:t>Net loss per share, basic and diluted, for Non-Redeemable Class A and Class B Ordinary Shares is calculated by dividing the net loss, adjusted for income or loss on marketable securities attributable to Redeemable Class A Ordinary Shares, by the weighted average number of non-redeemable ordinary share outstanding for the period.</w:t>
      </w:r>
    </w:p>
    <w:p>
      <w:pPr>
        <w:spacing w:after="0" w:line="184" w:lineRule="exact"/>
        <w:rPr>
          <w:sz w:val="20"/>
          <w:szCs w:val="20"/>
          <w:color w:val="auto"/>
        </w:rPr>
      </w:pPr>
    </w:p>
    <w:p>
      <w:pPr>
        <w:jc w:val="both"/>
        <w:ind w:left="120" w:right="240" w:firstLine="991"/>
        <w:spacing w:after="0" w:line="263" w:lineRule="auto"/>
        <w:rPr>
          <w:sz w:val="20"/>
          <w:szCs w:val="20"/>
          <w:color w:val="auto"/>
        </w:rPr>
      </w:pPr>
      <w:r>
        <w:rPr>
          <w:rFonts w:ascii="Arial" w:cs="Arial" w:eastAsia="Arial" w:hAnsi="Arial"/>
          <w:sz w:val="18"/>
          <w:szCs w:val="18"/>
          <w:color w:val="auto"/>
        </w:rPr>
        <w:t>Non-Redeemable Class A and Class B Ordinary Shares includes Founder Shares and non-redeemable shares of ordinary shares as these shares do not have any redemption features. Non-Redeemable Class A and Class B Ordinary Shares participates in the income or loss on marketable securities based on non-redeemable ordinary shares’ proportionate interest.</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basic and diluted loss per common share is calculated as follows: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Class A Ordinary shares subject to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3" w:lineRule="exact"/>
        <w:rPr>
          <w:sz w:val="20"/>
          <w:szCs w:val="20"/>
          <w:color w:val="auto"/>
        </w:rPr>
      </w:pPr>
    </w:p>
    <w:p>
      <w:pPr>
        <w:ind w:left="2060"/>
        <w:spacing w:after="0"/>
        <w:rPr>
          <w:sz w:val="20"/>
          <w:szCs w:val="20"/>
          <w:color w:val="auto"/>
        </w:rPr>
      </w:pPr>
      <w:r>
        <w:rPr>
          <w:rFonts w:ascii="Arial" w:cs="Arial" w:eastAsia="Arial" w:hAnsi="Arial"/>
          <w:sz w:val="18"/>
          <w:szCs w:val="18"/>
          <w:i w:val="1"/>
          <w:iCs w:val="1"/>
          <w:color w:val="auto"/>
        </w:rPr>
        <w:t>redemption</w:t>
      </w:r>
    </w:p>
    <w:p>
      <w:pPr>
        <w:spacing w:after="0" w:line="9" w:lineRule="exact"/>
        <w:rPr>
          <w:sz w:val="20"/>
          <w:szCs w:val="20"/>
          <w:color w:val="auto"/>
        </w:rPr>
      </w:pPr>
    </w:p>
    <w:p>
      <w:pPr>
        <w:ind w:left="2060" w:right="720" w:hanging="179"/>
        <w:spacing w:after="0" w:line="250" w:lineRule="auto"/>
        <w:rPr>
          <w:sz w:val="20"/>
          <w:szCs w:val="20"/>
          <w:color w:val="auto"/>
        </w:rPr>
      </w:pPr>
      <w:r>
        <w:rPr>
          <w:rFonts w:ascii="Arial" w:cs="Arial" w:eastAsia="Arial" w:hAnsi="Arial"/>
          <w:sz w:val="18"/>
          <w:szCs w:val="18"/>
          <w:color w:val="auto"/>
        </w:rPr>
        <w:t>Numerator: Earnings allocable to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color w:val="auto"/>
        </w:rPr>
        <w:t>Income from investments held in Trust</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Account</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Less: Company’s portion available to be</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withdrawn to pay taxes</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Net income attributable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4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Denominator: Weighted average Class A</w:t>
      </w:r>
    </w:p>
    <w:p>
      <w:pPr>
        <w:spacing w:after="0" w:line="23"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20320</wp:posOffset>
            </wp:positionV>
            <wp:extent cx="474916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Basic and diluted weighted average shares</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outstanding</w:t>
      </w:r>
    </w:p>
    <w:p>
      <w:pPr>
        <w:spacing w:after="0" w:line="4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Basic and diluted net income per share</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Non-Redeemable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Numerator: Net Loss minus 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Less: Net income allocable to Class A</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ordinary shares subject to possible</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redemption</w:t>
      </w:r>
    </w:p>
    <w:p>
      <w:pPr>
        <w:spacing w:after="0" w:line="22"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Non-redeemable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43" w:lineRule="exact"/>
        <w:rPr>
          <w:sz w:val="20"/>
          <w:szCs w:val="20"/>
          <w:color w:val="auto"/>
        </w:rPr>
      </w:pPr>
    </w:p>
    <w:p>
      <w:pPr>
        <w:ind w:left="2060" w:right="740" w:hanging="179"/>
        <w:spacing w:after="0" w:line="258" w:lineRule="auto"/>
        <w:rPr>
          <w:sz w:val="20"/>
          <w:szCs w:val="20"/>
          <w:color w:val="auto"/>
        </w:rPr>
      </w:pPr>
      <w:r>
        <w:rPr>
          <w:rFonts w:ascii="Arial" w:cs="Arial" w:eastAsia="Arial" w:hAnsi="Arial"/>
          <w:sz w:val="18"/>
          <w:szCs w:val="18"/>
          <w:color w:val="auto"/>
        </w:rPr>
        <w:t>Denominator: weighted average Non-redeemable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wp:posOffset>
            </wp:positionV>
            <wp:extent cx="474916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2060" w:right="840" w:hanging="179"/>
        <w:spacing w:after="0" w:line="307" w:lineRule="auto"/>
        <w:rPr>
          <w:sz w:val="20"/>
          <w:szCs w:val="20"/>
          <w:color w:val="auto"/>
        </w:rPr>
      </w:pPr>
      <w:r>
        <w:rPr>
          <w:rFonts w:ascii="Arial" w:cs="Arial" w:eastAsia="Arial" w:hAnsi="Arial"/>
          <w:sz w:val="16"/>
          <w:szCs w:val="16"/>
          <w:color w:val="auto"/>
        </w:rPr>
        <w:t>Basic and diluted weighted average shares outstanding, Non-redeemable ordinary shares</w:t>
      </w:r>
    </w:p>
    <w:p>
      <w:pPr>
        <w:spacing w:after="0" w:line="1"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Basic and diluted net loss per share,</w:t>
      </w:r>
    </w:p>
    <w:p>
      <w:pPr>
        <w:spacing w:after="0" w:line="23" w:lineRule="exact"/>
        <w:rPr>
          <w:sz w:val="20"/>
          <w:szCs w:val="20"/>
          <w:color w:val="auto"/>
        </w:rPr>
      </w:pPr>
    </w:p>
    <w:p>
      <w:pPr>
        <w:jc w:val="right"/>
        <w:ind w:right="1760"/>
        <w:spacing w:after="0"/>
        <w:rPr>
          <w:sz w:val="20"/>
          <w:szCs w:val="20"/>
          <w:color w:val="auto"/>
        </w:rPr>
      </w:pPr>
      <w:r>
        <w:rPr>
          <w:rFonts w:ascii="Arial" w:cs="Arial" w:eastAsia="Arial" w:hAnsi="Arial"/>
          <w:sz w:val="18"/>
          <w:szCs w:val="18"/>
          <w:color w:val="auto"/>
        </w:rPr>
        <w:t>Non-redeemable ordinary shares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840"/>
        <w:spacing w:after="0"/>
        <w:rPr>
          <w:sz w:val="20"/>
          <w:szCs w:val="20"/>
          <w:color w:val="auto"/>
        </w:rPr>
      </w:pPr>
      <w:r>
        <w:rPr>
          <w:rFonts w:ascii="Arial" w:cs="Arial" w:eastAsia="Arial" w:hAnsi="Arial"/>
          <w:sz w:val="13"/>
          <w:szCs w:val="13"/>
          <w:b w:val="1"/>
          <w:bCs w:val="1"/>
          <w:color w:val="auto"/>
        </w:rPr>
        <w:t>For The Period from January 13, 2021</w:t>
      </w:r>
    </w:p>
    <w:p>
      <w:pPr>
        <w:spacing w:after="0" w:line="15"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(inception) through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139</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499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6"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499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1499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28,282,899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499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39370</wp:posOffset>
            </wp:positionV>
            <wp:extent cx="14998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5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499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31750</wp:posOffset>
            </wp:positionV>
            <wp:extent cx="1499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(319,783)</w:t>
      </w:r>
    </w:p>
    <w:p>
      <w:pPr>
        <w:spacing w:after="0" w:line="200" w:lineRule="exact"/>
        <w:rPr>
          <w:sz w:val="20"/>
          <w:szCs w:val="20"/>
          <w:color w:val="auto"/>
        </w:rPr>
      </w:pPr>
    </w:p>
    <w:p>
      <w:pPr>
        <w:spacing w:after="0" w:line="264"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4998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6"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(319,922)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499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1499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7,243,737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4998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998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39370</wp:posOffset>
            </wp:positionV>
            <wp:extent cx="1499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271"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1499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9987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46355</wp:posOffset>
            </wp:positionV>
            <wp:extent cx="14998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6180" w:space="720"/>
            <w:col w:w="4200"/>
          </w:cols>
          <w:pgMar w:left="320" w:top="459" w:right="479" w:bottom="1440" w:gutter="0" w:footer="0" w:header="0"/>
          <w:type w:val="continuous"/>
        </w:sectPr>
      </w:pPr>
    </w:p>
    <w:p>
      <w:pPr>
        <w:ind w:left="120" w:right="60" w:firstLine="991"/>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pronouncement if currently adopted would have a material effect on the Company’s financial statements.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On March 25, 2021, the Company consummated its Initial Public Offering of 31,116,305 Units, including the partial exercise of the underwriters’ option to purchase 3,616,305 Over-Allotment Units, at $10.00 per Unit, generating gross proceeds of approximately $311.2 million, and incurring offering costs of approximately $17.6 million, of which approximately $10.9 million was for deferred underwriting commissions.</w:t>
      </w:r>
    </w:p>
    <w:p>
      <w:pPr>
        <w:spacing w:after="0" w:line="16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Each Unit consists of one Class A ordinary share and one-fifth of one redeemable warrant (“Public Warrant”). Each whole Public Warrant entitles the holder to purchase one Class A ordinary share at an exercise price of $11.50 per share, subject to adjustment (see Note 7).</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Simultaneously with the closing of the Initial Public Offering, the Company consummated the Private Placement of 9,223,261 Private Placement Warrants, at a price of $1.00 per Private Placement Warrant with the Sponsor, generating gross proceeds of approximately $9.2 million.</w:t>
      </w:r>
    </w:p>
    <w:p>
      <w:pPr>
        <w:spacing w:after="0" w:line="12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Each whole Private Placement Warrant is exercisable for one whole share of Class A ordinary shares at a price of $11.50 per share. A portion of the proceeds from the sale of the Private Placement Warrants to the Sponsor was added to the proceeds from the Initial Public Offering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88"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January 20, 2021, the Sponsor paid an aggregate of $25,000 for certain expenses on behalf of the Company in exchange for issuance of 7,187,500 Class B ordinary shares (the “Founder Shares”). On February 2, 2021, the Sponsor transferred 35,000 founder shares to each of Arno Harris, Ja-Chin Audrey Lee, Brian Goncher and Steven Berkenfeld, the Company’s independent directors. On March 22, 2021, the Company effected a share capitalization resulting in an aggregate of 7,906,250 Founder Shares issued and outstanding. The Sponsor agreed to forfeit up to an aggregate of 1,031,250 Founder Shares to the extent that the option to purchase additional units is not exercised in full by the underwriters, so that the Founder Shares will represent 20% of the Company’s issued and outstanding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8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Initial Shareholders agreed not to transfer, assign or sell any of their Founder Shares until the earlier to occur of (A) one year after the completion of the initial Business Combination and (B) subsequent to the initial Business Combination, (x) if the closing price of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Public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On January 20, 2021, the Sponsor agreed to loan the Company up to $300,000 pursuant to a promissory note (the “Note”). The Note was non-interest bearing, unsecured and due upon the closing of the Initial Public Offering. For the period from January 13, 2021 (inception) through March 31, 2021, the Company borrowed approximately $172,000 under the Note and fully repaid the Note on March 26, 2021 (see Note 8).</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members of the Company’s founding team or any of their affiliates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without interest, or, at the lender’s discretion, up to $1.5 million of such Working Capital Loans may be convertible into up to 1,500,000 private placement warrants of the post Business Combination entity at a price of $1.00 per warrant. The warrants would be identical to the Private Placement Warrants. Except for the foregoing, the terms of such Working Capital Loans, if any, have not been determined and no written agreements exist with respect to such loans. As of March 31, 2021, the Company had no borrowings under the Working Capital Loans.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jc w:val="both"/>
        <w:ind w:left="120" w:right="100" w:firstLine="440"/>
        <w:spacing w:after="0" w:line="275" w:lineRule="auto"/>
        <w:rPr>
          <w:sz w:val="20"/>
          <w:szCs w:val="20"/>
          <w:color w:val="auto"/>
        </w:rPr>
      </w:pPr>
      <w:r>
        <w:rPr>
          <w:rFonts w:ascii="Arial" w:cs="Arial" w:eastAsia="Arial" w:hAnsi="Arial"/>
          <w:sz w:val="17"/>
          <w:szCs w:val="17"/>
          <w:color w:val="auto"/>
        </w:rPr>
        <w:t>On March 25, 2021, the Company entered into an agreement that provided that, commencing on the date that the Company’s securities were first listed on Nasdaq through the earlier of consummation of the initial Business Combination and the liquidation, the Company agreed to pay the Sponsor $10,000 per month for office space, secretarial and administrative services provided to the Company. The Company incurred approximately $10,000 in expenses in connection with such services during the period from January 13, 2021 (inception) ended March 31, 2021 as reflected in the accompanying statement of operations and included in accrued expenses—related party in connection with such services.</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addition, the Sponsor, officers and directors, or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by the Company to the Sponsor, executive officers or directors, or their affiliates. Any such payments prior to an initial Business Combination will be made using funds held outside the Trust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were entitled to registration rights pursuant to a registration and shareholder rights agreement signed upon the effective date of the Initial Public Offering. The holders of these securities were entitled to make up to three demands, excluding short form demands, that the Company registers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grant the underwriters a 45-day option from the date of this prospectus to purchase up to 4,125,000 additional Units at the Initial Public Offering price less the underwriting discounts and commissions. On March 25, 2021, the underwriters partially exercised the over-allotment option to purchase an additional 3,616,305 Units. The remaining unexercised over-allotment option will expire at the conclusion of the 45-day option period.</w:t>
      </w:r>
    </w:p>
    <w:p>
      <w:pPr>
        <w:spacing w:after="0" w:line="18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underwriters were entitled to an underwriting discount of $0.20 per unit, or approximately $6.2 million in the aggregate, paid upon the closing of the Initial Public Offering. In addition, $0.35 per unit, or approximately $10.9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7—Shareholders’ Equity</w:t>
      </w:r>
    </w:p>
    <w:p>
      <w:pPr>
        <w:spacing w:after="0" w:line="12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Class A Ordinary Shares </w:t>
      </w:r>
      <w:r>
        <w:rPr>
          <w:rFonts w:ascii="Arial" w:cs="Arial" w:eastAsia="Arial" w:hAnsi="Arial"/>
          <w:sz w:val="17"/>
          <w:szCs w:val="17"/>
          <w:color w:val="auto"/>
        </w:rPr>
        <w:t>— The Company is authorized to issue 500,000,000 Class A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the Company’s Class A ordinary shares are entitled to one vote for each share. At March 31, 2021, there were 31,116,305 Class A ordinary shares issued or outstanding, including 28,295,737 Class A ordinary shares subject to possible redemption.</w:t>
      </w:r>
    </w:p>
    <w:p>
      <w:pPr>
        <w:spacing w:after="0" w:line="165"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50,000,000 Class B ordinary shares with a par value of $0.0001 per share.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20, 2021, the Company issued 7,187,500 Class B ordinary shares. On March 22, 2021, the Company effected a share capitalization resulting in an aggregate of 7,906,250 Class B ordinary shares issued and outstanding. Of the 7,906,250 Class B ordinary shares outstanding, up to 1,031,250 Class B ordinary shares are subject to forfeiture, to the Company by the Initial Shareholders for no consideration to the extent that the underwriters’ over-allotment option is not exercised in full or in part, so that the Initial Shareholders will collectively own 20% of the Company’s issued and outstanding ordinary shares after the Initial Public Offering. On March 25, 2021, the underwriters partially exercised the over-allotment option to purchase an additional 3,616,305 Units with the remaining portion of the over-allotment option expiring at the conclusion of the 45-day option period. As a result, an aggregate of 127,174 Founder Shares were forfeited by the Sponsor upon the expiration of the over-allotment option.</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Ordinary shareholders of record are entitled to one vote for each share held on all matters to be voted on by shareholders. Except as described below, holders of Class A ordinary shares and holders of Class B ordinary shares will vote together as a single class on all matters submitted to a vote of the shareholders except as required by law.</w:t>
      </w:r>
    </w:p>
    <w:p>
      <w:pPr>
        <w:spacing w:after="0" w:line="184" w:lineRule="exact"/>
        <w:rPr>
          <w:sz w:val="20"/>
          <w:szCs w:val="20"/>
          <w:color w:val="auto"/>
        </w:rPr>
      </w:pPr>
    </w:p>
    <w:p>
      <w:pPr>
        <w:ind w:left="120" w:right="260" w:firstLine="440"/>
        <w:spacing w:after="0" w:line="288" w:lineRule="auto"/>
        <w:rPr>
          <w:sz w:val="20"/>
          <w:szCs w:val="20"/>
          <w:color w:val="auto"/>
        </w:rPr>
      </w:pPr>
      <w:r>
        <w:rPr>
          <w:rFonts w:ascii="Arial" w:cs="Arial" w:eastAsia="Arial" w:hAnsi="Arial"/>
          <w:sz w:val="16"/>
          <w:szCs w:val="16"/>
          <w:color w:val="auto"/>
        </w:rPr>
        <w:t>The Class B ordinary shares will automatically convert into Class A ordinary shares, which such Class A ordinary shares delivered upon conversion will not have any redemption rights or be entitled to liquidating distributions if the Company does not consummate an initial Business Combination, at the time of the initial Business Combination or earlier at the option of the holders thereof at a ratio such that the number of Class A ordinary shares issuable upon conversion of all Founder Shares will equal, in the aggregate, on an as-converted basis, 20% of the sum of (i) the total number of ordinary shares issued and outstanding upon completion of the Initial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Warrants issued to the Sponsor, its affiliates or any member of the management team upon conversion of Working Capital Loans. In no event will the Class B ordinary shares convert into Class A ordinary shares at a rate of less than one-to-one.</w:t>
      </w:r>
    </w:p>
    <w:p>
      <w:pPr>
        <w:spacing w:after="0" w:line="16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5,000,000 preference shares with a par value of $0.0001 per share. At March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were no preference shares issued or outstanding.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8—Derivative Warrant Liabilities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As of March 31, 2021, the Company has 6,223,261 and 9,223,261 Public Warrants and Private Placement Warrants, respectively,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Public Warrants may only be exercised for a whole number of shares. No fractional Public Warrants will be issued upon separation of the Units and only whole Public Warrants will trade. The Public Warrants will become exercisable 30 days after the completion of a Business Combination; provided that the Company has an effective registration statement under the Securities Act covering the Class A ordinary shares issuable upon exercise of the Public Warrants and a current prospectus relating to them is available and such shares are registered, qualified or exempt from registration under the securities, or blue sky, laws of the state of residence of the holder (or the Company permit holders to exercise their warrants on a cashless basis under certain circumstances). The Company agreed that as soon as practicable, but in no event later than 20 business days after the closing of the initial Business Combination, the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Company will use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 shares issuable upon exercise of the warrants is not effective by the 60th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and, in the event the Company so elects, the Company will not be required to file or maintain in effect a registration statement, and in the event the Company does not so elect, it will use commercially reasonable efforts to register or qualify the shares under applicable blue sky laws to the extent an exemption is not available.</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ordinary shares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under “Redemption of warrants when the price per Class A ordinary share equals or exceeds $18.00” will be adjusted (to the nearest cent) to be equal to 180% of the higher of the Market Value and the Newly Issued Price, and the $10.00 per share redemption trigger price described under the caption “Redemption of warrants when the price per Class A ordinary share equals or exceeds $10.00” will be adjusted (to the nearest cent) to be equal to the higher of the Market Value and the Newly Issued Price.</w:t>
      </w:r>
    </w:p>
    <w:p>
      <w:pPr>
        <w:spacing w:after="0" w:line="17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Redemption of warrants when the price per Class A ordinary share equals or exceeds $18.00: </w:t>
      </w:r>
      <w:r>
        <w:rPr>
          <w:rFonts w:ascii="Arial" w:cs="Arial" w:eastAsia="Arial" w:hAnsi="Arial"/>
          <w:sz w:val="17"/>
          <w:szCs w:val="17"/>
          <w:color w:val="auto"/>
        </w:rPr>
        <w:t>Once the warrants become exercisable,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herein with respect to the Private Placement Warrants):</w:t>
      </w:r>
    </w:p>
    <w:p>
      <w:pPr>
        <w:spacing w:after="0" w:line="116" w:lineRule="exact"/>
        <w:rPr>
          <w:sz w:val="20"/>
          <w:szCs w:val="20"/>
          <w:color w:val="auto"/>
        </w:rPr>
      </w:pPr>
    </w:p>
    <w:p>
      <w:pPr>
        <w:ind w:left="1540" w:hanging="439"/>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5540" w:right="3000" w:hanging="4439"/>
        <w:spacing w:after="0" w:line="449" w:lineRule="auto"/>
        <w:tabs>
          <w:tab w:leader="none" w:pos="1539"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 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43" w:lineRule="exact"/>
        <w:rPr>
          <w:sz w:val="20"/>
          <w:szCs w:val="20"/>
          <w:color w:val="auto"/>
        </w:rPr>
      </w:pPr>
    </w:p>
    <w:p>
      <w:pPr>
        <w:ind w:left="1540" w:right="340" w:hanging="439"/>
        <w:spacing w:after="0" w:line="263"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ordinary shares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380" w:firstLine="991"/>
        <w:spacing w:after="0" w:line="263" w:lineRule="auto"/>
        <w:rPr>
          <w:sz w:val="20"/>
          <w:szCs w:val="20"/>
          <w:color w:val="auto"/>
        </w:rPr>
      </w:pPr>
      <w:r>
        <w:rPr>
          <w:rFonts w:ascii="Arial" w:cs="Arial" w:eastAsia="Arial" w:hAnsi="Arial"/>
          <w:sz w:val="18"/>
          <w:szCs w:val="18"/>
          <w:color w:val="auto"/>
        </w:rPr>
        <w:t>The Company will not redeem the warrants as described above unless a registration statement under the Securities Act covering the Class A ordinary shares issuable upon exercise of the warrants is then effective and a current prospectus relating to those Class A ordinary shares is available throughout the 30-day redemption period.</w:t>
      </w:r>
    </w:p>
    <w:p>
      <w:pPr>
        <w:spacing w:after="0" w:line="184" w:lineRule="exact"/>
        <w:rPr>
          <w:sz w:val="20"/>
          <w:szCs w:val="20"/>
          <w:color w:val="auto"/>
        </w:rPr>
      </w:pPr>
    </w:p>
    <w:p>
      <w:pPr>
        <w:ind w:left="1100"/>
        <w:spacing w:after="0"/>
        <w:rPr>
          <w:sz w:val="20"/>
          <w:szCs w:val="20"/>
          <w:color w:val="auto"/>
        </w:rPr>
      </w:pPr>
      <w:r>
        <w:rPr>
          <w:rFonts w:ascii="Arial" w:cs="Arial" w:eastAsia="Arial" w:hAnsi="Arial"/>
          <w:sz w:val="16"/>
          <w:szCs w:val="16"/>
          <w:i w:val="1"/>
          <w:iCs w:val="1"/>
          <w:color w:val="auto"/>
        </w:rPr>
        <w:t xml:space="preserve">Redemption of warrants when the price per Class A ordinary share equals or exceeds $10.00: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w:t>
      </w:r>
    </w:p>
    <w:p>
      <w:pPr>
        <w:spacing w:after="0" w:line="116" w:lineRule="exact"/>
        <w:rPr>
          <w:sz w:val="20"/>
          <w:szCs w:val="20"/>
          <w:color w:val="auto"/>
        </w:rPr>
      </w:pPr>
    </w:p>
    <w:p>
      <w:pPr>
        <w:ind w:left="1540" w:hanging="43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540" w:right="220" w:hanging="439"/>
        <w:spacing w:after="0" w:line="311" w:lineRule="auto"/>
        <w:tabs>
          <w:tab w:leader="none" w:pos="1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$0.10 per warrant upon a minimum of 30 days’ prior written notice of redemption provided that holders will be able to exercise their warrants on a cashless basis prior to redemption and receive that number of Class A ordinary shares to be determined by reference to an agreed table based on the redemption date and the “fair market value” of Class A ordinary shares; and</w:t>
      </w:r>
    </w:p>
    <w:p>
      <w:pPr>
        <w:spacing w:after="0" w:line="54" w:lineRule="exact"/>
        <w:rPr>
          <w:rFonts w:ascii="Arial" w:cs="Arial" w:eastAsia="Arial" w:hAnsi="Arial"/>
          <w:sz w:val="16"/>
          <w:szCs w:val="16"/>
          <w:color w:val="auto"/>
        </w:rPr>
      </w:pPr>
    </w:p>
    <w:p>
      <w:pPr>
        <w:ind w:left="1540" w:right="140" w:hanging="439"/>
        <w:spacing w:after="0" w:line="263"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and only if, the closing price of Class A ordinary shares equals or exceeds $10.00 per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ind w:left="1540" w:right="100" w:hanging="439"/>
        <w:spacing w:after="0" w:line="259"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the Company sends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The “fair market value” of Class A ordinary shares for the above purpose shall mean the volume weighted average price of our Class A ordinary shares during the 10 trading days immediately following the date on which the notice of redemption is sent to the holders of warrants. In no event will the warrants be exercisable in connection with this redemption feature for more than 0.361 Class A ordinary shares per warrant (subject to adjustment).</w:t>
      </w:r>
    </w:p>
    <w:p>
      <w:pPr>
        <w:spacing w:after="0" w:line="14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9—Fair Value Measurements</w:t>
      </w:r>
    </w:p>
    <w:p>
      <w:pPr>
        <w:spacing w:after="0" w:line="121" w:lineRule="exact"/>
        <w:rPr>
          <w:sz w:val="20"/>
          <w:szCs w:val="20"/>
          <w:color w:val="auto"/>
        </w:rPr>
      </w:pPr>
    </w:p>
    <w:p>
      <w:pPr>
        <w:ind w:left="120" w:right="160" w:firstLine="991"/>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March 31, 2021 and indicates the fair value hierarchy of the valuation techniques that the Company utilized to determine such fair value.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March 31, 2021:</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Quoted Prices</w:t>
            </w:r>
          </w:p>
        </w:tc>
        <w:tc>
          <w:tcPr>
            <w:tcW w:w="1660" w:type="dxa"/>
            <w:vAlign w:val="bottom"/>
            <w:gridSpan w:val="3"/>
          </w:tcPr>
          <w:p>
            <w:pPr>
              <w:ind w:left="580"/>
              <w:spacing w:after="0"/>
              <w:rPr>
                <w:sz w:val="20"/>
                <w:szCs w:val="20"/>
                <w:color w:val="auto"/>
              </w:rPr>
            </w:pPr>
            <w:r>
              <w:rPr>
                <w:rFonts w:ascii="Arial" w:cs="Arial" w:eastAsia="Arial" w:hAnsi="Arial"/>
                <w:sz w:val="14"/>
                <w:szCs w:val="14"/>
                <w:b w:val="1"/>
                <w:bCs w:val="1"/>
                <w:color w:val="auto"/>
                <w:w w:val="93"/>
              </w:rPr>
              <w:t>Significant Other</w:t>
            </w:r>
          </w:p>
        </w:tc>
        <w:tc>
          <w:tcPr>
            <w:tcW w:w="1720" w:type="dxa"/>
            <w:vAlign w:val="bottom"/>
            <w:gridSpan w:val="4"/>
          </w:tcPr>
          <w:p>
            <w:pPr>
              <w:ind w:left="580"/>
              <w:spacing w:after="0"/>
              <w:rPr>
                <w:sz w:val="20"/>
                <w:szCs w:val="20"/>
                <w:color w:val="auto"/>
              </w:rPr>
            </w:pPr>
            <w:r>
              <w:rPr>
                <w:rFonts w:ascii="Arial" w:cs="Arial" w:eastAsia="Arial" w:hAnsi="Arial"/>
                <w:sz w:val="14"/>
                <w:szCs w:val="14"/>
                <w:b w:val="1"/>
                <w:bCs w:val="1"/>
                <w:color w:val="auto"/>
                <w:w w:val="99"/>
              </w:rPr>
              <w:t>Significant Other</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6"/>
              </w:rPr>
              <w:t>in</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1"/>
              </w:rPr>
              <w:t>Observable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100" w:type="dxa"/>
            <w:vAlign w:val="bottom"/>
            <w:vMerge w:val="restart"/>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5"/>
              </w:rPr>
              <w:t>Inputs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4"/>
              </w:rPr>
              <w:t>(Level 1)</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79"/>
              <w:spacing w:after="0" w:line="158" w:lineRule="exact"/>
              <w:rPr>
                <w:sz w:val="20"/>
                <w:szCs w:val="20"/>
                <w:color w:val="auto"/>
              </w:rPr>
            </w:pPr>
            <w:r>
              <w:rPr>
                <w:rFonts w:ascii="Arial" w:cs="Arial" w:eastAsia="Arial" w:hAnsi="Arial"/>
                <w:sz w:val="14"/>
                <w:szCs w:val="14"/>
                <w:b w:val="1"/>
                <w:bCs w:val="1"/>
                <w:color w:val="auto"/>
                <w:w w:val="94"/>
              </w:rPr>
              <w:t>(Level 2)</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89"/>
        </w:trPr>
        <w:tc>
          <w:tcPr>
            <w:tcW w:w="3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Investments held in Trust Account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311,163,203</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Derivative warrant liabilities—public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260"/>
              <w:spacing w:after="0"/>
              <w:rPr>
                <w:sz w:val="20"/>
                <w:szCs w:val="20"/>
                <w:color w:val="auto"/>
              </w:rPr>
            </w:pPr>
            <w:r>
              <w:rPr>
                <w:rFonts w:ascii="Arial" w:cs="Arial" w:eastAsia="Arial" w:hAnsi="Arial"/>
                <w:sz w:val="18"/>
                <w:szCs w:val="18"/>
                <w:color w:val="auto"/>
                <w:w w:val="87"/>
              </w:rPr>
              <w:t>5,801,650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warrant liabilities—private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7"/>
              </w:rPr>
              <w:t>8,922,950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period from January 13, 2021 (inception) through March 31, 2021.</w:t>
      </w:r>
    </w:p>
    <w:p>
      <w:pPr>
        <w:spacing w:after="0" w:line="170"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fair value of the Public Warrants issued in connection with the Public Offering and Private Placement Warrants were initially measured at fair value using a Monte Carlo simulation model and subsequently, the fair value of the Private Placement Warrants have been estimated using a Monte Carlo simulation model each measurement date. The fair value of Public Warrants issued in connection with the Initial Public Offering have been measured based on the listed market price of such warrants, a Level 1 measurement, since March 2021. For the period from January 13, 2021 (inception) through March 31, 2021, the Company recognized a charge to the statement of operations resulting from a decrease in the fair value of liabilities of approximately $271,000 presented as change in fair value of derivative warrant liabilities on the accompanying statement of operations.</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estimated fair value of the Private Placement Warrants, and the Public Warrants prior to being separately listed and traded, is determined using Level 3 inputs. Inherent in a Monte Carlo simulation are assumptions related to expected share-price volatility, expected life, risk-free interest rate and dividend yield. The Company estimates the volatility of its ordinary share warrants based on implied volatility from the Company’s traded warrants and from historical volatility of select peer company’s ordinary shares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5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5"/>
              </w:rPr>
              <w:t>March 22,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As of March 31,</w:t>
            </w:r>
          </w:p>
        </w:tc>
      </w:tr>
      <w:tr>
        <w:trPr>
          <w:trHeight w:val="171"/>
        </w:trPr>
        <w:tc>
          <w:tcPr>
            <w:tcW w:w="5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9.81</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9.81</w:t>
            </w:r>
          </w:p>
        </w:tc>
        <w:tc>
          <w:tcPr>
            <w:tcW w:w="2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Volatility</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93"/>
              </w:rPr>
              <w:t>14.0%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the options to convert</w:t>
            </w:r>
          </w:p>
        </w:tc>
        <w:tc>
          <w:tcPr>
            <w:tcW w:w="15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6.53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6.50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Risk-free rate</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w w:val="93"/>
              </w:rPr>
              <w:t>1.28%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change in the fair value of the derivative warrant liabilities for the period from January 13, 2021 (inception) through March 31, 2021 is summarized as follows: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 at January 13, 2021 (inception)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Issuance of Public and Private Warrants</w:t>
            </w: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14,995,760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warrant liabilities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(271,160)</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Derivative warrant liabilities at March 31, 2021</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14,724,600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3660"/>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ARCLIGHT CLEAN TRANSITION CORP.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10—Revision to Prior Period Financial Statements</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During the course of preparing the quarterly report on Form 10-Q for the period from January 13, 2021 (inception) through March 31, 2021, the Company identified a misstatement in its misapplication of accounting guidance related to the Company’s warrants in the Company’s previously issued audited balance sheet dated March 25, 2021, filed on Form 8-K on March 31, 2021 (the “Post-IPO Balance Sheet”).</w:t>
      </w:r>
    </w:p>
    <w:p>
      <w:pPr>
        <w:spacing w:after="0" w:line="165"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On April 12, 2021, the staff of the Securities and Exchange Commission (the “SEC Staff”) issued a public statement entitled “Staff Statement on Accounting and Reporting Considerations for Warrants issued by Special Purpose Acquisition Companies (“SPACs”) (the “SEC Staff Statement”). In the SEC Staff Statement, the SEC Staff expressed its view that certain terms and conditions common to SPAC warrants may require the warrants to be classified as liabilities on the SPAC’s balance sheet as opposed to equity. Since their issuance on March 21, 2021, the Company’s warrants have been accounted for as equity within the Company’s previously reported balance sheets. After discussion and evaluation, including with the Company’s independent registered public accounting firm and the Company’s audit committee, management concluded that the warrants should be presented as liabilities with subsequent fair value remeasurement.</w:t>
      </w:r>
    </w:p>
    <w:p>
      <w:pPr>
        <w:spacing w:after="0" w:line="17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 xml:space="preserve">The Warrants were reflected as a component of equity in the Post-IPO Balance Sheet as opposed to liabilities on the balance sheet, based on the Company’s application of FASB ASC Topic 815-40, </w:t>
      </w:r>
      <w:r>
        <w:rPr>
          <w:rFonts w:ascii="Arial" w:cs="Arial" w:eastAsia="Arial" w:hAnsi="Arial"/>
          <w:sz w:val="16"/>
          <w:szCs w:val="16"/>
          <w:i w:val="1"/>
          <w:iCs w:val="1"/>
          <w:color w:val="auto"/>
        </w:rPr>
        <w:t>Derivatives and Hedging, Contracts in Entity’s Own Equity</w:t>
      </w:r>
      <w:r>
        <w:rPr>
          <w:rFonts w:ascii="Arial" w:cs="Arial" w:eastAsia="Arial" w:hAnsi="Arial"/>
          <w:sz w:val="16"/>
          <w:szCs w:val="16"/>
          <w:color w:val="auto"/>
        </w:rPr>
        <w:t xml:space="preserve"> (“ASC 815-40”). The views expressed in the SEC Staff Statement were not consistent with the Company’s historical interpretation of the specific provisions within its warrant agreement and the Company’s application of ASC 815-40 to the warrant agreement. The Company reassessed its accounting for Warrants issued on March 21, 2021, in light of the SEC Staff’s published views. Based on this reassessment, management determined that the Warrants should be classified as liabilities measured at fair value upon issuance, with subsequent changes in fair value reported in the Company Statement of Operations each reporting period.</w:t>
      </w:r>
    </w:p>
    <w:p>
      <w:pPr>
        <w:spacing w:after="0" w:line="16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Company concluded that the misstatement was not material to the Post-IPO Balance Sheet and the misstatement had no material impact to any prior interim period. The effect of the revisions to the Post-IPO Balance Sheet is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March 25, 2021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As Previously</w:t>
            </w:r>
          </w:p>
        </w:tc>
        <w:tc>
          <w:tcPr>
            <w:tcW w:w="16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Reclassification</w:t>
            </w:r>
          </w:p>
        </w:tc>
        <w:tc>
          <w:tcPr>
            <w:tcW w:w="180" w:type="dxa"/>
            <w:vAlign w:val="bottom"/>
          </w:tcPr>
          <w:p>
            <w:pPr>
              <w:spacing w:after="0"/>
              <w:rPr>
                <w:sz w:val="10"/>
                <w:szCs w:val="10"/>
                <w:color w:val="auto"/>
              </w:rPr>
            </w:pPr>
          </w:p>
        </w:tc>
        <w:tc>
          <w:tcPr>
            <w:tcW w:w="11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As Reclassified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Reported</w:t>
            </w:r>
          </w:p>
        </w:tc>
        <w:tc>
          <w:tcPr>
            <w:tcW w:w="16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Unaudited Condensed Balance Sheet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314,189,950</w:t>
            </w:r>
          </w:p>
        </w:tc>
        <w:tc>
          <w:tcPr>
            <w:tcW w:w="20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314,189,950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525,842</w:t>
            </w:r>
          </w:p>
        </w:tc>
        <w:tc>
          <w:tcPr>
            <w:tcW w:w="20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525,842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10,890,707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10,890,707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14,995,760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14,995,760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11,416,549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14,995,760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26,412,309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line="201" w:lineRule="exact"/>
              <w:rPr>
                <w:sz w:val="20"/>
                <w:szCs w:val="20"/>
                <w:color w:val="auto"/>
              </w:rPr>
            </w:pPr>
            <w:r>
              <w:rPr>
                <w:rFonts w:ascii="Arial" w:cs="Arial" w:eastAsia="Arial" w:hAnsi="Arial"/>
                <w:sz w:val="18"/>
                <w:szCs w:val="18"/>
                <w:color w:val="auto"/>
              </w:rPr>
              <w:t>Class A ordinary shares, $0.0001 par value; shares subject to</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possible redemption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297,773,400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(14,995,760)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282,777,640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Preference shares- $0.0001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A ordinary shares - $0.0001 par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w w:val="86"/>
              </w:rPr>
              <w:t>150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Class B ordinary shares - $0.0001 par value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5,035,976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462,470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(36,900)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(462,620)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(499,520)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314,189,950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314,189,950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Management has evaluated subsequent events to determine if events or transactions occurring through the date the financial statement were issued. There are no such events requiring potential adjustment to or disclosure in the financial statements and the Company has concluded that all such events that would require recognition or disclosure have been recognized or disclosed.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References to the “Company,” “our,” “us” or “we” refer to ArcLight Clean Transition Corp. II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Such statements include, but are not limited to, possible business combinations and the financing thereof, and related matters, as well as all other statements other than statements of historical fact included in this Form 10-Q. Factors that might cause or contribute to such a discrepancy include, but are not limited to, those described in our other Securities and Exchange Commission (“SEC”) filings.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are a blank check company incorporated on January 13, 2021 as a Cayman Islands exempted company for the purpose of effecting a merger, share exchange, asset acquisition, share purchase, reorganization or similar business combination with one or more businesses or entities (the “Business Combination”), that we have not yet identified. Our sponsor is ArcLight CTC Holdings II, L.P., a Delaware limited partnership (our “Sponsor”).</w:t>
      </w:r>
    </w:p>
    <w:p>
      <w:pPr>
        <w:spacing w:after="0" w:line="14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Our registration statement for our initial public offering (the “Initial Public Offering”) was declared effective on March 22, 2021. On March 25, 2021, we consummated its Initial Public Offering of 31,116,305 units (the “Units” and, with respect to the Class A ordinary shares included in the Units being offered, the “Public Shares”), including the partial exercise of the underwriters’ option to purchase 3,616,305 additional Units (the “Over-Allotment Units”), at $10.00 per Unit, generating gross proceeds of approximately $311.2 million, and incurring offering costs of approximately $17.6 million, of which approximately $10.9 million was for deferred underwriting commissions.</w:t>
      </w:r>
    </w:p>
    <w:p>
      <w:pPr>
        <w:spacing w:after="0" w:line="188"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private placement (“Private Placement”) of 9,223,261 warrants (each, a “Private Placement Warrant” and collectively, the “Private Placement Warrants”), at a price of $1.00 per Private Placement Warrant with the Sponsor, generating gross proceeds of approximately $9.2 million.</w:t>
      </w:r>
    </w:p>
    <w:p>
      <w:pPr>
        <w:spacing w:after="0" w:line="184"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6"/>
          <w:szCs w:val="16"/>
          <w:color w:val="auto"/>
        </w:rPr>
        <w:t>Upon the closing of the Initial Public Offering and the Private Placement, approximately $311.2 million of the net proceeds of the Initial Public Offering and certain of the proceeds of the Private Placement were placed in a trust account (“Trust Account”) with Continental Stock Transfer &amp; Trust Company acting as trustee and invested in United States “government securities” within the meaning of Section 2(a)(16) of the Investment Company Act of 1940, as amended, or the Investment Company Act, having a maturity of 185 days or less or in money market funds meeting certain conditions under Rule</w:t>
      </w:r>
    </w:p>
    <w:p>
      <w:pPr>
        <w:spacing w:after="0" w:line="1" w:lineRule="exact"/>
        <w:rPr>
          <w:sz w:val="20"/>
          <w:szCs w:val="20"/>
          <w:color w:val="auto"/>
        </w:rPr>
      </w:pPr>
    </w:p>
    <w:p>
      <w:pPr>
        <w:ind w:left="120" w:right="80"/>
        <w:spacing w:after="0" w:line="290" w:lineRule="auto"/>
        <w:rPr>
          <w:sz w:val="20"/>
          <w:szCs w:val="20"/>
          <w:color w:val="auto"/>
        </w:rPr>
      </w:pPr>
      <w:r>
        <w:rPr>
          <w:rFonts w:ascii="Arial" w:cs="Arial" w:eastAsia="Arial" w:hAnsi="Arial"/>
          <w:sz w:val="17"/>
          <w:szCs w:val="17"/>
          <w:color w:val="auto"/>
        </w:rPr>
        <w:t>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16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we are unable to complete a Business Combination within 24 months from the closing of the Initial Public Offering, or March 25, 2023 (the “Combination Period”), we will (i) cease all operations except for the purpose of winding up; (ii) as promptly as reasonably possible but not more than ten business days thereafter, redeem the Public Shares, at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per-share price, payable in cash, equal to the aggregate amount then on deposit in the Trust Account, including interest earned on the funds held in the Trust Account and not previously released to us to pay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board of directors, liquidate and dissolve, subject in the case of clauses (ii) and (iii), to the Company’s obligations under Cayman Islands law to provide for claims of creditors and the requirements of other applicable law.</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Our entire activity since inception through March 31, 2021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 Additionally, we recognize non-cash gains and losses within other income (expense) related to changes in recurring fair value measurement of our warrant liabilities at each reporting period.</w:t>
      </w:r>
    </w:p>
    <w:p>
      <w:pPr>
        <w:spacing w:after="0" w:line="19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the period from January 13, 2021 (inception) through March 31, 2021, we had net loss of approximately $320,000 from financing costs of approximately $463,000 and approximately $128,000 in general and administrative costs, partially offset by changes in the value of derivative warrant liabilities of approximately $271,000.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2021, we had approximately $2.8 million in its operating bank account and working capital of approximately $2.4 million.</w:t>
      </w:r>
    </w:p>
    <w:p>
      <w:pPr>
        <w:spacing w:after="0" w:line="22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liquidity needs up to March 31, 2021 had been satisfied through a payment of $25,000 from the Sponsor to cover certain expenses on behalf of the Company in exchange for the issuance of the Founder Shares (as defined below), the loan under the Note from the Sponsor of approximately $172,000 to us, and the net proceeds from the consummation of the Private Placement not held in the Trust Account. The Note from the Sponsor was repaid in full on March 26, 2021. In addition, in order to finance transaction costs in connection with a Business Combination, our officers, directors and Initial Shareholders may, but are not obligated to, provide the Company Working Capital Loans. To date, there were no amounts outstanding under any Working Capital Loans.</w:t>
      </w:r>
    </w:p>
    <w:p>
      <w:pPr>
        <w:spacing w:after="0" w:line="19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the Sponsor or an affiliate of the Sponsor, or certain of our officers and directors to meet its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76"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We continue to evaluate the impact of the COVID-19 pandemic and has concluded that the specific impact is not readily determinable as of the date of the balance sheet. The financial statement does not include any adjustments that might result from the outcome of this uncertainty.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60"/>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an administrative services agreement to pay our Sponsor $10,000 per month for office space, secretarial and administrative services provided to us.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We have identified the following as its critical accounting policies: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We account for our Class A Ordinary shares subject to possible redemption in accordance with the guidance in ASC Topic 480 “Distinguishing Liabilities from Equity.” Class A Ordinary shares subject to mandatory redemption (if any) is classified as liability instruments and are measured at fair value. Conditionally redeemable Class A Ordinary shares (including Class A Ordinary shares that features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sharesfeature certain redemption rights that are considered to be outside of our control and subject to the occurrence of uncertain future events. Accordingly, at March 31, 2021, 28,295,737 shares of Class A Ordinary shares subject to possible redemption is presented at redemption value as temporary equity, outside of the shareholders’ equity section of the Company’s balance sheet.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Derivative Warrant Liabilities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share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87" w:lineRule="exact"/>
        <w:rPr>
          <w:sz w:val="20"/>
          <w:szCs w:val="20"/>
          <w:color w:val="auto"/>
        </w:rPr>
      </w:pPr>
    </w:p>
    <w:p>
      <w:pPr>
        <w:ind w:left="120" w:right="160"/>
        <w:spacing w:after="0" w:line="290" w:lineRule="auto"/>
        <w:rPr>
          <w:sz w:val="20"/>
          <w:szCs w:val="20"/>
          <w:color w:val="auto"/>
        </w:rPr>
      </w:pPr>
      <w:r>
        <w:rPr>
          <w:rFonts w:ascii="Arial" w:cs="Arial" w:eastAsia="Arial" w:hAnsi="Arial"/>
          <w:sz w:val="16"/>
          <w:szCs w:val="16"/>
          <w:color w:val="auto"/>
        </w:rPr>
        <w:t>We issued an aggregate of 6,223,261 ordinary share warrants associated with Units issued to investors in our Initial Public Offering and the underwriters’ exercise of their overallotment option and we issued 9,223,261 Private Placement Warrants. All of our outstanding warrants are recognized as derivative liabilities in accordance with ASC 815-40. Accordingly, we recognize the warrant instruments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the Initial Public Offering and Private Placement were initially measured at fair value using a Monte Carlo simulation model and subsequently, the fair value of the Private Placement warrants have been estimated using a Monte Carlo simulation model each measurement date. The fair value of Warrants issued in connection with our Initial Public Offering have subsequently been measured based on the listed market price of such warrants.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Ordinary Share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Net income (loss) per share is computed by dividing net income by the weighted-average number of shares of ordinary shares outstanding during the period. We have not considered the effect of the warrants sold in the Public Offering and Private Placement to purchase an aggregate of 15,446,522 shares in the calculation of diluted loss per share, since the exercise of the warrants are contingent upon the occurrence of future events and the inclusion of such warrants would be anti-dilutive.</w:t>
      </w:r>
    </w:p>
    <w:p>
      <w:pPr>
        <w:spacing w:after="0" w:line="18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statement of operations includes a presentation of income (loss) per share for Redeemable Class A Ordinary shares in a manner similar to the two-class method of income (loss) per share. Net income per ordinary share, basic and diluted, for Redeemable Class A Ordinary shares is calculated by dividing the proportionate share of income or loss on marketable securities held by the Trust Account, net of applicable franchise and income taxes, by the weighted average number of ordinary shars subject to possible redemption outstanding since original issuance.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Net loss per share, basic and diluted, for Non-Redeemable Class A and Class B Ordinary shares is calculated by dividing the net loss, adjusted for income or loss on marketable securities attributable to Redeemable Class A Ordinary shares, by the weighted average number of non-redeemable ordinary shares outstanding for the period.</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Non-Redeemable Class A and Class B Ordinary shares includes Founder Shares and non-redeemable shares of ordinary shares as these shares do not have any redemption features. Non-Redeemable Class A and Class B Ordinary shares participates in the income or loss on marketable securities based on non-redeemable ordinary shares’ proportionate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Our management does not believe that any recently issued, but not yet effective, accounting standards if currently adopted would have a material effect on the accompanying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March 31, 2021, we did not have any off-balance sheet arrangements as defined in Item 303(a)(4)(ii) of Regulation S-K.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w:t>
      </w:r>
    </w:p>
    <w:p>
      <w:pPr>
        <w:spacing w:after="0" w:line="4" w:lineRule="exact"/>
        <w:rPr>
          <w:sz w:val="20"/>
          <w:szCs w:val="20"/>
          <w:color w:val="auto"/>
        </w:rPr>
      </w:pPr>
    </w:p>
    <w:p>
      <w:pPr>
        <w:ind w:left="120" w:hanging="4"/>
        <w:spacing w:after="0" w:line="255" w:lineRule="auto"/>
        <w:tabs>
          <w:tab w:leader="none" w:pos="425"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of the end of the fiscal quarter ended March 31, 2021, as such term is defined in Rules 13a-15(e) and 15d-15(e) under the Exchange Act. Based on this evaluation, our chief executive officer and chief financial officer have concluded that during the period covered by this report, our disclosure controls and procedures were not effective as of March 31, 2021.</w:t>
      </w:r>
    </w:p>
    <w:p>
      <w:pPr>
        <w:spacing w:after="0" w:line="18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Our internal control over financial reporting did not result in the proper accounting classification of certain of the Warrants we issued in March 2021 which, due to its impact on our financial statements, we determined to be a material weakness. This mistake in classification was brought to our attention only when the SEC issued a Staff Statement on Accounting and Reporting Considerations for Warrants Issued by Special Purpose Acquisition Companies (“SPACs”) dated April 12, 2021 (the “SEC Statement”). The SEC Statement addresses certain accounting and reporting considerations related to warrants of a kind similar to those we issued at the time of our initial public offering in March 2021.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There was no change in our internal control over financial reporting that occurred during the period from January 13, 2021 (inception) through March 31, 2021, covered by this Quarterly Report on Form 10-Q that has materially affected, or is reasonably likely to materially affect, our internal control over financial reporting, other than the remediation steps taken to address the material weakness. Management has implemented remediation steps to address the material weakness and to improve our internal control over financial reporting. Specifically, we expanded and improved our review process for complex securities and related accounting standards. We plan to further improve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most recent prospectus for the Initial Public Offering as filed with the SEC on March 22, 2021.</w:t>
      </w:r>
    </w:p>
    <w:p>
      <w:pPr>
        <w:spacing w:after="0" w:line="274" w:lineRule="exact"/>
        <w:rPr>
          <w:sz w:val="20"/>
          <w:szCs w:val="20"/>
          <w:color w:val="auto"/>
        </w:rPr>
      </w:pPr>
    </w:p>
    <w:p>
      <w:pPr>
        <w:ind w:left="120" w:right="376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from Registered Securities </w:t>
      </w:r>
      <w:r>
        <w:rPr>
          <w:rFonts w:ascii="Arial" w:cs="Arial" w:eastAsia="Arial" w:hAnsi="Arial"/>
          <w:sz w:val="18"/>
          <w:szCs w:val="18"/>
          <w:i w:val="1"/>
          <w:iCs w:val="1"/>
          <w:color w:val="auto"/>
        </w:rPr>
        <w:t>Unregistered Sales</w:t>
      </w:r>
    </w:p>
    <w:p>
      <w:pPr>
        <w:ind w:left="120" w:right="20"/>
        <w:spacing w:after="0" w:line="271" w:lineRule="auto"/>
        <w:rPr>
          <w:sz w:val="20"/>
          <w:szCs w:val="20"/>
          <w:color w:val="auto"/>
        </w:rPr>
      </w:pPr>
      <w:r>
        <w:rPr>
          <w:rFonts w:ascii="Arial" w:cs="Arial" w:eastAsia="Arial" w:hAnsi="Arial"/>
          <w:sz w:val="17"/>
          <w:szCs w:val="17"/>
          <w:color w:val="auto"/>
        </w:rPr>
        <w:t>On January 3, 2021, our Sponsor paid an aggregate of $25,000 for certain expenses on our behalf in exchange for issuance of 7,187,500 Class B ordinary shares (the “Founder Shares”). On February 2, 2021, our Sponsor transferred 35,000 Founder Shares to each of Arno Harris, Ja-Chin Audrey Lee, Brian Goncher and Steven Berkenfeld, our independent director nominees. On March 22, 2021, we effected a share capitalization resulting in an aggregate of 7,906,250 Founder Shares issued and outstanding. Up to 1,031,250 Founder Shares were subject to forfeiture by the Sponsor, to the extent that the option to purchase additional units was not exercised in full by the underwriters, so that the Founder Shares would represent 20% of the Company’s issued and outstanding shares after the Initial Public Offering. The underwriters partially exercised their over-allotment option on March 22, 2021, with the remaining portion of the over-allotment option expiring at the conclusion of the 45-day option period. As a result, an aggregate of 127,174 Founder Shares were forfeited by the Sponsor upon the expiration of the over-allotment option.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Proceeds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Initial Public Offering and the underwriters of their over-allotment option, we incurred offering costs of approximately</w:t>
      </w:r>
    </w:p>
    <w:p>
      <w:pPr>
        <w:spacing w:after="0" w:line="23" w:lineRule="exact"/>
        <w:rPr>
          <w:sz w:val="20"/>
          <w:szCs w:val="20"/>
          <w:color w:val="auto"/>
        </w:rPr>
      </w:pPr>
    </w:p>
    <w:p>
      <w:pPr>
        <w:ind w:left="120" w:right="120"/>
        <w:spacing w:after="0" w:line="252" w:lineRule="auto"/>
        <w:rPr>
          <w:sz w:val="20"/>
          <w:szCs w:val="20"/>
          <w:color w:val="auto"/>
        </w:rPr>
      </w:pPr>
      <w:r>
        <w:rPr>
          <w:rFonts w:ascii="Arial" w:cs="Arial" w:eastAsia="Arial" w:hAnsi="Arial"/>
          <w:sz w:val="18"/>
          <w:szCs w:val="18"/>
          <w:color w:val="auto"/>
        </w:rPr>
        <w:t>$15.9 million (including deferred underwriting commissions of approximately $9.8 million). Other incurred offering costs consisted principally of preparation fees related to the Initial Public Offering. After deducting the underwriting discounts and commissions (excluding the deferred portion, which amount will be payable upon consummation of the Initial Business Combination, if consummated) and the Initial Public Offering expenses, $277.5 million of the net proceeds from our Initial Public Offering and certain of the proceeds from the private placement of the Private Placement Warrants (or $10.00 per Unit sold in the Initial Public Offering) was placed in the Trust Account. The net proceeds of the Initial Public Offering and certain proceeds from the sale of the Private Placement Warrants are held in the Trust Account and invested as described elsewhere in this Quarterly Report on Form 10-Q.</w:t>
      </w:r>
    </w:p>
    <w:p>
      <w:pPr>
        <w:spacing w:after="0" w:line="1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There has been no material change in the planned use of the proceeds from the Initial Public Offering and Private Placement as is described in the Company’s final prospectus related to the Initial Public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67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6740" w:type="dxa"/>
            <w:vAlign w:val="bottom"/>
            <w:gridSpan w:val="5"/>
            <w:vMerge w:val="continue"/>
          </w:tcPr>
          <w:p>
            <w:pPr>
              <w:spacing w:after="0"/>
              <w:rPr>
                <w:sz w:val="14"/>
                <w:szCs w:val="14"/>
                <w:color w:val="auto"/>
              </w:rPr>
            </w:pPr>
          </w:p>
        </w:tc>
        <w:tc>
          <w:tcPr>
            <w:tcW w:w="2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2"/>
                <w:szCs w:val="22"/>
                <w:color w:val="auto"/>
              </w:rPr>
            </w:pPr>
          </w:p>
        </w:tc>
        <w:tc>
          <w:tcPr>
            <w:tcW w:w="6740" w:type="dxa"/>
            <w:vAlign w:val="bottom"/>
            <w:tcBorders>
              <w:top w:val="single" w:sz="8" w:color="auto"/>
            </w:tcBorders>
            <w:gridSpan w:val="5"/>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Certification of Chief Executive Officer Pursuant to Rules 13a-14(a) and 15d-14(a) under the</w:t>
              </w:r>
            </w:hyperlink>
          </w:p>
        </w:tc>
        <w:tc>
          <w:tcPr>
            <w:tcW w:w="3180" w:type="dxa"/>
            <w:vAlign w:val="bottom"/>
            <w:tcBorders>
              <w:top w:val="single" w:sz="8" w:color="auto"/>
            </w:tcBorders>
            <w:gridSpan w:val="4"/>
          </w:tcPr>
          <w:p>
            <w:pPr>
              <w:ind w:left="60"/>
              <w:spacing w:after="0"/>
              <w:rPr>
                <w:rFonts w:ascii="Arial" w:cs="Arial" w:eastAsia="Arial" w:hAnsi="Arial"/>
                <w:sz w:val="18"/>
                <w:szCs w:val="18"/>
                <w:color w:val="0000EE"/>
              </w:rPr>
            </w:pPr>
            <w:hyperlink w:anchor="page29">
              <w:r>
                <w:rPr>
                  <w:rFonts w:ascii="Arial" w:cs="Arial" w:eastAsia="Arial" w:hAnsi="Arial"/>
                  <w:sz w:val="18"/>
                  <w:szCs w:val="18"/>
                  <w:color w:val="0000EE"/>
                </w:rPr>
                <w:t>Securities Exchange Act of 1934, as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Adopted Pursuant to Section 302 of the Sarbanes-Oxley Act of 2002.</w:t>
              </w:r>
            </w:hyperlink>
          </w:p>
        </w:tc>
        <w:tc>
          <w:tcPr>
            <w:tcW w:w="174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6740" w:type="dxa"/>
            <w:vAlign w:val="bottom"/>
            <w:gridSpan w:val="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 of Chief Financial Officer Pursuant to Rules 13a-14(a) and 15d-14(a) under the</w:t>
              </w:r>
            </w:hyperlink>
          </w:p>
        </w:tc>
        <w:tc>
          <w:tcPr>
            <w:tcW w:w="3180" w:type="dxa"/>
            <w:vAlign w:val="bottom"/>
            <w:gridSpan w:val="4"/>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Securities Exchange Act of 1934, as</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Adopted Pursuant to Section 302 of the Sarbanes-Oxley Act of 2002.</w:t>
              </w:r>
            </w:hyperlink>
          </w:p>
        </w:tc>
        <w:tc>
          <w:tcPr>
            <w:tcW w:w="26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47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9920" w:type="dxa"/>
            <w:vAlign w:val="bottom"/>
            <w:gridSpan w:val="9"/>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Chief Executive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2002.</w:t>
              </w:r>
            </w:hyperlink>
          </w:p>
        </w:tc>
        <w:tc>
          <w:tcPr>
            <w:tcW w:w="500" w:type="dxa"/>
            <w:vAlign w:val="bottom"/>
            <w:tcBorders>
              <w:top w:val="single" w:sz="8" w:color="0000EE"/>
            </w:tcBorders>
          </w:tcPr>
          <w:p>
            <w:pPr>
              <w:spacing w:after="0"/>
              <w:rPr>
                <w:sz w:val="17"/>
                <w:szCs w:val="17"/>
                <w:color w:val="auto"/>
              </w:rPr>
            </w:pPr>
          </w:p>
        </w:tc>
        <w:tc>
          <w:tcPr>
            <w:tcW w:w="4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74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9920" w:type="dxa"/>
            <w:vAlign w:val="bottom"/>
            <w:gridSpan w:val="9"/>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7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c>
          <w:tcPr>
            <w:tcW w:w="2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74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74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74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74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74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74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80" w:type="dxa"/>
            <w:vAlign w:val="bottom"/>
            <w:gridSpan w:val="3"/>
          </w:tcPr>
          <w:p>
            <w:pPr>
              <w:ind w:left="43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this 21st day of May, 2021.</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320" w:top="459" w:right="7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John F. Erhard, certify that:</w:t>
      </w:r>
    </w:p>
    <w:p>
      <w:pPr>
        <w:spacing w:after="0" w:line="131"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three months ended March 31, 2021 of ArcLight Clean Transition Corp. II;</w:t>
      </w:r>
    </w:p>
    <w:p>
      <w:pPr>
        <w:spacing w:after="0" w:line="142" w:lineRule="exact"/>
        <w:rPr>
          <w:rFonts w:ascii="Arial" w:cs="Arial" w:eastAsia="Arial" w:hAnsi="Arial"/>
          <w:sz w:val="17"/>
          <w:szCs w:val="17"/>
          <w:color w:val="auto"/>
        </w:rPr>
      </w:pPr>
    </w:p>
    <w:p>
      <w:pPr>
        <w:jc w:val="both"/>
        <w:ind w:left="424" w:right="120" w:hanging="424"/>
        <w:spacing w:after="0" w:line="263"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May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John F. Erhard</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024"/>
          </w:cols>
          <w:pgMar w:left="436" w:top="121"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Marco F. Gatti, certify that:</w:t>
      </w:r>
    </w:p>
    <w:p>
      <w:pPr>
        <w:spacing w:after="0" w:line="131"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three months ended March 31, 2021 of ArcLight Clean Transition Corp. II;</w:t>
      </w:r>
    </w:p>
    <w:p>
      <w:pPr>
        <w:spacing w:after="0" w:line="142" w:lineRule="exact"/>
        <w:rPr>
          <w:rFonts w:ascii="Arial" w:cs="Arial" w:eastAsia="Arial" w:hAnsi="Arial"/>
          <w:sz w:val="17"/>
          <w:szCs w:val="17"/>
          <w:color w:val="auto"/>
        </w:rPr>
      </w:pPr>
    </w:p>
    <w:p>
      <w:pPr>
        <w:jc w:val="both"/>
        <w:ind w:left="424" w:right="12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64" w:right="20" w:hanging="532"/>
        <w:spacing w:after="0" w:line="263"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130"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0" w:hanging="424"/>
        <w:spacing w:after="0" w:line="342"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964" w:right="560" w:hanging="532"/>
        <w:spacing w:after="0" w:line="342" w:lineRule="auto"/>
        <w:tabs>
          <w:tab w:leader="none" w:pos="964"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4"/>
        <w:spacing w:after="0"/>
        <w:tabs>
          <w:tab w:leader="none" w:pos="5604" w:val="left"/>
          <w:tab w:leader="none" w:pos="6044" w:val="left"/>
        </w:tabs>
        <w:rPr>
          <w:sz w:val="20"/>
          <w:szCs w:val="20"/>
          <w:color w:val="auto"/>
        </w:rPr>
      </w:pPr>
      <w:r>
        <w:rPr>
          <w:rFonts w:ascii="Arial" w:cs="Arial" w:eastAsia="Arial" w:hAnsi="Arial"/>
          <w:sz w:val="18"/>
          <w:szCs w:val="18"/>
          <w:color w:val="auto"/>
        </w:rPr>
        <w:t>Date: May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14605</wp:posOffset>
            </wp:positionV>
            <wp:extent cx="31457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Marco F. Gatti</w:t>
      </w:r>
    </w:p>
    <w:p>
      <w:pPr>
        <w:spacing w:after="0" w:line="23"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24"/>
          </w:cols>
          <w:pgMar w:left="436"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In connection with the Quarterly Report of ArcLight Clean Transition Corp. II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three months ended March 31, 2021,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John F. Erhard, President, Chief Executive Officer and Director of the Company, certify, pursuant to 18 U.S.C. Section 1350, as adopted pursuant to Section 906 of the Sarbanes-Oxley Act of 2002, that, to my knowledge:</w:t>
      </w:r>
    </w:p>
    <w:p>
      <w:pPr>
        <w:spacing w:after="0" w:line="92"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21,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President, Chief Executive Officer and Director</w:t>
      </w:r>
    </w:p>
    <w:p>
      <w:pPr>
        <w:sectPr>
          <w:pgSz w:w="11900" w:h="16838" w:orient="portrait"/>
          <w:cols w:equalWidth="0" w:num="1">
            <w:col w:w="11024"/>
          </w:cols>
          <w:pgMar w:left="436"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24"/>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164"/>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40"/>
        <w:spacing w:after="0" w:line="311" w:lineRule="auto"/>
        <w:rPr>
          <w:sz w:val="20"/>
          <w:szCs w:val="20"/>
          <w:color w:val="auto"/>
        </w:rPr>
      </w:pPr>
      <w:r>
        <w:rPr>
          <w:rFonts w:ascii="Arial" w:cs="Arial" w:eastAsia="Arial" w:hAnsi="Arial"/>
          <w:sz w:val="16"/>
          <w:szCs w:val="16"/>
          <w:color w:val="auto"/>
        </w:rPr>
        <w:t>In connection with the Quarterly Report of ArcLight Clean Transition Corp. II(the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three months ended March 31,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Marco F. Gatti, Chief Financial Officer of the Company, certify, pursuant to 18 U.S.C. Section 1350, as adopted pursuant to Section 906 of the Sarbanes-Oxley Act of 2002, that, to my knowledge:</w:t>
      </w:r>
    </w:p>
    <w:p>
      <w:pPr>
        <w:spacing w:after="0" w:line="54"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May 21,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Marco F. Gatti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Marco F. Gatti</w:t>
      </w:r>
    </w:p>
    <w:p>
      <w:pPr>
        <w:spacing w:after="0" w:line="23" w:lineRule="exact"/>
        <w:rPr>
          <w:sz w:val="20"/>
          <w:szCs w:val="20"/>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6"/>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lowerRoman"/>
      <w:start w:val="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2021-05-21T10:59:23Z</dcterms:created>
  <dcterms:modified xsi:type="dcterms:W3CDTF">2021-05-21T10:59:23Z</dcterms:modified>
</cp:coreProperties>
</file>