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68347P 103</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Christine M. Miller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 ArcLight CTC Holdings II,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200 Clarendon St, 55th Floor</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Julian J. Seiguer, P.C.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609 Main Street</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(713) 836-3600</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Jennifer Wu</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401 Congress Avenue</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(512) 678-9100</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January 31, 2023</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09"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68347P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44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pacing w:after="0" w:line="259" w:lineRule="exact"/>
        <w:rPr>
          <w:sz w:val="20"/>
          <w:szCs w:val="20"/>
          <w:color w:val="auto"/>
        </w:rPr>
      </w:pPr>
    </w:p>
    <w:p>
      <w:pPr>
        <w:ind w:left="980" w:right="7980" w:hanging="574"/>
        <w:spacing w:after="0" w:line="312" w:lineRule="auto"/>
        <w:tabs>
          <w:tab w:leader="none" w:pos="9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ArcLight CTC Holdings II, L.P.</w:t>
      </w:r>
    </w:p>
    <w:p>
      <w:pPr>
        <w:spacing w:after="0" w:line="4" w:lineRule="exact"/>
        <w:rPr>
          <w:rFonts w:ascii="Times New Roman" w:cs="Times New Roman" w:eastAsia="Times New Roman" w:hAnsi="Times New Roman"/>
          <w:sz w:val="17"/>
          <w:szCs w:val="17"/>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9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right="7640" w:hanging="574"/>
        <w:spacing w:after="0" w:line="27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3"/>
        </w:trPr>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920" w:type="dxa"/>
            <w:vAlign w:val="bottom"/>
            <w:tcBorders>
              <w:right w:val="single" w:sz="8" w:color="auto"/>
            </w:tcBorders>
          </w:tcPr>
          <w:p>
            <w:pPr>
              <w:spacing w:after="0"/>
              <w:rPr>
                <w:sz w:val="9"/>
                <w:szCs w:val="9"/>
                <w:color w:val="auto"/>
              </w:rPr>
            </w:pPr>
          </w:p>
        </w:tc>
        <w:tc>
          <w:tcPr>
            <w:tcW w:w="8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16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160" w:type="dxa"/>
            <w:vAlign w:val="bottom"/>
            <w:tcBorders>
              <w:right w:val="single" w:sz="8" w:color="auto"/>
            </w:tcBorders>
            <w:vMerge w:val="continue"/>
          </w:tcPr>
          <w:p>
            <w:pPr>
              <w:spacing w:after="0"/>
              <w:rPr>
                <w:sz w:val="4"/>
                <w:szCs w:val="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1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Borders>
              <w:right w:val="single" w:sz="8" w:color="auto"/>
            </w:tcBorders>
            <w:vMerge w:val="continue"/>
          </w:tcPr>
          <w:p>
            <w:pPr>
              <w:spacing w:after="0"/>
              <w:rPr>
                <w:sz w:val="15"/>
                <w:szCs w:val="15"/>
                <w:color w:val="auto"/>
              </w:rPr>
            </w:pPr>
          </w:p>
        </w:tc>
        <w:tc>
          <w:tcPr>
            <w:tcW w:w="8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8,425,424*</w:t>
            </w:r>
          </w:p>
        </w:tc>
        <w:tc>
          <w:tcPr>
            <w:tcW w:w="0" w:type="dxa"/>
            <w:vAlign w:val="bottom"/>
          </w:tcPr>
          <w:p>
            <w:pPr>
              <w:spacing w:after="0"/>
              <w:rPr>
                <w:sz w:val="1"/>
                <w:szCs w:val="1"/>
                <w:color w:val="auto"/>
              </w:rPr>
            </w:pPr>
          </w:p>
        </w:tc>
      </w:tr>
      <w:tr>
        <w:trPr>
          <w:trHeight w:val="189"/>
        </w:trPr>
        <w:tc>
          <w:tcPr>
            <w:tcW w:w="2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8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20" w:type="dxa"/>
            <w:vAlign w:val="bottom"/>
            <w:tcBorders>
              <w:right w:val="single" w:sz="8" w:color="auto"/>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920" w:type="dxa"/>
            <w:vAlign w:val="bottom"/>
            <w:tcBorders>
              <w:bottom w:val="single" w:sz="8" w:color="auto"/>
              <w:right w:val="single" w:sz="8" w:color="auto"/>
            </w:tcBorders>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1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920" w:type="dxa"/>
            <w:vAlign w:val="bottom"/>
            <w:tcBorders>
              <w:right w:val="single" w:sz="8" w:color="auto"/>
            </w:tcBorders>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8,425,424*</w:t>
            </w:r>
          </w:p>
        </w:tc>
        <w:tc>
          <w:tcPr>
            <w:tcW w:w="0" w:type="dxa"/>
            <w:vAlign w:val="bottom"/>
          </w:tcPr>
          <w:p>
            <w:pPr>
              <w:spacing w:after="0"/>
              <w:rPr>
                <w:sz w:val="1"/>
                <w:szCs w:val="1"/>
                <w:color w:val="auto"/>
              </w:rPr>
            </w:pPr>
          </w:p>
        </w:tc>
      </w:tr>
      <w:tr>
        <w:trPr>
          <w:trHeight w:val="121"/>
        </w:trPr>
        <w:tc>
          <w:tcPr>
            <w:tcW w:w="21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80" w:right="5460" w:hanging="615"/>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8,425,424*</w:t>
      </w:r>
    </w:p>
    <w:p>
      <w:pPr>
        <w:spacing w:after="0" w:line="26"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71"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(the “Reported Securities”) consists of 8,425,424 shares of Class A common stock of the Issuer (“Class A Shares”).</w:t>
      </w:r>
    </w:p>
    <w:p>
      <w:pPr>
        <w:spacing w:after="0" w:line="252"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(i) 28,981,579 Class A Shares outstanding as of November 16, 2022 as reported on Issuer’s prospectus, filed on December 15, 2022 (the “Prospectus”), and plus (ii) 144,399,037 Class A Shares to be issued upon conversion of all the Class B common units of OPAL Fuels LLC (the “Class B Units”) and Class D Shares outstanding as of November 16, 2022 as reported on the Prospectus. In accordance with the SEC’s rules for calculating “beneficial ownership,” which requires the Reporting Persons to disregard the conversion or exercise of the Class D Shares or Warrants (as defined below) not held by the Reporting Persons, the Reporting Persons would be deemed to beneficially own approximately 29.1% of the outstanding Class A Shares. This percentage is calculated with a numerator of 8,425,424 and a denominator of 28,981,579. Notwithstanding the foregoing, because a Class B Unit and Class D Share are economically equivalent to a Class A Share and further, the Class D Shares vote together with the Class A Shares, the reported 4.9% reflects the Reporting Person’s actual economic and voting interest in the Issuer.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980" w:right="8340" w:hanging="57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440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t>Name of Reporting Person Daniel R. Revers</w:t>
      </w:r>
    </w:p>
    <w:p>
      <w:pPr>
        <w:spacing w:after="0" w:line="26"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9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right="7640" w:hanging="574"/>
        <w:spacing w:after="0" w:line="27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3"/>
        </w:trPr>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920" w:type="dxa"/>
            <w:vAlign w:val="bottom"/>
            <w:tcBorders>
              <w:right w:val="single" w:sz="8" w:color="auto"/>
            </w:tcBorders>
          </w:tcPr>
          <w:p>
            <w:pPr>
              <w:spacing w:after="0"/>
              <w:rPr>
                <w:sz w:val="9"/>
                <w:szCs w:val="9"/>
                <w:color w:val="auto"/>
              </w:rPr>
            </w:pPr>
          </w:p>
        </w:tc>
        <w:tc>
          <w:tcPr>
            <w:tcW w:w="8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16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160" w:type="dxa"/>
            <w:vAlign w:val="bottom"/>
            <w:tcBorders>
              <w:right w:val="single" w:sz="8" w:color="auto"/>
            </w:tcBorders>
            <w:vMerge w:val="continue"/>
          </w:tcPr>
          <w:p>
            <w:pPr>
              <w:spacing w:after="0"/>
              <w:rPr>
                <w:sz w:val="4"/>
                <w:szCs w:val="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1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Borders>
              <w:right w:val="single" w:sz="8" w:color="auto"/>
            </w:tcBorders>
            <w:vMerge w:val="continue"/>
          </w:tcPr>
          <w:p>
            <w:pPr>
              <w:spacing w:after="0"/>
              <w:rPr>
                <w:sz w:val="15"/>
                <w:szCs w:val="15"/>
                <w:color w:val="auto"/>
              </w:rPr>
            </w:pPr>
          </w:p>
        </w:tc>
        <w:tc>
          <w:tcPr>
            <w:tcW w:w="8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8,425,424*</w:t>
            </w:r>
          </w:p>
        </w:tc>
        <w:tc>
          <w:tcPr>
            <w:tcW w:w="0" w:type="dxa"/>
            <w:vAlign w:val="bottom"/>
          </w:tcPr>
          <w:p>
            <w:pPr>
              <w:spacing w:after="0"/>
              <w:rPr>
                <w:sz w:val="1"/>
                <w:szCs w:val="1"/>
                <w:color w:val="auto"/>
              </w:rPr>
            </w:pPr>
          </w:p>
        </w:tc>
      </w:tr>
      <w:tr>
        <w:trPr>
          <w:trHeight w:val="189"/>
        </w:trPr>
        <w:tc>
          <w:tcPr>
            <w:tcW w:w="2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8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20" w:type="dxa"/>
            <w:vAlign w:val="bottom"/>
            <w:tcBorders>
              <w:right w:val="single" w:sz="8" w:color="auto"/>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920" w:type="dxa"/>
            <w:vAlign w:val="bottom"/>
            <w:tcBorders>
              <w:bottom w:val="single" w:sz="8" w:color="auto"/>
              <w:right w:val="single" w:sz="8" w:color="auto"/>
            </w:tcBorders>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1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920" w:type="dxa"/>
            <w:vAlign w:val="bottom"/>
            <w:tcBorders>
              <w:right w:val="single" w:sz="8" w:color="auto"/>
            </w:tcBorders>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8,425,424*</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80" w:right="5460" w:hanging="615"/>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8,425,424*</w:t>
      </w:r>
    </w:p>
    <w:p>
      <w:pPr>
        <w:spacing w:after="0" w:line="26"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71"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consists of 8,425,424 Class A Shares.</w:t>
      </w:r>
    </w:p>
    <w:p>
      <w:pPr>
        <w:spacing w:after="0" w:line="252" w:lineRule="exact"/>
        <w:rPr>
          <w:rFonts w:ascii="Times New Roman" w:cs="Times New Roman" w:eastAsia="Times New Roman" w:hAnsi="Times New Roman"/>
          <w:sz w:val="18"/>
          <w:szCs w:val="18"/>
          <w:color w:val="auto"/>
        </w:rPr>
      </w:pPr>
    </w:p>
    <w:p>
      <w:pPr>
        <w:ind w:left="340" w:right="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(i) 28,981,579 Class A Shares outstanding as of November 16, 2022 as reported on Issuer’s Prospectus, and plus (ii) 144,399,037 Class A Shares to be issued upon conversion of all the Class B Units and Class D Shares outstanding as of November 16, 2022 as reported on the Prospectus. In accordance with the SEC’s rules for calculating “beneficial ownership,” which requires the Reporting Persons to disregard the conversion or exercise of the Class D Shares or Warrants not held by the Reporting Persons, the Reporting Persons would be deemed to beneficially own approximately 29.1% of the outstanding Class A Shares. This percentage is calculated with a numerator of 8,425,424 and a denominator of 28,981,579. Notwithstanding the foregoing, because a Class B Unit and Class D Share are economically equivalent to a Class A Share and further, the Class D Shares vote together with the Class A Shares, the reported 4.9% reflects the Reporting Person’s actual economic and voting interest in the Issuer.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SCHEDULE 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Amendment No. 2 (“Amendment No. 2”) amends and supplements the Schedule 13D filed on August 1, 2022, as amended by that certain Amendment No. 1 to the Original Schedule 13D, filed on December 23, 2022 (as so amended, the “Original Schedule 13D”). Except as specifically amended by this Amendment No. 2, the Schedule 13D remains in full force and effect. Capitalized terms used but not otherwise defined herein shall have the respective meanings previously ascribed to them in the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as follows: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(a)-(b) The information contained on the cover pages to this Schedule 13D is incorporated herein by reference. As noted on the cover pages, the beneficial ownership reflected in Box 13 of each cover page is calculated based on (i) 28,981,579 Class A Shares outstanding as of November 16, 2022 as reported on Issuer’s Prospectus, as increased by (ii) 144,399,037 Class A Shares to be issued upon conversion of all the Class B Units and Class D Shares outstanding as of November 16, 2022 as reported on the Prospectus. In accordance with the SEC’s rules for calculating “beneficial ownership,” which requires the Reporting Persons to disregard the conversion or exercise of the Class D Shares or warrants to acquire Class A Shares (“Warrants”) not held by the Reporting Persons, the Reporting Persons would be deemed to beneficially own approximately 29.1% of the outstanding Class A Shares. This percentage is calculated with a numerator of 8,425,424 and a denominator of 28,981,579. Notwithstanding the foregoing, because a Class B Unit and Class D Share are economically equivalent to a Class A Share and further, the Class D Shares vote together with the Class A Shares, the reported 4.9% reflects the Reporting Person’s actual economic and voting interest in the Issuer.</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Reported Securities are held directly by the Sponsor. Daniel R. Revers has voting power and investment discretion with respect to the securities held by the Sponsor, and thus may be deemed to have beneficial ownership of the Reported Securities. The filing of this statement shall not be construed as an admission by either Reporting Person that such person is, for the purposes of sections 13(d) or 13(g) of the Exchange Act, the beneficial owner of any securities covered by this statement.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Reported Securities include 763,907 Class A Shares that are subject to forfeiture (the “Sponsor Earn-Out”) pursuant to that certain Sponsor Letter Agreement, by and among the Sponsor, OPAL Fuels and certain parties thereto, dated as of December 2, 2021 (as amended from time to time, the “Sponsor Letter Agreement”). Pursuant to the Sponsor Letter Agreement, up to 10% of the Class A Shares beneficially owned by the Reporting Person as of July 21, 2022 will be subject to forfeiture if, during the 60 months following July 21, 2022, the following vesting conditions are not satisfied:</w:t>
      </w:r>
    </w:p>
    <w:p>
      <w:pPr>
        <w:spacing w:after="0" w:line="180"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VWAP of the Class A Shares over any 20 trading days within any 30 consecutive trading day period is greater than or equal to</w:t>
      </w:r>
    </w:p>
    <w:p>
      <w:pPr>
        <w:spacing w:after="0" w:line="27" w:lineRule="exact"/>
        <w:rPr>
          <w:rFonts w:ascii="Times New Roman" w:cs="Times New Roman" w:eastAsia="Times New Roman" w:hAnsi="Times New Roman"/>
          <w:sz w:val="18"/>
          <w:szCs w:val="18"/>
          <w:color w:val="auto"/>
        </w:rPr>
      </w:pPr>
    </w:p>
    <w:p>
      <w:pPr>
        <w:ind w:left="980"/>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per share; or (B) a Sale (as defined below) is consummated in which the Class A Shares are valued at greater than or equal to $12.50 per share, 50% of the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 and</w:t>
      </w:r>
    </w:p>
    <w:p>
      <w:pPr>
        <w:spacing w:after="0" w:line="197" w:lineRule="exact"/>
        <w:rPr>
          <w:rFonts w:ascii="Times New Roman" w:cs="Times New Roman" w:eastAsia="Times New Roman" w:hAnsi="Times New Roman"/>
          <w:sz w:val="18"/>
          <w:szCs w:val="18"/>
          <w:color w:val="auto"/>
        </w:rPr>
      </w:pPr>
    </w:p>
    <w:p>
      <w:pPr>
        <w:ind w:left="980" w:right="440" w:hanging="324"/>
        <w:spacing w:after="0" w:line="23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VWAP of the Class A Shares over any 20 trading days within any 30 consecutive trading day period is greater than or equal to $15.00 per share; or (B) a Sale is consummated in which the Class A Shares are valued at greater than or equal to $15.00 per share the remaining 50% of the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t>As used with respect to the Sponsor Earn-Out, “Sale” means (A) (1) a direct or indirect sale, lease, exchange or other transfer (regardless of the form of the transaction) in one transaction or a series of related transactions of a majority of the Issuer’s assets, as determined on a consolidated basis, to a third party or third parties acting as a “group” (as defined in Section 13(d)(3) of the Exchange Act) or (2) any transaction or series of transactions that results, directly or indirectly, in the shareholders of the Issuer as of immediately prior to such transactions holding, in the aggregate, less than 50% of the voting equity securities of the Issuer (or any successor of the Issuer) immediately after the consummation thereof (excluding any Sponsor Earnout Shares), in the case of each of clause (1) or (2), whether by amalgamation, merger, consolidation, arrangement, tender offer, recapitalization, purchase, issuance, sale or transfer of equity securities or assets or otherwise.</w:t>
      </w:r>
    </w:p>
    <w:p>
      <w:pPr>
        <w:spacing w:after="0" w:line="189" w:lineRule="exact"/>
        <w:rPr>
          <w:sz w:val="20"/>
          <w:szCs w:val="20"/>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Section 5(c), the Reporting Persons have not effected any transaction in Class A Shares during the past sixty days.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of the Letter Agreement in Item 6 of the Original Schedule 13D is hereby amended to add the following at the end thereof:</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satisfaction of, such agreements with respect to the forfeiture of shares set forth in the letter agreement, as modified by that certain side letter agreement by and between the Reporting Person and the Issuer, dated January 23, 2023, the Reporting Person forfeited 197,258 Class A Shares (which amount included 47,258 Sponsor Earn-Out Shares).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2023</w:t>
            </w: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ArcLight CTC Holdings II, L.P.</w:t>
            </w:r>
          </w:p>
        </w:tc>
      </w:tr>
      <w:tr>
        <w:trPr>
          <w:trHeight w:val="410"/>
        </w:trPr>
        <w:tc>
          <w:tcPr>
            <w:tcW w:w="3620" w:type="dxa"/>
            <w:vAlign w:val="bottom"/>
          </w:tcPr>
          <w:p>
            <w:pPr>
              <w:spacing w:after="0"/>
              <w:rPr>
                <w:sz w:val="24"/>
                <w:szCs w:val="24"/>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By: ACTC Holdings GP II, LLC, its</w:t>
            </w:r>
          </w:p>
        </w:tc>
      </w:tr>
      <w:tr>
        <w:trPr>
          <w:trHeight w:val="238"/>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General Partner</w:t>
            </w:r>
          </w:p>
        </w:tc>
      </w:tr>
      <w:tr>
        <w:trPr>
          <w:trHeight w:val="432"/>
        </w:trPr>
        <w:tc>
          <w:tcPr>
            <w:tcW w:w="3620" w:type="dxa"/>
            <w:vAlign w:val="bottom"/>
          </w:tcPr>
          <w:p>
            <w:pPr>
              <w:spacing w:after="0"/>
              <w:rPr>
                <w:sz w:val="24"/>
                <w:szCs w:val="24"/>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By: ArcLight Capital Holdings, LLC, its Manager</w:t>
            </w:r>
          </w:p>
        </w:tc>
      </w:tr>
      <w:tr>
        <w:trPr>
          <w:trHeight w:val="432"/>
        </w:trPr>
        <w:tc>
          <w:tcPr>
            <w:tcW w:w="3620" w:type="dxa"/>
            <w:vAlign w:val="bottom"/>
          </w:tcPr>
          <w:p>
            <w:pPr>
              <w:spacing w:after="0"/>
              <w:rPr>
                <w:sz w:val="24"/>
                <w:szCs w:val="24"/>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By: ACHP II, L.P., its Managing Member</w:t>
            </w:r>
          </w:p>
        </w:tc>
      </w:tr>
      <w:tr>
        <w:trPr>
          <w:trHeight w:val="432"/>
        </w:trPr>
        <w:tc>
          <w:tcPr>
            <w:tcW w:w="3620" w:type="dxa"/>
            <w:vAlign w:val="bottom"/>
          </w:tcPr>
          <w:p>
            <w:pPr>
              <w:spacing w:after="0"/>
              <w:rPr>
                <w:sz w:val="24"/>
                <w:szCs w:val="24"/>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By: ACH GP, LLC, its General Partner</w:t>
            </w:r>
          </w:p>
        </w:tc>
      </w:tr>
      <w:tr>
        <w:trPr>
          <w:trHeight w:val="439"/>
        </w:trPr>
        <w:tc>
          <w:tcPr>
            <w:tcW w:w="3620" w:type="dxa"/>
            <w:vAlign w:val="bottom"/>
          </w:tcPr>
          <w:p>
            <w:pPr>
              <w:spacing w:after="0"/>
              <w:rPr>
                <w:sz w:val="24"/>
                <w:szCs w:val="24"/>
                <w:color w:val="auto"/>
              </w:rPr>
            </w:pPr>
          </w:p>
        </w:tc>
        <w:tc>
          <w:tcPr>
            <w:tcW w:w="382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w:t>
            </w:r>
          </w:p>
        </w:tc>
      </w:tr>
      <w:tr>
        <w:trPr>
          <w:trHeight w:val="198"/>
        </w:trPr>
        <w:tc>
          <w:tcPr>
            <w:tcW w:w="3620" w:type="dxa"/>
            <w:vAlign w:val="bottom"/>
          </w:tcPr>
          <w:p>
            <w:pPr>
              <w:spacing w:after="0"/>
              <w:rPr>
                <w:sz w:val="17"/>
                <w:szCs w:val="17"/>
                <w:color w:val="auto"/>
              </w:rPr>
            </w:pPr>
          </w:p>
        </w:tc>
        <w:tc>
          <w:tcPr>
            <w:tcW w:w="3820" w:type="dxa"/>
            <w:vAlign w:val="bottom"/>
          </w:tcPr>
          <w:p>
            <w:pPr>
              <w:ind w:left="3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R. Revers</w:t>
            </w:r>
          </w:p>
        </w:tc>
      </w:tr>
      <w:tr>
        <w:trPr>
          <w:trHeight w:val="234"/>
        </w:trPr>
        <w:tc>
          <w:tcPr>
            <w:tcW w:w="3620" w:type="dxa"/>
            <w:vAlign w:val="bottom"/>
          </w:tcPr>
          <w:p>
            <w:pPr>
              <w:spacing w:after="0"/>
              <w:rPr>
                <w:sz w:val="20"/>
                <w:szCs w:val="20"/>
                <w:color w:val="auto"/>
              </w:rPr>
            </w:pPr>
          </w:p>
        </w:tc>
        <w:tc>
          <w:tcPr>
            <w:tcW w:w="382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655"/>
        </w:trPr>
        <w:tc>
          <w:tcPr>
            <w:tcW w:w="3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6</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sets forth information with respect to each transaction in Class A Shares that was effectuated by the Reporting Person.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245"/>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12/15/2022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85"/>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7.00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13,899,879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12/22/2022</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1,809,506</w:t>
            </w:r>
            <w:r>
              <w:rPr>
                <w:rFonts w:ascii="Times New Roman" w:cs="Times New Roman" w:eastAsia="Times New Roman" w:hAnsi="Times New Roman"/>
                <w:sz w:val="23"/>
                <w:szCs w:val="23"/>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8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1/17/2023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9,045</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62,953</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1/18/2023</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2,055</w:t>
            </w:r>
            <w:r>
              <w:rPr>
                <w:rFonts w:ascii="Times New Roman" w:cs="Times New Roman" w:eastAsia="Times New Roman" w:hAnsi="Times New Roman"/>
                <w:sz w:val="23"/>
                <w:szCs w:val="23"/>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14,303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1/19/2023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9,300</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64,821</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1/20/2023</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1,300</w:t>
            </w:r>
            <w:r>
              <w:rPr>
                <w:rFonts w:ascii="Times New Roman" w:cs="Times New Roman" w:eastAsia="Times New Roman" w:hAnsi="Times New Roman"/>
                <w:sz w:val="23"/>
                <w:szCs w:val="23"/>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1/23/2023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7,300</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50,881</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1/24/2023</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257,200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18"/>
                <w:szCs w:val="18"/>
                <w:color w:val="auto"/>
                <w:w w:val="97"/>
              </w:rPr>
              <w:t>7.00</w:t>
            </w:r>
            <w:r>
              <w:rPr>
                <w:rFonts w:ascii="Times New Roman" w:cs="Times New Roman" w:eastAsia="Times New Roman" w:hAnsi="Times New Roman"/>
                <w:sz w:val="23"/>
                <w:szCs w:val="23"/>
                <w:color w:val="auto"/>
                <w:w w:val="97"/>
                <w:vertAlign w:val="superscript"/>
              </w:rPr>
              <w:t>(5)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1,787,540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1/25/2023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60"/>
              <w:spacing w:after="0" w:line="216" w:lineRule="exact"/>
              <w:rPr>
                <w:sz w:val="20"/>
                <w:szCs w:val="20"/>
                <w:color w:val="auto"/>
              </w:rPr>
            </w:pPr>
            <w:r>
              <w:rPr>
                <w:rFonts w:ascii="Times New Roman" w:cs="Times New Roman" w:eastAsia="Times New Roman" w:hAnsi="Times New Roman"/>
                <w:sz w:val="18"/>
                <w:szCs w:val="18"/>
                <w:color w:val="auto"/>
                <w:w w:val="97"/>
              </w:rPr>
              <w:t>7.00</w:t>
            </w:r>
            <w:r>
              <w:rPr>
                <w:rFonts w:ascii="Times New Roman" w:cs="Times New Roman" w:eastAsia="Times New Roman" w:hAnsi="Times New Roman"/>
                <w:sz w:val="23"/>
                <w:szCs w:val="23"/>
                <w:color w:val="auto"/>
                <w:w w:val="97"/>
                <w:vertAlign w:val="superscript"/>
              </w:rPr>
              <w:t>(6)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1,747,925</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1/26/2023</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900</w:t>
            </w:r>
            <w:r>
              <w:rPr>
                <w:rFonts w:ascii="Times New Roman" w:cs="Times New Roman" w:eastAsia="Times New Roman" w:hAnsi="Times New Roman"/>
                <w:sz w:val="23"/>
                <w:szCs w:val="23"/>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1/27/2023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1,800</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12,528</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1/30/2023</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12,200</w:t>
            </w:r>
            <w:r>
              <w:rPr>
                <w:rFonts w:ascii="Times New Roman" w:cs="Times New Roman" w:eastAsia="Times New Roman" w:hAnsi="Times New Roman"/>
                <w:sz w:val="23"/>
                <w:szCs w:val="23"/>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85,400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197,258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78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1/31/2023</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14,700</w:t>
            </w:r>
            <w:r>
              <w:rPr>
                <w:rFonts w:ascii="Times New Roman" w:cs="Times New Roman" w:eastAsia="Times New Roman" w:hAnsi="Times New Roman"/>
                <w:sz w:val="23"/>
                <w:szCs w:val="23"/>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107,604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2/1/2023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60"/>
              <w:spacing w:after="0" w:line="216" w:lineRule="exact"/>
              <w:rPr>
                <w:sz w:val="20"/>
                <w:szCs w:val="20"/>
                <w:color w:val="auto"/>
              </w:rPr>
            </w:pPr>
            <w:r>
              <w:rPr>
                <w:rFonts w:ascii="Times New Roman" w:cs="Times New Roman" w:eastAsia="Times New Roman" w:hAnsi="Times New Roman"/>
                <w:sz w:val="18"/>
                <w:szCs w:val="18"/>
                <w:color w:val="auto"/>
                <w:w w:val="97"/>
              </w:rPr>
              <w:t>7.01</w:t>
            </w:r>
            <w:r>
              <w:rPr>
                <w:rFonts w:ascii="Times New Roman" w:cs="Times New Roman" w:eastAsia="Times New Roman" w:hAnsi="Times New Roman"/>
                <w:sz w:val="23"/>
                <w:szCs w:val="23"/>
                <w:color w:val="auto"/>
                <w:w w:val="97"/>
                <w:vertAlign w:val="superscript"/>
              </w:rPr>
              <w:t>(8)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1,798,950</w:t>
            </w:r>
            <w:r>
              <w:rPr>
                <w:rFonts w:ascii="Times New Roman" w:cs="Times New Roman" w:eastAsia="Times New Roman" w:hAnsi="Times New Roman"/>
                <w:sz w:val="23"/>
                <w:szCs w:val="23"/>
                <w:color w:val="auto"/>
                <w:vertAlign w:val="superscript"/>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excludes commissions and other execution-related costs.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sold in a block sale.</w:t>
      </w:r>
    </w:p>
    <w:p>
      <w:pPr>
        <w:spacing w:after="0" w:line="225" w:lineRule="exact"/>
        <w:rPr>
          <w:rFonts w:ascii="Times New Roman" w:cs="Times New Roman" w:eastAsia="Times New Roman" w:hAnsi="Times New Roman"/>
          <w:sz w:val="18"/>
          <w:szCs w:val="18"/>
          <w:color w:val="auto"/>
        </w:rPr>
      </w:pPr>
    </w:p>
    <w:p>
      <w:pPr>
        <w:ind w:left="340" w:right="18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2022, pursuant to the Issuer’s previously announced exchange offer, the Reporting Persons exchanged 7,238,025 warrants, which previously entitled the Reporting Persons to purchase one Class A Share at a price of $11.50 per whole share at any time commencing on the later of one year from the closing of the Issuer’s initial public offering or 30 days after the completion of an initial business combination of the Company, for 1,809,506 Class A Shares.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Shares sold pursuant to a Rule 10b5-1 trading plan.</w:t>
      </w:r>
    </w:p>
    <w:p>
      <w:pPr>
        <w:spacing w:after="0" w:line="225"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volume weighted average price (“VWAP”). 250,000 shares were sold pursuant to a block trade for $7.00 per share and 5,200 shares were sold in open market transactions for a VWAP of $6.96 per share, net of commissions and other execution-related costs. The reporting person undertakes to provide the relevant amount of shares sold to the market at each price to the SEC, the Issuer or any stockholder of the Issuer upon request.</w:t>
      </w:r>
    </w:p>
    <w:p>
      <w:pPr>
        <w:spacing w:after="0" w:line="179"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VWAP. 250,000 shares were sold pursuant to a block trade for $7.00 per share and 1,500 shares were sold in open market transactions for a VWAP of $7.01 per share, net of commissions and other execution-related costs. The reporting person undertakes to provide the relevant amount of shares sold to the market at each price to the SEC, the Issuer or any stockholder of the Issuer upon request.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Side Letter, the Reporting Person forfeited 197,258 Class A Shares.</w:t>
      </w:r>
    </w:p>
    <w:p>
      <w:pPr>
        <w:spacing w:after="0" w:line="225"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VWAP. 250,000 shares were sold pursuant to a block trade for $7.00 per share and 8,600 shares were sold in open market transactions for a VWAP of $7.15 per share, net of commissions and other execution-related costs. The reporting person undertakes to provide the relevant amount of shares sold to the market at each price to the SEC, the Issuer or any stockholder of the Issuer upon request.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lvl w:ilvl="1">
      <w:lvlJc w:val="left"/>
      <w:lvlText w:val="%2."/>
      <w:numFmt w:val="decimal"/>
      <w:start w:val="11"/>
    </w:lvl>
  </w:abstractNum>
  <w:abstractNum w:abstractNumId="3">
    <w:nsid w:val="41B71EFB"/>
    <w:multiLevelType w:val="hybridMultilevel"/>
    <w:lvl w:ilvl="0">
      <w:lvlJc w:val="left"/>
      <w:lvlText w:val="**"/>
      <w:numFmt w:val="bullet"/>
      <w:start w:val="1"/>
    </w:lvl>
    <w:lvl w:ilvl="1">
      <w:lvlJc w:val="left"/>
      <w:lvlText w:val="%2"/>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lvl w:ilvl="1">
      <w:lvlJc w:val="left"/>
      <w:lvlText w:val="%2."/>
      <w:numFmt w:val="decimal"/>
      <w:start w:val="11"/>
    </w:lvl>
  </w:abstractNum>
  <w:abstractNum w:abstractNumId="6">
    <w:nsid w:val="515F007C"/>
    <w:multiLevelType w:val="hybridMultilevel"/>
    <w:lvl w:ilvl="0">
      <w:lvlJc w:val="left"/>
      <w:lvlText w:val="**"/>
      <w:numFmt w:val="bullet"/>
      <w:start w:val="1"/>
    </w:lvl>
    <w:lvl w:ilvl="1">
      <w:lvlJc w:val="left"/>
      <w:lvlText w:val="%2"/>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2023-02-01T16:46:13Z</dcterms:created>
  <dcterms:modified xsi:type="dcterms:W3CDTF">2023-02-01T16:46:13Z</dcterms:modified>
</cp:coreProperties>
</file>