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704"/>
        <w:spacing w:after="0"/>
        <w:rPr>
          <w:sz w:val="20"/>
          <w:szCs w:val="20"/>
          <w:color w:val="auto"/>
        </w:rPr>
      </w:pPr>
      <w:r>
        <w:rPr>
          <w:rFonts w:ascii="Arial" w:cs="Arial" w:eastAsia="Arial" w:hAnsi="Arial"/>
          <w:sz w:val="22"/>
          <w:szCs w:val="22"/>
          <w:b w:val="1"/>
          <w:bCs w:val="1"/>
          <w:color w:val="auto"/>
        </w:rPr>
        <w:t>Pursuant to Section 13 or Section 15(d)</w:t>
      </w: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60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603"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68" w:right="439" w:bottom="603" w:gutter="0" w:footer="0" w:header="0"/>
          <w:type w:val="continuous"/>
        </w:sectPr>
      </w:pPr>
    </w:p>
    <w:p>
      <w:pPr>
        <w:spacing w:after="0" w:line="1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200 Clarendon Street, 55th Floor</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Boston, MA, 02116</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531-6300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4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603"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Ordinary Share, $0.0001 par value, and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one-half of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included as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part of the 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the units, each whole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 for one Class A Ordinary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 at an 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603"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4.02.</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November 5, 2021, ArcLight Clean Transition Corp. II (the “Company”) filed its Form 10-Q for the quarterly period ending September 30,</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2021 (the “Q3 Form 10-Q”), which included in Note 2, Revision of Previously Issued Financial Statements, (“Note 2”) a discussion of the revision to a portion of the Company’s previously issued financial statements for the classification of its Class A ordinary shares subject to redemption issued as part of the units sold in the Company’s initial public offering (“IPO”) on March 25, 2021. As described in Note 2, upon its IPO, the Company classified a portion of the Class A ordinary shares subject to redemption as permanent equity to maintain net tangible assets greater than $5,000,000 on the basis that the Company will consummate its initial business combination only if the Company has net tangible assets of at least $5,000,001. The Company’s management re-evaluated the conclusion and determined that the Class A ordinary shares subject to redemption included certain provisions that require classification of the Class A ordinary shares subject to redemption as temporary equity regardless of the minimum net tangible assets required to complete the Company’s initial business combination. As a result, management corrected the error by revising all Class A ordinary shares subject to redemption as temporary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6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Also in Note 2 of the Company’s Form 10-Q for the quarterly period ending September 30, 2021, in connection with the change in presentation for the Class A ordinary shares subject to possible redemption, the Company revised its earnings per share calculation to allocate income and losses shared pro rata between the two classes of shares. This presentation differs from the previously presented method of earnings per share, which was similar to the two-class method.</w:t>
      </w:r>
    </w:p>
    <w:p>
      <w:pPr>
        <w:spacing w:after="0" w:line="18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As described above, originally the Company determined the changes were not qualitatively material to the Company’s previously issued financial statements and revised its previously issued financial statements in Note 2 to its Q3 Form 10-Q. However, upon further consideration of the material nature of the changes, the Company determined the change in classification of the Class A ordinary shares subject to redemption and change to its presentation of earnings per share is material quantitatively and the Company should restate its previously issued financial statements.</w:t>
      </w:r>
    </w:p>
    <w:p>
      <w:pPr>
        <w:spacing w:after="0" w:line="15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Therefore, on November 24, 2021, the audit committee of the board of directors of the Company concluded, after discussion with the Company’s management, that the Company’s previously issued (i) audited balance sheet as of March 25, 2021, filed as Exhibit 99.1 to the Company’s Current Report on Form 8-K filed with the Securities and Exchange Commission (the “SEC”) on March 31, 2021, as revised in the Company’s Quarterly Report on Form 10-Q for the quarterly period ended March 31, 2021 filed with the SEC on May 21, 2021 (the “Q1 Form 10-Q”), (ii) unaudited interim financial statements included in the Q1 Form 10-Q, and (iii) unaudited interim financial statements included in the Company’s Quarterly Report on Form 10-Q for the quarterly period ended June 30, 2021, filed with the SEC on August 5, 2021 (collectively, the “Affected Periods”), should be restated and should no longer be relied upon.</w:t>
      </w:r>
    </w:p>
    <w:p>
      <w:pPr>
        <w:spacing w:after="0" w:line="19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Similarly, other communications describing the Company’s financial statements and other related financial information covering the Affected Periods should no longer be relied upon. In addition, the audit report of the Company’s current independent registered public accounting firm, Marcum LLP (“Marcum”) included in the Company’s Form 8-K relating to the audited balance sheet as of March 25, 2021, as filed on March 31, 2021 with the Securities and Exchange Commission should no longer be relied upon.</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Additionally, the Audit Committee determined that it is appropriate to file amendments to its unaudited interim financial statements included in the Q1, Q2 and Q3 Form 10-Qs for the quarterly period ended March 31, 2021, June 30, 2021 and September 30, 2021 as filed with the SEC on May 21, 2021, August 10, 2021 and November 9, 2021 reflecting the restatement of the Class A ordinary shares subject to redemption and change to its presentation of earnings per share for the Affected Periods as soon as practicable.</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Company does not expect any of the above changes will have any impact on its cash position and cash held in the trust account established in connection with the IPO.</w:t>
      </w:r>
    </w:p>
    <w:p>
      <w:pPr>
        <w:sectPr>
          <w:pgSz w:w="11900" w:h="16838" w:orient="portrait"/>
          <w:cols w:equalWidth="0" w:num="1">
            <w:col w:w="11000"/>
          </w:cols>
          <w:pgMar w:left="440" w:top="297" w:right="459" w:bottom="1440" w:gutter="0" w:footer="0" w:header="0"/>
        </w:sectPr>
      </w:pPr>
    </w:p>
    <w:bookmarkStart w:id="2" w:name="page3"/>
    <w:bookmarkEnd w:id="2"/>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After re-evaluation, the Company’s management has concluded that in light of the errors described above, a material weakness existed in the Company’s internal control over financial reporting during the Affected Periods and that the Company’s disclosure controls and procedures were not effective. To address this material weakness, management has devoted, and plans to continue to devote, significant effort and resources to the remediation and improvement of Company’s internal control over financial reporting. While the Company has processes to identify and appropriately apply applicable accounting requirements, the management plans to enhance these processes to better evaluate its research and understanding of the nuances of the complex accounting standards that apply to its financial statements. The Company plans to include providing enhanced access to accounting literature, research materials and documents and increased communication among its personnel and third-party professionals with whom it consults regarding complex accounting applications.</w:t>
      </w:r>
    </w:p>
    <w:p>
      <w:pPr>
        <w:spacing w:after="0" w:line="17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Audit Committee has discussed the matters disclosed in this Current Report on Form 8-K pursuant to this Item 4.02 with Marcum LLP (“Marcum”), the Company’s independent registered public accounting firm.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440" w:top="301" w:right="6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2021-11-26T08:13:55Z</dcterms:created>
  <dcterms:modified xsi:type="dcterms:W3CDTF">2021-11-26T08:13:55Z</dcterms:modified>
</cp:coreProperties>
</file>