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3"/>
            <w:vMerge w:val="restart"/>
          </w:tcPr>
          <w:p>
            <w:pPr>
              <w:ind w:left="20"/>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Vemuri Ashok</w:t>
              </w:r>
            </w:hyperlink>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27,218</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56,712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66,073 RSUs pursuant to the terms of the Issuer's 2022 Omnibus Equity Incentive Plan. The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6651"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2025-04-02T16:52:17Z</dcterms:created>
  <dcterms:modified xsi:type="dcterms:W3CDTF">2025-04-02T16:52:17Z</dcterms:modified>
</cp:coreProperties>
</file>